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/>
          <w:color w:val="1042A1"/>
          <w:sz w:val="36"/>
          <w:szCs w:val="36"/>
        </w:rPr>
      </w:pPr>
      <w:r>
        <w:rPr>
          <w:rFonts w:hint="eastAsia" w:ascii="黑体" w:hAnsi="黑体" w:eastAsia="黑体" w:cs="黑体"/>
          <w:b/>
          <w:color w:val="1042A1"/>
          <w:sz w:val="36"/>
          <w:szCs w:val="36"/>
          <w:lang w:val="en-US" w:eastAsia="zh-CN"/>
        </w:rPr>
        <w:t>《金融研究》年度优秀论文（2018年）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widowControl/>
        <w:spacing w:line="600" w:lineRule="exact"/>
        <w:ind w:firstLine="600" w:firstLineChars="200"/>
        <w:jc w:val="both"/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</w:pP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1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月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  <w:lang w:val="en-US" w:eastAsia="zh-CN"/>
        </w:rPr>
        <w:t>17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日，中国金融论坛·第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  <w:lang w:eastAsia="zh-CN"/>
        </w:rPr>
        <w:t>十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届《金融研究》论坛在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  <w:lang w:eastAsia="zh-CN"/>
        </w:rPr>
        <w:t>厦门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大学举行。中国人民银行研究局局长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  <w:lang w:eastAsia="zh-CN"/>
        </w:rPr>
        <w:t>王信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宣布了《金融研究》“201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年度优秀论文”，并现场揭晓了“201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年度最佳论文”，现将获奖名单公布如下（优秀论文按发表期数排序）：</w:t>
      </w:r>
    </w:p>
    <w:p>
      <w:pPr>
        <w:pStyle w:val="2"/>
        <w:widowControl/>
        <w:numPr>
          <w:ilvl w:val="0"/>
          <w:numId w:val="1"/>
        </w:numPr>
        <w:spacing w:before="100" w:beforeAutospacing="0" w:after="100" w:afterAutospacing="0" w:line="600" w:lineRule="exact"/>
        <w:ind w:left="0" w:right="0"/>
        <w:jc w:val="left"/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最佳论文（1篇）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楷体" w:hAnsi="楷体" w:eastAsia="楷体" w:cs="仿宋_GB2312"/>
          <w:sz w:val="30"/>
          <w:szCs w:val="30"/>
          <w:lang w:bidi="ar-SA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eastAsia="zh-CN" w:bidi="ar-SA"/>
        </w:rPr>
        <w:t>王宇伟</w:t>
      </w: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、</w:t>
      </w:r>
      <w:r>
        <w:rPr>
          <w:rFonts w:hint="eastAsia" w:ascii="楷体" w:hAnsi="楷体" w:eastAsia="楷体" w:cs="仿宋_GB2312"/>
          <w:b/>
          <w:bCs/>
          <w:sz w:val="30"/>
          <w:szCs w:val="30"/>
          <w:lang w:eastAsia="zh-CN" w:bidi="ar-SA"/>
        </w:rPr>
        <w:t>盛天翔</w:t>
      </w: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、</w:t>
      </w:r>
      <w:r>
        <w:rPr>
          <w:rFonts w:hint="eastAsia" w:ascii="楷体" w:hAnsi="楷体" w:eastAsia="楷体" w:cs="仿宋_GB2312"/>
          <w:b/>
          <w:bCs/>
          <w:sz w:val="30"/>
          <w:szCs w:val="30"/>
          <w:lang w:eastAsia="zh-CN" w:bidi="ar-SA"/>
        </w:rPr>
        <w:t>周耿</w:t>
      </w: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：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《宏观政策、金融资源配置与企业部门高杠杆率》（201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8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年第1期）（作者单位：南京大学经济学系</w:t>
      </w:r>
      <w:r>
        <w:rPr>
          <w:rFonts w:hint="eastAsia" w:ascii="楷体" w:hAnsi="楷体" w:eastAsia="楷体" w:cs="仿宋_GB2312"/>
          <w:sz w:val="30"/>
          <w:szCs w:val="30"/>
          <w:lang w:eastAsia="zh-CN" w:bidi="ar-SA"/>
        </w:rPr>
        <w:t>、南京农业大学金融学系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）</w:t>
      </w:r>
    </w:p>
    <w:p>
      <w:pPr>
        <w:pStyle w:val="2"/>
        <w:widowControl/>
        <w:numPr>
          <w:ilvl w:val="0"/>
          <w:numId w:val="1"/>
        </w:numPr>
        <w:spacing w:before="100" w:beforeAutospacing="0" w:after="100" w:afterAutospacing="0" w:line="600" w:lineRule="exact"/>
        <w:ind w:left="0" w:right="0"/>
        <w:jc w:val="left"/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优秀论文（6篇）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刘晓星、石广平：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《杠杆对资产价格泡沫的非对称效应研究》 （201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8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年第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3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期）（作者单位：东南大学经济管理学院）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楷体" w:hAnsi="楷体" w:eastAsia="楷体" w:cs="仿宋_GB2312"/>
          <w:sz w:val="30"/>
          <w:szCs w:val="30"/>
          <w:lang w:bidi="ar-SA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何青</w:t>
      </w:r>
      <w:r>
        <w:rPr>
          <w:rFonts w:hint="eastAsia" w:ascii="楷体" w:hAnsi="楷体" w:eastAsia="楷体" w:cs="仿宋_GB2312"/>
          <w:b/>
          <w:bCs/>
          <w:sz w:val="30"/>
          <w:szCs w:val="30"/>
          <w:lang w:eastAsia="zh-CN" w:bidi="ar-SA"/>
        </w:rPr>
        <w:t>、钱宗鑫、刘伟</w:t>
      </w: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：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《中国系统性金融风险的度量——基于实体经济的视角》 （201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8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年第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4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期）（作者单位：中国人民大学中国财政金融政策研究中心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/</w:t>
      </w:r>
      <w:r>
        <w:rPr>
          <w:rFonts w:hint="eastAsia" w:ascii="楷体" w:hAnsi="楷体" w:eastAsia="楷体" w:cs="仿宋_GB2312"/>
          <w:sz w:val="30"/>
          <w:szCs w:val="30"/>
          <w:lang w:eastAsia="zh-CN" w:bidi="ar-SA"/>
        </w:rPr>
        <w:t>财政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金融学院</w:t>
      </w:r>
      <w:r>
        <w:rPr>
          <w:rFonts w:hint="eastAsia" w:ascii="楷体" w:hAnsi="楷体" w:eastAsia="楷体" w:cs="仿宋_GB2312"/>
          <w:sz w:val="30"/>
          <w:szCs w:val="30"/>
          <w:lang w:eastAsia="zh-CN" w:bidi="ar-SA"/>
        </w:rPr>
        <w:t>、中国建设银行股份有限公司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楷体" w:hAnsi="楷体" w:eastAsia="楷体" w:cs="仿宋_GB2312"/>
          <w:sz w:val="30"/>
          <w:szCs w:val="30"/>
          <w:lang w:bidi="ar-SA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eastAsia="zh-CN" w:bidi="ar-SA"/>
        </w:rPr>
        <w:t>潘敏、刘知琪</w:t>
      </w: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：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《居民家庭“加杠杆”能促进消费吗？——来自中国家庭微观调查的经验证据》 （201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8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年第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4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期）（作者单位：武汉大学经济发展研究中心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/</w:t>
      </w:r>
      <w:r>
        <w:rPr>
          <w:rFonts w:hint="eastAsia" w:ascii="楷体" w:hAnsi="楷体" w:eastAsia="楷体" w:cs="仿宋_GB2312"/>
          <w:sz w:val="30"/>
          <w:szCs w:val="30"/>
          <w:lang w:eastAsia="zh-CN" w:bidi="ar-SA"/>
        </w:rPr>
        <w:t>经济与管理学院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楷体" w:hAnsi="楷体" w:eastAsia="楷体" w:cs="仿宋_GB2312"/>
          <w:sz w:val="30"/>
          <w:szCs w:val="30"/>
          <w:lang w:bidi="ar-SA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郭晔、程玉伟</w:t>
      </w:r>
      <w:r>
        <w:rPr>
          <w:rFonts w:hint="eastAsia" w:ascii="楷体" w:hAnsi="楷体" w:eastAsia="楷体" w:cs="仿宋_GB2312"/>
          <w:b/>
          <w:bCs/>
          <w:sz w:val="30"/>
          <w:szCs w:val="30"/>
          <w:lang w:eastAsia="zh-CN" w:bidi="ar-SA"/>
        </w:rPr>
        <w:t>、黄振</w:t>
      </w: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：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《货币政策、同业业务与银行流动性创造》 （201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8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年第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5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期）（作者单位：厦门大学经济学院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/王亚南经济研究院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楷体" w:hAnsi="楷体" w:eastAsia="楷体" w:cs="仿宋_GB2312"/>
          <w:sz w:val="30"/>
          <w:szCs w:val="30"/>
          <w:lang w:bidi="ar-SA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林滨</w:t>
      </w:r>
      <w:r>
        <w:rPr>
          <w:rFonts w:hint="eastAsia" w:ascii="楷体" w:hAnsi="楷体" w:eastAsia="楷体" w:cs="仿宋_GB2312"/>
          <w:b/>
          <w:bCs/>
          <w:sz w:val="30"/>
          <w:szCs w:val="30"/>
          <w:lang w:eastAsia="zh-CN" w:bidi="ar-SA"/>
        </w:rPr>
        <w:t>、王弟海、陈诗一</w:t>
      </w: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：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《企业效率异质性、金融摩擦的资源再分配机制与经济波动》 （201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8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年第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8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期）（作者单位：复旦大学经济学院）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楷体" w:hAnsi="楷体" w:eastAsia="楷体" w:cs="仿宋_GB2312"/>
          <w:sz w:val="30"/>
          <w:szCs w:val="30"/>
          <w:lang w:bidi="ar-SA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邱晗</w:t>
      </w:r>
      <w:r>
        <w:rPr>
          <w:rFonts w:hint="eastAsia" w:ascii="楷体" w:hAnsi="楷体" w:eastAsia="楷体" w:cs="仿宋_GB2312"/>
          <w:b/>
          <w:bCs/>
          <w:sz w:val="30"/>
          <w:szCs w:val="30"/>
          <w:lang w:eastAsia="zh-CN" w:bidi="ar-SA"/>
        </w:rPr>
        <w:t>、黄益平、纪洋</w:t>
      </w:r>
      <w:r>
        <w:rPr>
          <w:rFonts w:hint="eastAsia" w:ascii="楷体" w:hAnsi="楷体" w:eastAsia="楷体" w:cs="仿宋_GB2312"/>
          <w:b/>
          <w:bCs/>
          <w:sz w:val="30"/>
          <w:szCs w:val="30"/>
          <w:lang w:bidi="ar-SA"/>
        </w:rPr>
        <w:t>：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《金融科技对传统银行行为的影响——基于互联网理财的视角》（201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8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年第1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1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期）（作者单位：北京大学国家发展研究院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/数字金融研究中心</w:t>
      </w:r>
      <w:r>
        <w:rPr>
          <w:rFonts w:hint="eastAsia" w:ascii="楷体" w:hAnsi="楷体" w:eastAsia="楷体" w:cs="仿宋_GB2312"/>
          <w:sz w:val="30"/>
          <w:szCs w:val="30"/>
          <w:lang w:eastAsia="zh-CN" w:bidi="ar-SA"/>
        </w:rPr>
        <w:t>、厦门大学经济学院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                                            </w:t>
      </w:r>
    </w:p>
    <w:p>
      <w:pPr>
        <w:pStyle w:val="2"/>
        <w:widowControl/>
        <w:spacing w:before="100" w:beforeAutospacing="0" w:after="100" w:afterAutospacing="0" w:line="600" w:lineRule="exact"/>
        <w:ind w:left="0" w:right="0"/>
        <w:jc w:val="right"/>
        <w:rPr>
          <w:rFonts w:hint="eastAsia" w:ascii="楷体" w:hAnsi="楷体" w:eastAsia="楷体" w:cs="仿宋_GB2312"/>
          <w:sz w:val="30"/>
          <w:szCs w:val="30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      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《金融研究》编辑部</w:t>
      </w:r>
    </w:p>
    <w:p>
      <w:pPr>
        <w:pStyle w:val="2"/>
        <w:widowControl/>
        <w:spacing w:before="100" w:beforeAutospacing="0" w:after="100" w:afterAutospacing="0" w:line="600" w:lineRule="exact"/>
        <w:ind w:left="0" w:right="0"/>
        <w:jc w:val="right"/>
        <w:rPr>
          <w:rFonts w:hint="eastAsia" w:ascii="楷体" w:hAnsi="楷体" w:eastAsia="楷体" w:cs="仿宋_GB2312"/>
          <w:sz w:val="30"/>
          <w:szCs w:val="30"/>
          <w:lang w:bidi="ar-SA"/>
        </w:rPr>
      </w:pPr>
      <w:r>
        <w:rPr>
          <w:rFonts w:hint="eastAsia" w:ascii="楷体" w:hAnsi="楷体" w:eastAsia="楷体" w:cs="仿宋_GB2312"/>
          <w:sz w:val="30"/>
          <w:szCs w:val="30"/>
          <w:lang w:bidi="ar-SA"/>
        </w:rPr>
        <w:t>201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9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年1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1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月</w:t>
      </w:r>
      <w:r>
        <w:rPr>
          <w:rFonts w:hint="eastAsia" w:ascii="楷体" w:hAnsi="楷体" w:eastAsia="楷体" w:cs="仿宋_GB2312"/>
          <w:sz w:val="30"/>
          <w:szCs w:val="30"/>
          <w:lang w:val="en-US" w:eastAsia="zh-CN" w:bidi="ar-SA"/>
        </w:rPr>
        <w:t>19</w:t>
      </w:r>
      <w:r>
        <w:rPr>
          <w:rFonts w:hint="eastAsia" w:ascii="楷体" w:hAnsi="楷体" w:eastAsia="楷体" w:cs="仿宋_GB2312"/>
          <w:sz w:val="30"/>
          <w:szCs w:val="30"/>
          <w:lang w:bidi="ar-SA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042A1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BE098"/>
    <w:multiLevelType w:val="singleLevel"/>
    <w:tmpl w:val="4A7BE0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5C5F"/>
    <w:rsid w:val="01CF272B"/>
    <w:rsid w:val="08CF4909"/>
    <w:rsid w:val="0948145A"/>
    <w:rsid w:val="10F601CA"/>
    <w:rsid w:val="17105C5F"/>
    <w:rsid w:val="34C51F77"/>
    <w:rsid w:val="35867BA0"/>
    <w:rsid w:val="37804B6D"/>
    <w:rsid w:val="3CCD6E58"/>
    <w:rsid w:val="4DB86DC8"/>
    <w:rsid w:val="66E53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2019-10-16T01:53:00Z</dcterms:created>
  <dc:creator>dell</dc:creator>
  <cp:lastModifiedBy>dell</cp:lastModifiedBy>
  <cp:lastPrinted>2019-12-03T01:35:18Z</cp:lastPrinted>
  <dcterms:modified xsi:type="dcterms:W3CDTF">2019-12-03T01:35:24Z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