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90" w:lineRule="atLeast"/>
        <w:ind w:left="0" w:right="0"/>
        <w:jc w:val="center"/>
        <w:rPr>
          <w:b/>
          <w:bCs/>
          <w:color w:val="333333"/>
          <w:sz w:val="36"/>
          <w:szCs w:val="36"/>
        </w:rPr>
      </w:pPr>
      <w:r>
        <w:rPr>
          <w:b/>
          <w:bCs/>
          <w:color w:val="333333"/>
          <w:sz w:val="36"/>
          <w:szCs w:val="36"/>
          <w:shd w:val="clear" w:fill="F9F9F9"/>
        </w:rPr>
        <w:t>金融机构反洗钱监督管理办法（试行）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00" w:lineRule="atLeast"/>
        <w:ind w:left="0" w:right="0"/>
        <w:jc w:val="left"/>
        <w:rPr>
          <w:rFonts w:hint="eastAsia" w:ascii="宋体" w:hAnsi="宋体" w:eastAsia="宋体" w:cs="Arial"/>
          <w:color w:val="000000"/>
          <w:kern w:val="0"/>
          <w:sz w:val="24"/>
          <w:szCs w:val="21"/>
          <w:bdr w:val="none" w:color="auto" w:sz="0" w:space="0"/>
          <w:shd w:val="clear" w:fill="F9F9F9"/>
          <w:lang w:val="en-US" w:eastAsia="zh-CN" w:bidi="ar"/>
        </w:rPr>
      </w:pPr>
      <w:r>
        <w:rPr>
          <w:rFonts w:hint="eastAsia" w:ascii="宋体" w:hAnsi="宋体" w:eastAsia="宋体" w:cs="Arial"/>
          <w:color w:val="000000"/>
          <w:kern w:val="0"/>
          <w:sz w:val="24"/>
          <w:szCs w:val="21"/>
          <w:bdr w:val="none" w:color="auto" w:sz="0" w:space="0"/>
          <w:shd w:val="clear" w:fill="F9F9F9"/>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00" w:lineRule="atLeast"/>
        <w:ind w:left="0" w:right="0"/>
        <w:jc w:val="left"/>
        <w:rPr>
          <w:rFonts w:hint="eastAsia" w:ascii="宋体" w:hAnsi="宋体" w:eastAsia="宋体" w:cs="Arial"/>
          <w:color w:val="000000"/>
          <w:kern w:val="0"/>
          <w:sz w:val="24"/>
          <w:szCs w:val="21"/>
          <w:bdr w:val="none" w:color="auto" w:sz="0" w:space="0"/>
          <w:shd w:val="clear" w:fill="F9F9F9"/>
          <w:lang w:val="en-US" w:eastAsia="zh-CN" w:bidi="ar"/>
        </w:rPr>
      </w:pPr>
      <w:r>
        <w:rPr>
          <w:rFonts w:hint="eastAsia" w:ascii="宋体" w:hAnsi="宋体" w:eastAsia="宋体" w:cs="Arial"/>
          <w:color w:val="000000"/>
          <w:kern w:val="0"/>
          <w:sz w:val="24"/>
          <w:szCs w:val="21"/>
          <w:bdr w:val="none" w:color="auto" w:sz="0" w:space="0"/>
          <w:shd w:val="clear" w:fill="F9F9F9"/>
          <w:lang w:val="en-US" w:eastAsia="zh-CN" w:bidi="ar"/>
        </w:rPr>
        <w:t xml:space="preserve">             （银发[2014]344号　2014年11月15日）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00" w:lineRule="atLeast"/>
        <w:ind w:left="0" w:right="0"/>
        <w:jc w:val="left"/>
        <w:rPr>
          <w:rFonts w:hint="eastAsia" w:ascii="宋体" w:hAnsi="宋体" w:eastAsia="宋体" w:cs="Arial"/>
          <w:color w:val="000000"/>
          <w:kern w:val="0"/>
          <w:sz w:val="24"/>
          <w:szCs w:val="21"/>
          <w:bdr w:val="none" w:color="auto" w:sz="0" w:space="0"/>
          <w:shd w:val="clear" w:fill="F9F9F9"/>
          <w:lang w:val="en-US" w:eastAsia="zh-CN" w:bidi="ar"/>
        </w:rPr>
      </w:pPr>
    </w:p>
    <w:p>
      <w:pPr>
        <w:pStyle w:val="3"/>
        <w:keepNext w:val="0"/>
        <w:keepLines w:val="0"/>
        <w:widowControl/>
        <w:suppressLineNumbers w:val="0"/>
        <w:spacing w:before="0" w:beforeAutospacing="0" w:after="0" w:afterAutospacing="0" w:line="300" w:lineRule="atLeast"/>
        <w:ind w:left="0" w:right="0"/>
      </w:pPr>
      <w:bookmarkStart w:id="0" w:name="1"/>
      <w:r>
        <w:rPr>
          <w:rFonts w:hint="eastAsia" w:ascii="宋体" w:hAnsi="宋体" w:eastAsia="宋体" w:cs="Arial"/>
          <w:color w:val="000000"/>
          <w:kern w:val="0"/>
          <w:sz w:val="21"/>
          <w:szCs w:val="21"/>
          <w:u w:val="none"/>
          <w:shd w:val="clear" w:fill="F9F9F9"/>
          <w:lang w:val="en-US" w:eastAsia="zh-CN" w:bidi="ar"/>
        </w:rPr>
        <w:t>　　第一条</w:t>
      </w:r>
      <w:bookmarkEnd w:id="0"/>
      <w:r>
        <w:rPr>
          <w:rFonts w:hint="eastAsia" w:ascii="宋体" w:hAnsi="宋体" w:eastAsia="宋体" w:cs="Arial"/>
          <w:color w:val="000000"/>
          <w:kern w:val="0"/>
          <w:sz w:val="21"/>
          <w:szCs w:val="21"/>
          <w:shd w:val="clear" w:fill="F9F9F9"/>
          <w:lang w:val="en-US" w:eastAsia="zh-CN" w:bidi="ar"/>
        </w:rPr>
        <w:t>　为规范反洗钱监督管理工作，督促金融机构有效履行反洗钱义务，根据《</w:t>
      </w:r>
      <w:r>
        <w:rPr>
          <w:rFonts w:ascii="Calibri" w:hAnsi="Calibri" w:eastAsia="宋体" w:cs="Times New Roman"/>
          <w:color w:val="333333"/>
          <w:sz w:val="21"/>
          <w:szCs w:val="22"/>
          <w:u w:val="none"/>
          <w:shd w:val="clear" w:fill="F9F9F9"/>
          <w:lang w:val="en-US" w:eastAsia="zh-CN" w:bidi="ar"/>
        </w:rPr>
        <w:fldChar w:fldCharType="begin"/>
      </w:r>
      <w:r>
        <w:rPr>
          <w:rFonts w:ascii="Calibri" w:hAnsi="Calibri" w:eastAsia="宋体" w:cs="Times New Roman"/>
          <w:color w:val="333333"/>
          <w:sz w:val="21"/>
          <w:szCs w:val="22"/>
          <w:u w:val="none"/>
          <w:shd w:val="clear" w:fill="F9F9F9"/>
          <w:lang w:val="en-US" w:eastAsia="zh-CN" w:bidi="ar"/>
        </w:rPr>
        <w:instrText xml:space="preserve"> HYPERLINK "http://www.bosera.com/common/javascript:SLC(80994,0)" </w:instrText>
      </w:r>
      <w:r>
        <w:rPr>
          <w:rFonts w:ascii="Calibri" w:hAnsi="Calibri" w:eastAsia="宋体" w:cs="Times New Roman"/>
          <w:color w:val="333333"/>
          <w:sz w:val="21"/>
          <w:szCs w:val="22"/>
          <w:u w:val="none"/>
          <w:shd w:val="clear" w:fill="F9F9F9"/>
          <w:lang w:val="en-US" w:eastAsia="zh-CN" w:bidi="ar"/>
        </w:rPr>
        <w:fldChar w:fldCharType="separate"/>
      </w:r>
      <w:r>
        <w:rPr>
          <w:rStyle w:val="7"/>
          <w:rFonts w:hint="eastAsia" w:ascii="Arial" w:hAnsi="Arial" w:eastAsia="宋体" w:cs="Arial"/>
          <w:color w:val="0000FF"/>
          <w:kern w:val="0"/>
          <w:sz w:val="21"/>
          <w:szCs w:val="21"/>
          <w:u w:val="none"/>
          <w:shd w:val="clear" w:fill="F9F9F9"/>
          <w:lang w:val="en-US" w:eastAsia="zh-CN" w:bidi="ar"/>
        </w:rPr>
        <w:t>中华人民共和国反洗钱法</w:t>
      </w:r>
      <w:r>
        <w:rPr>
          <w:rFonts w:hint="default" w:ascii="Calibri" w:hAnsi="Calibri" w:eastAsia="宋体" w:cs="Times New Roman"/>
          <w:color w:val="333333"/>
          <w:sz w:val="21"/>
          <w:szCs w:val="22"/>
          <w:u w:val="none"/>
          <w:shd w:val="clear" w:fill="F9F9F9"/>
          <w:lang w:val="en-US" w:eastAsia="zh-CN" w:bidi="ar"/>
        </w:rPr>
        <w:fldChar w:fldCharType="end"/>
      </w:r>
      <w:r>
        <w:rPr>
          <w:rFonts w:hint="eastAsia" w:ascii="宋体" w:hAnsi="宋体" w:eastAsia="宋体" w:cs="Arial"/>
          <w:color w:val="000000"/>
          <w:kern w:val="0"/>
          <w:sz w:val="21"/>
          <w:szCs w:val="21"/>
          <w:shd w:val="clear" w:fill="F9F9F9"/>
          <w:lang w:val="en-US" w:eastAsia="zh-CN" w:bidi="ar"/>
        </w:rPr>
        <w:t>》、《</w:t>
      </w:r>
      <w:r>
        <w:rPr>
          <w:rFonts w:hint="default" w:ascii="Calibri" w:hAnsi="Calibri" w:eastAsia="宋体" w:cs="Times New Roman"/>
          <w:color w:val="333333"/>
          <w:sz w:val="21"/>
          <w:szCs w:val="22"/>
          <w:u w:val="none"/>
          <w:shd w:val="clear" w:fill="F9F9F9"/>
          <w:lang w:val="en-US" w:eastAsia="zh-CN" w:bidi="ar"/>
        </w:rPr>
        <w:fldChar w:fldCharType="begin"/>
      </w:r>
      <w:r>
        <w:rPr>
          <w:rFonts w:hint="default" w:ascii="Calibri" w:hAnsi="Calibri" w:eastAsia="宋体" w:cs="Times New Roman"/>
          <w:color w:val="333333"/>
          <w:sz w:val="21"/>
          <w:szCs w:val="22"/>
          <w:u w:val="none"/>
          <w:shd w:val="clear" w:fill="F9F9F9"/>
          <w:lang w:val="en-US" w:eastAsia="zh-CN" w:bidi="ar"/>
        </w:rPr>
        <w:instrText xml:space="preserve"> HYPERLINK "http://www.bosera.com/common/javascript:SLC(50973,0)" </w:instrText>
      </w:r>
      <w:r>
        <w:rPr>
          <w:rFonts w:hint="default" w:ascii="Calibri" w:hAnsi="Calibri" w:eastAsia="宋体" w:cs="Times New Roman"/>
          <w:color w:val="333333"/>
          <w:sz w:val="21"/>
          <w:szCs w:val="22"/>
          <w:u w:val="none"/>
          <w:shd w:val="clear" w:fill="F9F9F9"/>
          <w:lang w:val="en-US" w:eastAsia="zh-CN" w:bidi="ar"/>
        </w:rPr>
        <w:fldChar w:fldCharType="separate"/>
      </w:r>
      <w:r>
        <w:rPr>
          <w:rStyle w:val="7"/>
          <w:rFonts w:hint="eastAsia" w:ascii="Arial" w:hAnsi="Arial" w:eastAsia="宋体" w:cs="Arial"/>
          <w:color w:val="0000FF"/>
          <w:kern w:val="0"/>
          <w:sz w:val="21"/>
          <w:szCs w:val="21"/>
          <w:u w:val="none"/>
          <w:shd w:val="clear" w:fill="F9F9F9"/>
          <w:lang w:val="en-US" w:eastAsia="zh-CN" w:bidi="ar"/>
        </w:rPr>
        <w:t>中华人民共和国中国人民银行法</w:t>
      </w:r>
      <w:r>
        <w:rPr>
          <w:rFonts w:hint="default" w:ascii="Calibri" w:hAnsi="Calibri" w:eastAsia="宋体" w:cs="Times New Roman"/>
          <w:color w:val="333333"/>
          <w:sz w:val="21"/>
          <w:szCs w:val="22"/>
          <w:u w:val="none"/>
          <w:shd w:val="clear" w:fill="F9F9F9"/>
          <w:lang w:val="en-US" w:eastAsia="zh-CN" w:bidi="ar"/>
        </w:rPr>
        <w:fldChar w:fldCharType="end"/>
      </w:r>
      <w:r>
        <w:rPr>
          <w:rFonts w:hint="eastAsia" w:ascii="宋体" w:hAnsi="宋体" w:eastAsia="宋体" w:cs="Arial"/>
          <w:color w:val="000000"/>
          <w:kern w:val="0"/>
          <w:sz w:val="21"/>
          <w:szCs w:val="21"/>
          <w:shd w:val="clear" w:fill="F9F9F9"/>
          <w:lang w:val="en-US" w:eastAsia="zh-CN" w:bidi="ar"/>
        </w:rPr>
        <w:t>》、《</w:t>
      </w:r>
      <w:r>
        <w:rPr>
          <w:rFonts w:hint="default" w:ascii="Calibri" w:hAnsi="Calibri" w:eastAsia="宋体" w:cs="Times New Roman"/>
          <w:color w:val="333333"/>
          <w:sz w:val="21"/>
          <w:szCs w:val="22"/>
          <w:u w:val="none"/>
          <w:shd w:val="clear" w:fill="F9F9F9"/>
          <w:lang w:val="en-US" w:eastAsia="zh-CN" w:bidi="ar"/>
        </w:rPr>
        <w:fldChar w:fldCharType="begin"/>
      </w:r>
      <w:r>
        <w:rPr>
          <w:rFonts w:hint="default" w:ascii="Calibri" w:hAnsi="Calibri" w:eastAsia="宋体" w:cs="Times New Roman"/>
          <w:color w:val="333333"/>
          <w:sz w:val="21"/>
          <w:szCs w:val="22"/>
          <w:u w:val="none"/>
          <w:shd w:val="clear" w:fill="F9F9F9"/>
          <w:lang w:val="en-US" w:eastAsia="zh-CN" w:bidi="ar"/>
        </w:rPr>
        <w:instrText xml:space="preserve"> HYPERLINK "http://www.bosera.com/common/javascript:SLC(81425,0)" </w:instrText>
      </w:r>
      <w:r>
        <w:rPr>
          <w:rFonts w:hint="default" w:ascii="Calibri" w:hAnsi="Calibri" w:eastAsia="宋体" w:cs="Times New Roman"/>
          <w:color w:val="333333"/>
          <w:sz w:val="21"/>
          <w:szCs w:val="22"/>
          <w:u w:val="none"/>
          <w:shd w:val="clear" w:fill="F9F9F9"/>
          <w:lang w:val="en-US" w:eastAsia="zh-CN" w:bidi="ar"/>
        </w:rPr>
        <w:fldChar w:fldCharType="separate"/>
      </w:r>
      <w:r>
        <w:rPr>
          <w:rStyle w:val="7"/>
          <w:rFonts w:hint="eastAsia" w:ascii="Arial" w:hAnsi="Arial" w:eastAsia="宋体" w:cs="Arial"/>
          <w:color w:val="0000FF"/>
          <w:kern w:val="0"/>
          <w:sz w:val="21"/>
          <w:szCs w:val="21"/>
          <w:u w:val="none"/>
          <w:shd w:val="clear" w:fill="F9F9F9"/>
          <w:lang w:val="en-US" w:eastAsia="zh-CN" w:bidi="ar"/>
        </w:rPr>
        <w:t>金融机构反洗钱规定</w:t>
      </w:r>
      <w:r>
        <w:rPr>
          <w:rFonts w:hint="default" w:ascii="Calibri" w:hAnsi="Calibri" w:eastAsia="宋体" w:cs="Times New Roman"/>
          <w:color w:val="333333"/>
          <w:sz w:val="21"/>
          <w:szCs w:val="22"/>
          <w:u w:val="none"/>
          <w:shd w:val="clear" w:fill="F9F9F9"/>
          <w:lang w:val="en-US" w:eastAsia="zh-CN" w:bidi="ar"/>
        </w:rPr>
        <w:fldChar w:fldCharType="end"/>
      </w:r>
      <w:r>
        <w:rPr>
          <w:rFonts w:hint="eastAsia" w:ascii="宋体" w:hAnsi="宋体" w:eastAsia="宋体" w:cs="Arial"/>
          <w:color w:val="000000"/>
          <w:kern w:val="0"/>
          <w:sz w:val="21"/>
          <w:szCs w:val="21"/>
          <w:shd w:val="clear" w:fill="F9F9F9"/>
          <w:lang w:val="en-US" w:eastAsia="zh-CN" w:bidi="ar"/>
        </w:rPr>
        <w:t>》（中国人民银行令[2006]第1号发布）等法律和规章，制定本办法。</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1" w:name="2"/>
      <w:r>
        <w:rPr>
          <w:rFonts w:hint="eastAsia" w:ascii="宋体" w:hAnsi="宋体" w:eastAsia="宋体" w:cs="Arial"/>
          <w:color w:val="333333"/>
          <w:kern w:val="0"/>
          <w:sz w:val="21"/>
          <w:szCs w:val="21"/>
          <w:u w:val="none"/>
          <w:shd w:val="clear" w:fill="F9F9F9"/>
          <w:lang w:val="en-US" w:eastAsia="zh-CN" w:bidi="ar"/>
        </w:rPr>
        <w:t>　　第二条</w:t>
      </w:r>
      <w:bookmarkEnd w:id="1"/>
      <w:r>
        <w:rPr>
          <w:rFonts w:hint="eastAsia" w:ascii="宋体" w:hAnsi="宋体" w:eastAsia="宋体" w:cs="Arial"/>
          <w:color w:val="000000"/>
          <w:kern w:val="0"/>
          <w:sz w:val="21"/>
          <w:szCs w:val="21"/>
          <w:shd w:val="clear" w:fill="F9F9F9"/>
          <w:lang w:val="en-US" w:eastAsia="zh-CN" w:bidi="ar"/>
        </w:rPr>
        <w:t>　本办法适用于中国人民银行及其分支机构对在中华人民共和国境内依法设立的下列金融机构的监督管理：</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（一）政策性银行、商业银行、农村合作银行、农村信用社、村镇银行；</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（二）证券公司、期货公司、基金管理公司；</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（三）保险公司、保险资产管理公司；</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（四）金融资产管理公司、信托公司、企业集团财务公司、金融租赁公司、汽车金融公司、货币经纪公司；</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（五）中国人民银行明确须履行有关反</w:t>
      </w:r>
      <w:bookmarkStart w:id="45" w:name="_GoBack"/>
      <w:bookmarkEnd w:id="45"/>
      <w:r>
        <w:rPr>
          <w:rFonts w:hint="eastAsia" w:ascii="宋体" w:hAnsi="宋体" w:eastAsia="宋体" w:cs="Arial"/>
          <w:color w:val="000000"/>
          <w:kern w:val="0"/>
          <w:sz w:val="21"/>
          <w:szCs w:val="21"/>
          <w:shd w:val="clear" w:fill="F9F9F9"/>
          <w:lang w:val="en-US" w:eastAsia="zh-CN" w:bidi="ar"/>
        </w:rPr>
        <w:t>洗钱义务的其他金融机构。</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2" w:name="3"/>
      <w:r>
        <w:rPr>
          <w:rFonts w:hint="eastAsia" w:ascii="宋体" w:hAnsi="宋体" w:eastAsia="宋体" w:cs="Arial"/>
          <w:color w:val="333333"/>
          <w:kern w:val="0"/>
          <w:sz w:val="21"/>
          <w:szCs w:val="21"/>
          <w:u w:val="none"/>
          <w:shd w:val="clear" w:fill="F9F9F9"/>
          <w:lang w:val="en-US" w:eastAsia="zh-CN" w:bidi="ar"/>
        </w:rPr>
        <w:t>　　第三条</w:t>
      </w:r>
      <w:bookmarkEnd w:id="2"/>
      <w:r>
        <w:rPr>
          <w:rFonts w:hint="eastAsia" w:ascii="宋体" w:hAnsi="宋体" w:eastAsia="宋体" w:cs="Arial"/>
          <w:color w:val="000000"/>
          <w:kern w:val="0"/>
          <w:sz w:val="21"/>
          <w:szCs w:val="21"/>
          <w:shd w:val="clear" w:fill="F9F9F9"/>
          <w:lang w:val="en-US" w:eastAsia="zh-CN" w:bidi="ar"/>
        </w:rPr>
        <w:t>　中国人民银行负责明确和调整反洗钱监管分工，制定金融机构反洗钱信息报告制度及反洗钱监管档案管理办法，规范反洗钱监管方法、措施和程序，指导中国人民银行分支机构开展反洗钱监管工作。</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3" w:name="4"/>
      <w:r>
        <w:rPr>
          <w:rFonts w:hint="eastAsia" w:ascii="宋体" w:hAnsi="宋体" w:eastAsia="宋体" w:cs="Arial"/>
          <w:color w:val="333333"/>
          <w:kern w:val="0"/>
          <w:sz w:val="21"/>
          <w:szCs w:val="21"/>
          <w:u w:val="none"/>
          <w:shd w:val="clear" w:fill="F9F9F9"/>
          <w:lang w:val="en-US" w:eastAsia="zh-CN" w:bidi="ar"/>
        </w:rPr>
        <w:t>　　第四条</w:t>
      </w:r>
      <w:bookmarkEnd w:id="3"/>
      <w:r>
        <w:rPr>
          <w:rFonts w:hint="eastAsia" w:ascii="宋体" w:hAnsi="宋体" w:eastAsia="宋体" w:cs="Arial"/>
          <w:color w:val="000000"/>
          <w:kern w:val="0"/>
          <w:sz w:val="21"/>
          <w:szCs w:val="21"/>
          <w:shd w:val="clear" w:fill="F9F9F9"/>
          <w:lang w:val="en-US" w:eastAsia="zh-CN" w:bidi="ar"/>
        </w:rPr>
        <w:t>　中国人民银行及其分支机构应当遵循风险为本和法人监管原则，结合实际，合理运用各类监管方法，实现对不同类型金融机构的有效监管。</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4" w:name="5"/>
      <w:r>
        <w:rPr>
          <w:rFonts w:hint="eastAsia" w:ascii="宋体" w:hAnsi="宋体" w:eastAsia="宋体" w:cs="Arial"/>
          <w:color w:val="333333"/>
          <w:kern w:val="0"/>
          <w:sz w:val="21"/>
          <w:szCs w:val="21"/>
          <w:u w:val="none"/>
          <w:shd w:val="clear" w:fill="F9F9F9"/>
          <w:lang w:val="en-US" w:eastAsia="zh-CN" w:bidi="ar"/>
        </w:rPr>
        <w:t>　　第五条</w:t>
      </w:r>
      <w:bookmarkEnd w:id="4"/>
      <w:r>
        <w:rPr>
          <w:rFonts w:hint="eastAsia" w:ascii="宋体" w:hAnsi="宋体" w:eastAsia="宋体" w:cs="Arial"/>
          <w:color w:val="000000"/>
          <w:kern w:val="0"/>
          <w:sz w:val="21"/>
          <w:szCs w:val="21"/>
          <w:shd w:val="clear" w:fill="F9F9F9"/>
          <w:lang w:val="en-US" w:eastAsia="zh-CN" w:bidi="ar"/>
        </w:rPr>
        <w:t>　金融机构应当按照中国人民银行的规定，报送反洗钱工作信息，积极配合中国人民银行及其分支机构的反洗钱监管工作。</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5" w:name="6"/>
      <w:r>
        <w:rPr>
          <w:rFonts w:hint="eastAsia" w:ascii="宋体" w:hAnsi="宋体" w:eastAsia="宋体" w:cs="Arial"/>
          <w:color w:val="333333"/>
          <w:kern w:val="0"/>
          <w:sz w:val="21"/>
          <w:szCs w:val="21"/>
          <w:u w:val="none"/>
          <w:shd w:val="clear" w:fill="F9F9F9"/>
          <w:lang w:val="en-US" w:eastAsia="zh-CN" w:bidi="ar"/>
        </w:rPr>
        <w:t>　　第六条</w:t>
      </w:r>
      <w:bookmarkEnd w:id="5"/>
      <w:r>
        <w:rPr>
          <w:rFonts w:hint="eastAsia" w:ascii="宋体" w:hAnsi="宋体" w:eastAsia="宋体" w:cs="Arial"/>
          <w:color w:val="000000"/>
          <w:kern w:val="0"/>
          <w:sz w:val="21"/>
          <w:szCs w:val="21"/>
          <w:shd w:val="clear" w:fill="F9F9F9"/>
          <w:lang w:val="en-US" w:eastAsia="zh-CN" w:bidi="ar"/>
        </w:rPr>
        <w:t>　中国人民银行及其分支机构监管人员违反规定程序或者超越规定职权的，金融机构有权拒绝监管或者提出异议。金融机构对中国人民银行及其分支机构提出的违法违规问题有权提出申辩，有合理理由的，中国人民银行及其分支机构应当采纳。</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6" w:name="7"/>
      <w:r>
        <w:rPr>
          <w:rFonts w:hint="eastAsia" w:ascii="宋体" w:hAnsi="宋体" w:eastAsia="宋体" w:cs="Arial"/>
          <w:color w:val="333333"/>
          <w:kern w:val="0"/>
          <w:sz w:val="21"/>
          <w:szCs w:val="21"/>
          <w:u w:val="none"/>
          <w:shd w:val="clear" w:fill="F9F9F9"/>
          <w:lang w:val="en-US" w:eastAsia="zh-CN" w:bidi="ar"/>
        </w:rPr>
        <w:t>　　第七条</w:t>
      </w:r>
      <w:bookmarkEnd w:id="6"/>
      <w:r>
        <w:rPr>
          <w:rFonts w:hint="eastAsia" w:ascii="宋体" w:hAnsi="宋体" w:eastAsia="宋体" w:cs="Arial"/>
          <w:color w:val="000000"/>
          <w:kern w:val="0"/>
          <w:sz w:val="21"/>
          <w:szCs w:val="21"/>
          <w:shd w:val="clear" w:fill="F9F9F9"/>
          <w:lang w:val="en-US" w:eastAsia="zh-CN" w:bidi="ar"/>
        </w:rPr>
        <w:t>　中国人民银行及其分支机构应当对反洗钱监督管理中获取的反洗钱信息采取妥善的保管和保密措施，不得违反规定对外提供。第二章监管分工</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7" w:name="8"/>
      <w:r>
        <w:rPr>
          <w:rFonts w:hint="eastAsia" w:ascii="宋体" w:hAnsi="宋体" w:eastAsia="宋体" w:cs="Arial"/>
          <w:color w:val="333333"/>
          <w:kern w:val="0"/>
          <w:sz w:val="21"/>
          <w:szCs w:val="21"/>
          <w:u w:val="none"/>
          <w:shd w:val="clear" w:fill="F9F9F9"/>
          <w:lang w:val="en-US" w:eastAsia="zh-CN" w:bidi="ar"/>
        </w:rPr>
        <w:t>　　第八条</w:t>
      </w:r>
      <w:bookmarkEnd w:id="7"/>
      <w:r>
        <w:rPr>
          <w:rFonts w:hint="eastAsia" w:ascii="宋体" w:hAnsi="宋体" w:eastAsia="宋体" w:cs="Arial"/>
          <w:color w:val="000000"/>
          <w:kern w:val="0"/>
          <w:sz w:val="21"/>
          <w:szCs w:val="21"/>
          <w:shd w:val="clear" w:fill="F9F9F9"/>
          <w:lang w:val="en-US" w:eastAsia="zh-CN" w:bidi="ar"/>
        </w:rPr>
        <w:t>　中国人民银行负责全国性法人金融机构总部的监督管理。中国人民银行分支机构负责辖区内地方性法人金融机构总部以及非法人金融机构的监督管理。中国人民银行可以授权法人金融机构所在地的中国人民银行分支机构对全国性法人金融机构总部代行监管职责。</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中国人民银行负责监管的全国性法人金融机构总部名单由中国人民银行确定、调整。名单之外的全国性法人金融机构总部，中国人民银行授权该机构所在地副省级城市中心支行以上分支机构代行监管职责。</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中国人民银行分支机构应当明确辖区内金融机构的反洗钱监管分工，避免监管真空和重复监管。</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中国人民银行分支机构之间对监管权有争议的，应当报请同一上级机构确定。</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8" w:name="9"/>
      <w:r>
        <w:rPr>
          <w:rFonts w:hint="eastAsia" w:ascii="宋体" w:hAnsi="宋体" w:eastAsia="宋体" w:cs="Arial"/>
          <w:color w:val="333333"/>
          <w:kern w:val="0"/>
          <w:sz w:val="21"/>
          <w:szCs w:val="21"/>
          <w:u w:val="none"/>
          <w:shd w:val="clear" w:fill="F9F9F9"/>
          <w:lang w:val="en-US" w:eastAsia="zh-CN" w:bidi="ar"/>
        </w:rPr>
        <w:t>　　第九条</w:t>
      </w:r>
      <w:bookmarkEnd w:id="8"/>
      <w:r>
        <w:rPr>
          <w:rFonts w:hint="eastAsia" w:ascii="宋体" w:hAnsi="宋体" w:eastAsia="宋体" w:cs="Arial"/>
          <w:color w:val="000000"/>
          <w:kern w:val="0"/>
          <w:sz w:val="21"/>
          <w:szCs w:val="21"/>
          <w:shd w:val="clear" w:fill="F9F9F9"/>
          <w:lang w:val="en-US" w:eastAsia="zh-CN" w:bidi="ar"/>
        </w:rPr>
        <w:t>　中国人民银行及其分支机构可以直接对其下级机构负责监管的金融机构进行现场检查，可以授权下级机构检查由上级机构负责监管的金融机构；下级机构认为其负责监管的金融机构执行反洗钱规定的情况有重大社会影响的，可以请求上级机构进行现场检查。</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中国人民银行分支机构认为确有必要涉及跨辖区实施现场检查的，可以建议上级机构统一安排。第三章非现场监管</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9" w:name="10"/>
      <w:r>
        <w:rPr>
          <w:rFonts w:hint="eastAsia" w:ascii="宋体" w:hAnsi="宋体" w:eastAsia="宋体" w:cs="Arial"/>
          <w:color w:val="333333"/>
          <w:kern w:val="0"/>
          <w:sz w:val="21"/>
          <w:szCs w:val="21"/>
          <w:u w:val="none"/>
          <w:shd w:val="clear" w:fill="F9F9F9"/>
          <w:lang w:val="en-US" w:eastAsia="zh-CN" w:bidi="ar"/>
        </w:rPr>
        <w:t>　　第十条</w:t>
      </w:r>
      <w:bookmarkEnd w:id="9"/>
      <w:r>
        <w:rPr>
          <w:rFonts w:hint="eastAsia" w:ascii="宋体" w:hAnsi="宋体" w:eastAsia="宋体" w:cs="Arial"/>
          <w:color w:val="000000"/>
          <w:kern w:val="0"/>
          <w:sz w:val="21"/>
          <w:szCs w:val="21"/>
          <w:shd w:val="clear" w:fill="F9F9F9"/>
          <w:lang w:val="en-US" w:eastAsia="zh-CN" w:bidi="ar"/>
        </w:rPr>
        <w:t>　中国人民银行建立金融机构反洗钱定期报告制度。定期报告制度的具体内容和报告方式由中国人民银行统一规定、调整。</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反洗钱报告机构应当按照中国人民银行的规定，指定专人向负责监管的中国人民银行或其分支机构报送反洗钱工作报告及其他信息资料，如实反映反洗钱工作情况。反洗钱报告机构应当对相关信息的真实性、完整性、及时性负责。</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10" w:name="11"/>
      <w:r>
        <w:rPr>
          <w:rFonts w:hint="eastAsia" w:ascii="宋体" w:hAnsi="宋体" w:eastAsia="宋体" w:cs="Arial"/>
          <w:color w:val="333333"/>
          <w:kern w:val="0"/>
          <w:sz w:val="21"/>
          <w:szCs w:val="21"/>
          <w:u w:val="none"/>
          <w:shd w:val="clear" w:fill="F9F9F9"/>
          <w:lang w:val="en-US" w:eastAsia="zh-CN" w:bidi="ar"/>
        </w:rPr>
        <w:t>　　第十一条</w:t>
      </w:r>
      <w:bookmarkEnd w:id="10"/>
      <w:r>
        <w:rPr>
          <w:rFonts w:hint="eastAsia" w:ascii="宋体" w:hAnsi="宋体" w:eastAsia="宋体" w:cs="Arial"/>
          <w:color w:val="000000"/>
          <w:kern w:val="0"/>
          <w:sz w:val="21"/>
          <w:szCs w:val="21"/>
          <w:shd w:val="clear" w:fill="F9F9F9"/>
          <w:lang w:val="en-US" w:eastAsia="zh-CN" w:bidi="ar"/>
        </w:rPr>
        <w:t>　反洗钱报告机构应撰写反洗钱年度报告，如期向中国人民银行或其分支机构报告以下内容：</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（一）反洗钱工作的整体情况及机构概况；</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（二）反洗钱工作机制建立情况；</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（三）反洗钱法定义务履行情况；</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（四）反洗钱工作配合与成效情况；</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（五）其他反洗钱工作情况、问题及建议。</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金融机构有境外机构的，由其境内法人金融机构总部按年度向中国人民银行或其分支机构报告所属境外机构接受驻在国家（地区）反洗钱监管的情况。</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11" w:name="12"/>
      <w:r>
        <w:rPr>
          <w:rFonts w:hint="eastAsia" w:ascii="宋体" w:hAnsi="宋体" w:eastAsia="宋体" w:cs="Arial"/>
          <w:color w:val="333333"/>
          <w:kern w:val="0"/>
          <w:sz w:val="21"/>
          <w:szCs w:val="21"/>
          <w:u w:val="none"/>
          <w:shd w:val="clear" w:fill="F9F9F9"/>
          <w:lang w:val="en-US" w:eastAsia="zh-CN" w:bidi="ar"/>
        </w:rPr>
        <w:t>　　第十二条</w:t>
      </w:r>
      <w:bookmarkEnd w:id="11"/>
      <w:r>
        <w:rPr>
          <w:rFonts w:hint="eastAsia" w:ascii="宋体" w:hAnsi="宋体" w:eastAsia="宋体" w:cs="Arial"/>
          <w:color w:val="000000"/>
          <w:kern w:val="0"/>
          <w:sz w:val="21"/>
          <w:szCs w:val="21"/>
          <w:shd w:val="clear" w:fill="F9F9F9"/>
          <w:lang w:val="en-US" w:eastAsia="zh-CN" w:bidi="ar"/>
        </w:rPr>
        <w:t>　法人金融机构的反洗钱年度报告内容应当覆盖本机构总部和全部分支机构；非法人金融机构的反洗钱年度报告内容应当覆盖本级机构及其所辖分支机构。</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12" w:name="13"/>
      <w:r>
        <w:rPr>
          <w:rFonts w:hint="eastAsia" w:ascii="宋体" w:hAnsi="宋体" w:eastAsia="宋体" w:cs="Arial"/>
          <w:color w:val="333333"/>
          <w:kern w:val="0"/>
          <w:sz w:val="21"/>
          <w:szCs w:val="21"/>
          <w:u w:val="none"/>
          <w:shd w:val="clear" w:fill="F9F9F9"/>
          <w:lang w:val="en-US" w:eastAsia="zh-CN" w:bidi="ar"/>
        </w:rPr>
        <w:t>　　第十三条</w:t>
      </w:r>
      <w:bookmarkEnd w:id="12"/>
      <w:r>
        <w:rPr>
          <w:rFonts w:hint="eastAsia" w:ascii="宋体" w:hAnsi="宋体" w:eastAsia="宋体" w:cs="Arial"/>
          <w:color w:val="000000"/>
          <w:kern w:val="0"/>
          <w:sz w:val="21"/>
          <w:szCs w:val="21"/>
          <w:shd w:val="clear" w:fill="F9F9F9"/>
          <w:lang w:val="en-US" w:eastAsia="zh-CN" w:bidi="ar"/>
        </w:rPr>
        <w:t>　金融机构发生下列情况的，应当及时（发生后10个工作日内）向中国人民银行或其分支机构报告：</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（一）主要反洗钱内控制度修订；</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（二）反洗钱工作机构和岗位人员调整、联系方式变更；</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（三）涉及本机构反洗钱工作的重大风险事项；</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（四）洗钱风险自评估报告或其他相关风险分析材料；</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（五）其他由中国人民银行明确要求立即报告的涉及反洗钱事项。</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13" w:name="14"/>
      <w:r>
        <w:rPr>
          <w:rFonts w:hint="eastAsia" w:ascii="宋体" w:hAnsi="宋体" w:eastAsia="宋体" w:cs="Arial"/>
          <w:color w:val="333333"/>
          <w:kern w:val="0"/>
          <w:sz w:val="21"/>
          <w:szCs w:val="21"/>
          <w:u w:val="none"/>
          <w:shd w:val="clear" w:fill="F9F9F9"/>
          <w:lang w:val="en-US" w:eastAsia="zh-CN" w:bidi="ar"/>
        </w:rPr>
        <w:t>　　第十四条</w:t>
      </w:r>
      <w:bookmarkEnd w:id="13"/>
      <w:r>
        <w:rPr>
          <w:rFonts w:hint="eastAsia" w:ascii="宋体" w:hAnsi="宋体" w:eastAsia="宋体" w:cs="Arial"/>
          <w:color w:val="000000"/>
          <w:kern w:val="0"/>
          <w:sz w:val="21"/>
          <w:szCs w:val="21"/>
          <w:shd w:val="clear" w:fill="F9F9F9"/>
          <w:lang w:val="en-US" w:eastAsia="zh-CN" w:bidi="ar"/>
        </w:rPr>
        <w:t>　中国人民银行及其分支机构应当根据监管分工，以反洗钱报告机构为主体，及时对金融机构反洗钱工作信息和监管活动信息建立监管档案，保存下列信息，实施动态监督管理：</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（一）金融机构报送的信息；</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（二）中国人民银行及其分支机构在实施反洗钱监管过程中产生的信息；</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（三）其他渠道获取的重要信息。</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14" w:name="15"/>
      <w:r>
        <w:rPr>
          <w:rFonts w:hint="eastAsia" w:ascii="宋体" w:hAnsi="宋体" w:eastAsia="宋体" w:cs="Arial"/>
          <w:color w:val="333333"/>
          <w:kern w:val="0"/>
          <w:sz w:val="21"/>
          <w:szCs w:val="21"/>
          <w:u w:val="none"/>
          <w:shd w:val="clear" w:fill="F9F9F9"/>
          <w:lang w:val="en-US" w:eastAsia="zh-CN" w:bidi="ar"/>
        </w:rPr>
        <w:t>　　第十五条</w:t>
      </w:r>
      <w:bookmarkEnd w:id="14"/>
      <w:r>
        <w:rPr>
          <w:rFonts w:hint="eastAsia" w:ascii="宋体" w:hAnsi="宋体" w:eastAsia="宋体" w:cs="Arial"/>
          <w:color w:val="000000"/>
          <w:kern w:val="0"/>
          <w:sz w:val="21"/>
          <w:szCs w:val="21"/>
          <w:shd w:val="clear" w:fill="F9F9F9"/>
          <w:lang w:val="en-US" w:eastAsia="zh-CN" w:bidi="ar"/>
        </w:rPr>
        <w:t>　中国人民银行及其分支机构应当做好反洗钱监管档案的设置与维护。</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反洗钱监管档案按年度进行时序管理。中国人民银行分支机构应当于每年度结束后将法人金融机构的电子监管档案逐级上报至中国人民银行。</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15" w:name="16"/>
      <w:r>
        <w:rPr>
          <w:rFonts w:hint="eastAsia" w:ascii="宋体" w:hAnsi="宋体" w:eastAsia="宋体" w:cs="Arial"/>
          <w:color w:val="333333"/>
          <w:kern w:val="0"/>
          <w:sz w:val="21"/>
          <w:szCs w:val="21"/>
          <w:u w:val="none"/>
          <w:shd w:val="clear" w:fill="F9F9F9"/>
          <w:lang w:val="en-US" w:eastAsia="zh-CN" w:bidi="ar"/>
        </w:rPr>
        <w:t>　　第十六条</w:t>
      </w:r>
      <w:bookmarkEnd w:id="15"/>
      <w:r>
        <w:rPr>
          <w:rFonts w:hint="eastAsia" w:ascii="宋体" w:hAnsi="宋体" w:eastAsia="宋体" w:cs="Arial"/>
          <w:color w:val="000000"/>
          <w:kern w:val="0"/>
          <w:sz w:val="21"/>
          <w:szCs w:val="21"/>
          <w:shd w:val="clear" w:fill="F9F9F9"/>
          <w:lang w:val="en-US" w:eastAsia="zh-CN" w:bidi="ar"/>
        </w:rPr>
        <w:t>　中国人民银行及其分支机构应当以金融机构反洗钱监管档案为依托，结合现场检查、约见谈话等情况，参考日常监管中获得的其他信息，选择关键、显明、客观的评价指标，按年度对金融机构反洗钱工作的合规性与有效性进行考核评级。</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16" w:name="17"/>
      <w:r>
        <w:rPr>
          <w:rFonts w:hint="eastAsia" w:ascii="宋体" w:hAnsi="宋体" w:eastAsia="宋体" w:cs="Arial"/>
          <w:color w:val="333333"/>
          <w:kern w:val="0"/>
          <w:sz w:val="21"/>
          <w:szCs w:val="21"/>
          <w:u w:val="none"/>
          <w:shd w:val="clear" w:fill="F9F9F9"/>
          <w:lang w:val="en-US" w:eastAsia="zh-CN" w:bidi="ar"/>
        </w:rPr>
        <w:t>　　第十七条</w:t>
      </w:r>
      <w:bookmarkEnd w:id="16"/>
      <w:r>
        <w:rPr>
          <w:rFonts w:hint="eastAsia" w:ascii="宋体" w:hAnsi="宋体" w:eastAsia="宋体" w:cs="Arial"/>
          <w:color w:val="000000"/>
          <w:kern w:val="0"/>
          <w:sz w:val="21"/>
          <w:szCs w:val="21"/>
          <w:shd w:val="clear" w:fill="F9F9F9"/>
          <w:lang w:val="en-US" w:eastAsia="zh-CN" w:bidi="ar"/>
        </w:rPr>
        <w:t>　对金融机构反洗钱工作的年度考核评级，实行分级考核，综合评级。考核评级期间为每年1月1日至12月31日。</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年度考核评级时，对每家金融机构监管档案中加减分事项按照指标权重计算分数，进行百分换算，得出每家机构的年度考核结果；分银行、证券、保险、其他类排列名次，确定金融机构考评等级。</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中国人民银行根据监管需要，制定和调整考核指标内容和权重。中国人民银行分支机构可以根据当地情况对指标内容进行细化。</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17" w:name="18"/>
      <w:r>
        <w:rPr>
          <w:rFonts w:hint="eastAsia" w:ascii="宋体" w:hAnsi="宋体" w:eastAsia="宋体" w:cs="Arial"/>
          <w:color w:val="333333"/>
          <w:kern w:val="0"/>
          <w:sz w:val="21"/>
          <w:szCs w:val="21"/>
          <w:u w:val="none"/>
          <w:shd w:val="clear" w:fill="F9F9F9"/>
          <w:lang w:val="en-US" w:eastAsia="zh-CN" w:bidi="ar"/>
        </w:rPr>
        <w:t>　　第十八条</w:t>
      </w:r>
      <w:bookmarkEnd w:id="17"/>
      <w:r>
        <w:rPr>
          <w:rFonts w:hint="eastAsia" w:ascii="宋体" w:hAnsi="宋体" w:eastAsia="宋体" w:cs="Arial"/>
          <w:color w:val="000000"/>
          <w:kern w:val="0"/>
          <w:sz w:val="21"/>
          <w:szCs w:val="21"/>
          <w:shd w:val="clear" w:fill="F9F9F9"/>
          <w:lang w:val="en-US" w:eastAsia="zh-CN" w:bidi="ar"/>
        </w:rPr>
        <w:t>　中国人民银行及其分支机构可以根据考核评级结果对金融机构实施分类监管。</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中国人民银行及其分支机构可以按年度向有关部门通报考核评级结果，并将考核评级结果计入反洗钱监管档案转入下年度管理。</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18" w:name="19"/>
      <w:r>
        <w:rPr>
          <w:rFonts w:hint="eastAsia" w:ascii="宋体" w:hAnsi="宋体" w:eastAsia="宋体" w:cs="Arial"/>
          <w:color w:val="333333"/>
          <w:kern w:val="0"/>
          <w:sz w:val="21"/>
          <w:szCs w:val="21"/>
          <w:u w:val="none"/>
          <w:shd w:val="clear" w:fill="F9F9F9"/>
          <w:lang w:val="en-US" w:eastAsia="zh-CN" w:bidi="ar"/>
        </w:rPr>
        <w:t>　　第十九条</w:t>
      </w:r>
      <w:bookmarkEnd w:id="18"/>
      <w:r>
        <w:rPr>
          <w:rFonts w:hint="eastAsia" w:ascii="宋体" w:hAnsi="宋体" w:eastAsia="宋体" w:cs="Arial"/>
          <w:color w:val="000000"/>
          <w:kern w:val="0"/>
          <w:sz w:val="21"/>
          <w:szCs w:val="21"/>
          <w:shd w:val="clear" w:fill="F9F9F9"/>
          <w:lang w:val="en-US" w:eastAsia="zh-CN" w:bidi="ar"/>
        </w:rPr>
        <w:t>　中国人民银行及其分支机构在考核评级中发现金融机构反洗钱工作存在突出问题的，应当及时发出《反洗钱监管意见书》（附1），进行风险提示，要求其采取必要的整改措施。</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中国人民银行及其分支机构在考核评级中发现金融机构涉嫌违反反洗钱规定且情节严重的，应当及时开展现场检查。</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19" w:name="20"/>
      <w:r>
        <w:rPr>
          <w:rFonts w:hint="eastAsia" w:ascii="宋体" w:hAnsi="宋体" w:eastAsia="宋体" w:cs="Arial"/>
          <w:color w:val="333333"/>
          <w:kern w:val="0"/>
          <w:sz w:val="21"/>
          <w:szCs w:val="21"/>
          <w:u w:val="none"/>
          <w:shd w:val="clear" w:fill="F9F9F9"/>
          <w:lang w:val="en-US" w:eastAsia="zh-CN" w:bidi="ar"/>
        </w:rPr>
        <w:t>　　第二十条</w:t>
      </w:r>
      <w:bookmarkEnd w:id="19"/>
      <w:r>
        <w:rPr>
          <w:rFonts w:hint="eastAsia" w:ascii="宋体" w:hAnsi="宋体" w:eastAsia="宋体" w:cs="Arial"/>
          <w:color w:val="000000"/>
          <w:kern w:val="0"/>
          <w:sz w:val="21"/>
          <w:szCs w:val="21"/>
          <w:shd w:val="clear" w:fill="F9F9F9"/>
          <w:lang w:val="en-US" w:eastAsia="zh-CN" w:bidi="ar"/>
        </w:rPr>
        <w:t>　中国人民银行及其分支机构对法定监管事项存在疑问需要进一步确认的，可以通过电话或者书面质询的方式向金融机构进行确认和核实。</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20" w:name="21"/>
      <w:r>
        <w:rPr>
          <w:rFonts w:hint="eastAsia" w:ascii="宋体" w:hAnsi="宋体" w:eastAsia="宋体" w:cs="Arial"/>
          <w:color w:val="333333"/>
          <w:kern w:val="0"/>
          <w:sz w:val="21"/>
          <w:szCs w:val="21"/>
          <w:u w:val="none"/>
          <w:shd w:val="clear" w:fill="F9F9F9"/>
          <w:lang w:val="en-US" w:eastAsia="zh-CN" w:bidi="ar"/>
        </w:rPr>
        <w:t>　　第二十一条</w:t>
      </w:r>
      <w:bookmarkEnd w:id="20"/>
      <w:r>
        <w:rPr>
          <w:rFonts w:hint="eastAsia" w:ascii="宋体" w:hAnsi="宋体" w:eastAsia="宋体" w:cs="Arial"/>
          <w:color w:val="000000"/>
          <w:kern w:val="0"/>
          <w:sz w:val="21"/>
          <w:szCs w:val="21"/>
          <w:shd w:val="clear" w:fill="F9F9F9"/>
          <w:lang w:val="en-US" w:eastAsia="zh-CN" w:bidi="ar"/>
        </w:rPr>
        <w:t>　中国人民银行及其分支机构质询金融机构时，应当填制《反洗钱监管审批表》（附2），经部门负责人批准后，电话或者书面告知被质询的金融机构。采取书面质询方式的，应当填制《反洗钱监管通知书》（附3），送达被质询机构。</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金融机构应当自被告知或者收到《反洗钱监管通知书》之日起5个工作日内予以答复。</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21" w:name="22"/>
      <w:r>
        <w:rPr>
          <w:rFonts w:hint="eastAsia" w:ascii="宋体" w:hAnsi="宋体" w:eastAsia="宋体" w:cs="Arial"/>
          <w:color w:val="333333"/>
          <w:kern w:val="0"/>
          <w:sz w:val="21"/>
          <w:szCs w:val="21"/>
          <w:u w:val="none"/>
          <w:shd w:val="clear" w:fill="F9F9F9"/>
          <w:lang w:val="en-US" w:eastAsia="zh-CN" w:bidi="ar"/>
        </w:rPr>
        <w:t>　　第二十二条</w:t>
      </w:r>
      <w:bookmarkEnd w:id="21"/>
      <w:r>
        <w:rPr>
          <w:rFonts w:hint="eastAsia" w:ascii="宋体" w:hAnsi="宋体" w:eastAsia="宋体" w:cs="Arial"/>
          <w:color w:val="000000"/>
          <w:kern w:val="0"/>
          <w:sz w:val="21"/>
          <w:szCs w:val="21"/>
          <w:shd w:val="clear" w:fill="F9F9F9"/>
          <w:lang w:val="en-US" w:eastAsia="zh-CN" w:bidi="ar"/>
        </w:rPr>
        <w:t>　收到金融机构对电话或者书面质询的答复后，中国人民银行及其分支机构应当填写《反洗钱监管记录》（附4）。</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22" w:name="23"/>
      <w:r>
        <w:rPr>
          <w:rFonts w:hint="eastAsia" w:ascii="宋体" w:hAnsi="宋体" w:eastAsia="宋体" w:cs="Arial"/>
          <w:color w:val="333333"/>
          <w:kern w:val="0"/>
          <w:sz w:val="21"/>
          <w:szCs w:val="21"/>
          <w:u w:val="none"/>
          <w:shd w:val="clear" w:fill="F9F9F9"/>
          <w:lang w:val="en-US" w:eastAsia="zh-CN" w:bidi="ar"/>
        </w:rPr>
        <w:t>　　第二十三条</w:t>
      </w:r>
      <w:bookmarkEnd w:id="22"/>
      <w:r>
        <w:rPr>
          <w:rFonts w:hint="eastAsia" w:ascii="宋体" w:hAnsi="宋体" w:eastAsia="宋体" w:cs="Arial"/>
          <w:color w:val="000000"/>
          <w:kern w:val="0"/>
          <w:sz w:val="21"/>
          <w:szCs w:val="21"/>
          <w:shd w:val="clear" w:fill="F9F9F9"/>
          <w:lang w:val="en-US" w:eastAsia="zh-CN" w:bidi="ar"/>
        </w:rPr>
        <w:t>　中国人民银行及其分支机构根据履行反洗钱职责的需要，可以约见金融机构董事、高级管理人员，针对重要问题进行警示谈话，或者要求其就金融机构履行反洗钱义务的重大事项作出说明。</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23" w:name="24"/>
      <w:r>
        <w:rPr>
          <w:rFonts w:hint="eastAsia" w:ascii="宋体" w:hAnsi="宋体" w:eastAsia="宋体" w:cs="Arial"/>
          <w:color w:val="333333"/>
          <w:kern w:val="0"/>
          <w:sz w:val="21"/>
          <w:szCs w:val="21"/>
          <w:u w:val="none"/>
          <w:shd w:val="clear" w:fill="F9F9F9"/>
          <w:lang w:val="en-US" w:eastAsia="zh-CN" w:bidi="ar"/>
        </w:rPr>
        <w:t>　　第二十四条</w:t>
      </w:r>
      <w:bookmarkEnd w:id="23"/>
      <w:r>
        <w:rPr>
          <w:rFonts w:hint="eastAsia" w:ascii="宋体" w:hAnsi="宋体" w:eastAsia="宋体" w:cs="Arial"/>
          <w:color w:val="000000"/>
          <w:kern w:val="0"/>
          <w:sz w:val="21"/>
          <w:szCs w:val="21"/>
          <w:shd w:val="clear" w:fill="F9F9F9"/>
          <w:lang w:val="en-US" w:eastAsia="zh-CN" w:bidi="ar"/>
        </w:rPr>
        <w:t>　中国人民银行及其分支机构约见金融机构董事、高级管理人员谈话前，应当填制《反洗钱监管审批表》及《反洗钱监管通知书》，经本行（部）行长（主任）或者主管副行长（副主任）批准。</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《反洗钱监管通知书》应当提前2个工作日送达被谈话机构，告知对方谈话内容、参加人员、时间地点等事项。</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24" w:name="25"/>
      <w:r>
        <w:rPr>
          <w:rFonts w:hint="eastAsia" w:ascii="宋体" w:hAnsi="宋体" w:eastAsia="宋体" w:cs="Arial"/>
          <w:color w:val="333333"/>
          <w:kern w:val="0"/>
          <w:sz w:val="21"/>
          <w:szCs w:val="21"/>
          <w:u w:val="none"/>
          <w:shd w:val="clear" w:fill="F9F9F9"/>
          <w:lang w:val="en-US" w:eastAsia="zh-CN" w:bidi="ar"/>
        </w:rPr>
        <w:t>　　第二十五条</w:t>
      </w:r>
      <w:bookmarkEnd w:id="24"/>
      <w:r>
        <w:rPr>
          <w:rFonts w:hint="eastAsia" w:ascii="宋体" w:hAnsi="宋体" w:eastAsia="宋体" w:cs="Arial"/>
          <w:color w:val="000000"/>
          <w:kern w:val="0"/>
          <w:sz w:val="21"/>
          <w:szCs w:val="21"/>
          <w:shd w:val="clear" w:fill="F9F9F9"/>
          <w:lang w:val="en-US" w:eastAsia="zh-CN" w:bidi="ar"/>
        </w:rPr>
        <w:t>　约见谈话应当由中国人民银行或其分支机构的分管领导或者反洗钱管理部门负责人主持，并至少有2名以上反洗钱监管人员参与。</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25" w:name="26"/>
      <w:r>
        <w:rPr>
          <w:rFonts w:hint="eastAsia" w:ascii="宋体" w:hAnsi="宋体" w:eastAsia="宋体" w:cs="Arial"/>
          <w:color w:val="333333"/>
          <w:kern w:val="0"/>
          <w:sz w:val="21"/>
          <w:szCs w:val="21"/>
          <w:u w:val="none"/>
          <w:shd w:val="clear" w:fill="F9F9F9"/>
          <w:lang w:val="en-US" w:eastAsia="zh-CN" w:bidi="ar"/>
        </w:rPr>
        <w:t>　　第二十六条</w:t>
      </w:r>
      <w:bookmarkEnd w:id="25"/>
      <w:r>
        <w:rPr>
          <w:rFonts w:hint="eastAsia" w:ascii="宋体" w:hAnsi="宋体" w:eastAsia="宋体" w:cs="Arial"/>
          <w:color w:val="000000"/>
          <w:kern w:val="0"/>
          <w:sz w:val="21"/>
          <w:szCs w:val="21"/>
          <w:shd w:val="clear" w:fill="F9F9F9"/>
          <w:lang w:val="en-US" w:eastAsia="zh-CN" w:bidi="ar"/>
        </w:rPr>
        <w:t>　谈话结束后，中国人民银行或其分支机构反洗钱工作人员应当填写《反洗钱监管记录》并经被约见人签字确认。第四章现场检查</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26" w:name="27"/>
      <w:r>
        <w:rPr>
          <w:rFonts w:hint="eastAsia" w:ascii="宋体" w:hAnsi="宋体" w:eastAsia="宋体" w:cs="Arial"/>
          <w:color w:val="333333"/>
          <w:kern w:val="0"/>
          <w:sz w:val="21"/>
          <w:szCs w:val="21"/>
          <w:u w:val="none"/>
          <w:shd w:val="clear" w:fill="F9F9F9"/>
          <w:lang w:val="en-US" w:eastAsia="zh-CN" w:bidi="ar"/>
        </w:rPr>
        <w:t>　　第二十七条</w:t>
      </w:r>
      <w:bookmarkEnd w:id="26"/>
      <w:r>
        <w:rPr>
          <w:rFonts w:hint="eastAsia" w:ascii="宋体" w:hAnsi="宋体" w:eastAsia="宋体" w:cs="Arial"/>
          <w:color w:val="000000"/>
          <w:kern w:val="0"/>
          <w:sz w:val="21"/>
          <w:szCs w:val="21"/>
          <w:shd w:val="clear" w:fill="F9F9F9"/>
          <w:lang w:val="en-US" w:eastAsia="zh-CN" w:bidi="ar"/>
        </w:rPr>
        <w:t>　根据履行反洗钱职责的需要，中国人民银行及其分支机构可以按照法定程序，对金融机构履行反洗钱义务的情况开展现场检查。</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27" w:name="28"/>
      <w:r>
        <w:rPr>
          <w:rFonts w:hint="eastAsia" w:ascii="宋体" w:hAnsi="宋体" w:eastAsia="宋体" w:cs="Arial"/>
          <w:color w:val="333333"/>
          <w:kern w:val="0"/>
          <w:sz w:val="21"/>
          <w:szCs w:val="21"/>
          <w:u w:val="none"/>
          <w:shd w:val="clear" w:fill="F9F9F9"/>
          <w:lang w:val="en-US" w:eastAsia="zh-CN" w:bidi="ar"/>
        </w:rPr>
        <w:t>　　第二十八条</w:t>
      </w:r>
      <w:bookmarkEnd w:id="27"/>
      <w:r>
        <w:rPr>
          <w:rFonts w:hint="eastAsia" w:ascii="宋体" w:hAnsi="宋体" w:eastAsia="宋体" w:cs="Arial"/>
          <w:color w:val="000000"/>
          <w:kern w:val="0"/>
          <w:sz w:val="21"/>
          <w:szCs w:val="21"/>
          <w:shd w:val="clear" w:fill="F9F9F9"/>
          <w:lang w:val="en-US" w:eastAsia="zh-CN" w:bidi="ar"/>
        </w:rPr>
        <w:t>　中国人民银行及其分支机构开展反洗钱现场检查，应当依照现行反洗钱法律法规规章，遵循《</w:t>
      </w:r>
      <w:r>
        <w:rPr>
          <w:rFonts w:hint="default" w:ascii="Calibri" w:hAnsi="Calibri" w:eastAsia="宋体" w:cs="Times New Roman"/>
          <w:color w:val="333333"/>
          <w:sz w:val="21"/>
          <w:szCs w:val="22"/>
          <w:u w:val="none"/>
          <w:shd w:val="clear" w:fill="F9F9F9"/>
          <w:lang w:val="en-US" w:eastAsia="zh-CN" w:bidi="ar"/>
        </w:rPr>
        <w:fldChar w:fldCharType="begin"/>
      </w:r>
      <w:r>
        <w:rPr>
          <w:rFonts w:hint="default" w:ascii="Calibri" w:hAnsi="Calibri" w:eastAsia="宋体" w:cs="Times New Roman"/>
          <w:color w:val="333333"/>
          <w:sz w:val="21"/>
          <w:szCs w:val="22"/>
          <w:u w:val="none"/>
          <w:shd w:val="clear" w:fill="F9F9F9"/>
          <w:lang w:val="en-US" w:eastAsia="zh-CN" w:bidi="ar"/>
        </w:rPr>
        <w:instrText xml:space="preserve"> HYPERLINK "http://www.bosera.com/common/javascript:SLC(129220,0)" </w:instrText>
      </w:r>
      <w:r>
        <w:rPr>
          <w:rFonts w:hint="default" w:ascii="Calibri" w:hAnsi="Calibri" w:eastAsia="宋体" w:cs="Times New Roman"/>
          <w:color w:val="333333"/>
          <w:sz w:val="21"/>
          <w:szCs w:val="22"/>
          <w:u w:val="none"/>
          <w:shd w:val="clear" w:fill="F9F9F9"/>
          <w:lang w:val="en-US" w:eastAsia="zh-CN" w:bidi="ar"/>
        </w:rPr>
        <w:fldChar w:fldCharType="separate"/>
      </w:r>
      <w:r>
        <w:rPr>
          <w:rStyle w:val="7"/>
          <w:rFonts w:hint="eastAsia" w:ascii="Arial" w:hAnsi="Arial" w:eastAsia="宋体" w:cs="Arial"/>
          <w:color w:val="0000FF"/>
          <w:kern w:val="0"/>
          <w:sz w:val="21"/>
          <w:szCs w:val="21"/>
          <w:u w:val="none"/>
          <w:shd w:val="clear" w:fill="F9F9F9"/>
          <w:lang w:val="en-US" w:eastAsia="zh-CN" w:bidi="ar"/>
        </w:rPr>
        <w:t>中国人民银行执法检查程序规定</w:t>
      </w:r>
      <w:r>
        <w:rPr>
          <w:rFonts w:hint="default" w:ascii="Calibri" w:hAnsi="Calibri" w:eastAsia="宋体" w:cs="Times New Roman"/>
          <w:color w:val="333333"/>
          <w:sz w:val="21"/>
          <w:szCs w:val="22"/>
          <w:u w:val="none"/>
          <w:shd w:val="clear" w:fill="F9F9F9"/>
          <w:lang w:val="en-US" w:eastAsia="zh-CN" w:bidi="ar"/>
        </w:rPr>
        <w:fldChar w:fldCharType="end"/>
      </w:r>
      <w:r>
        <w:rPr>
          <w:rFonts w:hint="eastAsia" w:ascii="宋体" w:hAnsi="宋体" w:eastAsia="宋体" w:cs="Arial"/>
          <w:color w:val="000000"/>
          <w:kern w:val="0"/>
          <w:sz w:val="21"/>
          <w:szCs w:val="21"/>
          <w:shd w:val="clear" w:fill="F9F9F9"/>
          <w:lang w:val="en-US" w:eastAsia="zh-CN" w:bidi="ar"/>
        </w:rPr>
        <w:t>》（中国人民银行令[2010]第1号发布）组织实施。涉及行政处罚的，依照《</w:t>
      </w:r>
      <w:r>
        <w:rPr>
          <w:rFonts w:hint="default" w:ascii="Calibri" w:hAnsi="Calibri" w:eastAsia="宋体" w:cs="Times New Roman"/>
          <w:color w:val="333333"/>
          <w:sz w:val="21"/>
          <w:szCs w:val="22"/>
          <w:u w:val="none"/>
          <w:shd w:val="clear" w:fill="F9F9F9"/>
          <w:lang w:val="en-US" w:eastAsia="zh-CN" w:bidi="ar"/>
        </w:rPr>
        <w:fldChar w:fldCharType="begin"/>
      </w:r>
      <w:r>
        <w:rPr>
          <w:rFonts w:hint="default" w:ascii="Calibri" w:hAnsi="Calibri" w:eastAsia="宋体" w:cs="Times New Roman"/>
          <w:color w:val="333333"/>
          <w:sz w:val="21"/>
          <w:szCs w:val="22"/>
          <w:u w:val="none"/>
          <w:shd w:val="clear" w:fill="F9F9F9"/>
          <w:lang w:val="en-US" w:eastAsia="zh-CN" w:bidi="ar"/>
        </w:rPr>
        <w:instrText xml:space="preserve"> HYPERLINK "http://www.bosera.com/common/javascript:SLC(34856,0)" </w:instrText>
      </w:r>
      <w:r>
        <w:rPr>
          <w:rFonts w:hint="default" w:ascii="Calibri" w:hAnsi="Calibri" w:eastAsia="宋体" w:cs="Times New Roman"/>
          <w:color w:val="333333"/>
          <w:sz w:val="21"/>
          <w:szCs w:val="22"/>
          <w:u w:val="none"/>
          <w:shd w:val="clear" w:fill="F9F9F9"/>
          <w:lang w:val="en-US" w:eastAsia="zh-CN" w:bidi="ar"/>
        </w:rPr>
        <w:fldChar w:fldCharType="separate"/>
      </w:r>
      <w:r>
        <w:rPr>
          <w:rStyle w:val="7"/>
          <w:rFonts w:hint="eastAsia" w:ascii="Arial" w:hAnsi="Arial" w:eastAsia="宋体" w:cs="Arial"/>
          <w:color w:val="0000FF"/>
          <w:kern w:val="0"/>
          <w:sz w:val="21"/>
          <w:szCs w:val="21"/>
          <w:u w:val="none"/>
          <w:shd w:val="clear" w:fill="F9F9F9"/>
          <w:lang w:val="en-US" w:eastAsia="zh-CN" w:bidi="ar"/>
        </w:rPr>
        <w:t>中国人民银行行政处罚程序规定</w:t>
      </w:r>
      <w:r>
        <w:rPr>
          <w:rFonts w:hint="default" w:ascii="Calibri" w:hAnsi="Calibri" w:eastAsia="宋体" w:cs="Times New Roman"/>
          <w:color w:val="333333"/>
          <w:sz w:val="21"/>
          <w:szCs w:val="22"/>
          <w:u w:val="none"/>
          <w:shd w:val="clear" w:fill="F9F9F9"/>
          <w:lang w:val="en-US" w:eastAsia="zh-CN" w:bidi="ar"/>
        </w:rPr>
        <w:fldChar w:fldCharType="end"/>
      </w:r>
      <w:r>
        <w:rPr>
          <w:rFonts w:hint="eastAsia" w:ascii="宋体" w:hAnsi="宋体" w:eastAsia="宋体" w:cs="Arial"/>
          <w:color w:val="000000"/>
          <w:kern w:val="0"/>
          <w:sz w:val="21"/>
          <w:szCs w:val="21"/>
          <w:shd w:val="clear" w:fill="F9F9F9"/>
          <w:lang w:val="en-US" w:eastAsia="zh-CN" w:bidi="ar"/>
        </w:rPr>
        <w:t>》（中国人民银行令[2001]第3号发布）执行。</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28" w:name="29"/>
      <w:r>
        <w:rPr>
          <w:rFonts w:hint="eastAsia" w:ascii="宋体" w:hAnsi="宋体" w:eastAsia="宋体" w:cs="Arial"/>
          <w:color w:val="333333"/>
          <w:kern w:val="0"/>
          <w:sz w:val="21"/>
          <w:szCs w:val="21"/>
          <w:u w:val="none"/>
          <w:shd w:val="clear" w:fill="F9F9F9"/>
          <w:lang w:val="en-US" w:eastAsia="zh-CN" w:bidi="ar"/>
        </w:rPr>
        <w:t>　　第二十九条</w:t>
      </w:r>
      <w:bookmarkEnd w:id="28"/>
      <w:r>
        <w:rPr>
          <w:rFonts w:hint="eastAsia" w:ascii="宋体" w:hAnsi="宋体" w:eastAsia="宋体" w:cs="Arial"/>
          <w:color w:val="000000"/>
          <w:kern w:val="0"/>
          <w:sz w:val="21"/>
          <w:szCs w:val="21"/>
          <w:shd w:val="clear" w:fill="F9F9F9"/>
          <w:lang w:val="en-US" w:eastAsia="zh-CN" w:bidi="ar"/>
        </w:rPr>
        <w:t>　中国人民银行及其分支机构应当科学调配监管力量，规范有效地开展现场检查工作。</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中国人民银行及其分支机构应当加强对现场检查的立项管理，切实加强对以下机构的重点监管：</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（一）涉及洗钱案件的机构；</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（二）风险因素较多的机构；</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（三）工作情况不明的机构；</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（四）反洗钱工作有效性偏低的机构；</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（五）其他应重点监管的机构。</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29" w:name="30"/>
      <w:r>
        <w:rPr>
          <w:rFonts w:hint="eastAsia" w:ascii="宋体" w:hAnsi="宋体" w:eastAsia="宋体" w:cs="Arial"/>
          <w:color w:val="333333"/>
          <w:kern w:val="0"/>
          <w:sz w:val="21"/>
          <w:szCs w:val="21"/>
          <w:u w:val="none"/>
          <w:shd w:val="clear" w:fill="F9F9F9"/>
          <w:lang w:val="en-US" w:eastAsia="zh-CN" w:bidi="ar"/>
        </w:rPr>
        <w:t>　　第三十条</w:t>
      </w:r>
      <w:bookmarkEnd w:id="29"/>
      <w:r>
        <w:rPr>
          <w:rFonts w:hint="eastAsia" w:ascii="宋体" w:hAnsi="宋体" w:eastAsia="宋体" w:cs="Arial"/>
          <w:color w:val="000000"/>
          <w:kern w:val="0"/>
          <w:sz w:val="21"/>
          <w:szCs w:val="21"/>
          <w:shd w:val="clear" w:fill="F9F9F9"/>
          <w:lang w:val="en-US" w:eastAsia="zh-CN" w:bidi="ar"/>
        </w:rPr>
        <w:t>　对法人金融机构的现场检查应当侧重于反洗钱制度建设、组织架构与岗位设置、系统设计与开发、反洗钱机制有效性，注重发现和解决风险较高的制度性、系统性、执行性问题，从总体上把握和推动金融机构反洗钱工作的合规性与有效性。</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30" w:name="31"/>
      <w:r>
        <w:rPr>
          <w:rFonts w:hint="eastAsia" w:ascii="宋体" w:hAnsi="宋体" w:eastAsia="宋体" w:cs="Arial"/>
          <w:color w:val="333333"/>
          <w:kern w:val="0"/>
          <w:sz w:val="21"/>
          <w:szCs w:val="21"/>
          <w:u w:val="none"/>
          <w:shd w:val="clear" w:fill="F9F9F9"/>
          <w:lang w:val="en-US" w:eastAsia="zh-CN" w:bidi="ar"/>
        </w:rPr>
        <w:t>　　第三十一条</w:t>
      </w:r>
      <w:bookmarkEnd w:id="30"/>
      <w:r>
        <w:rPr>
          <w:rFonts w:hint="eastAsia" w:ascii="宋体" w:hAnsi="宋体" w:eastAsia="宋体" w:cs="Arial"/>
          <w:color w:val="000000"/>
          <w:kern w:val="0"/>
          <w:sz w:val="21"/>
          <w:szCs w:val="21"/>
          <w:shd w:val="clear" w:fill="F9F9F9"/>
          <w:lang w:val="en-US" w:eastAsia="zh-CN" w:bidi="ar"/>
        </w:rPr>
        <w:t>　对非法人金融机构现场检查应当侧重于反洗钱制度落实与执行情况、反洗钱措施的有效性、可疑交易报告质量、配合人民银行反洗钱工作情况等。</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31" w:name="32"/>
      <w:r>
        <w:rPr>
          <w:rFonts w:hint="eastAsia" w:ascii="宋体" w:hAnsi="宋体" w:eastAsia="宋体" w:cs="Arial"/>
          <w:color w:val="333333"/>
          <w:kern w:val="0"/>
          <w:sz w:val="21"/>
          <w:szCs w:val="21"/>
          <w:u w:val="none"/>
          <w:shd w:val="clear" w:fill="F9F9F9"/>
          <w:lang w:val="en-US" w:eastAsia="zh-CN" w:bidi="ar"/>
        </w:rPr>
        <w:t>　　第三十二条</w:t>
      </w:r>
      <w:bookmarkEnd w:id="31"/>
      <w:r>
        <w:rPr>
          <w:rFonts w:hint="eastAsia" w:ascii="宋体" w:hAnsi="宋体" w:eastAsia="宋体" w:cs="Arial"/>
          <w:color w:val="000000"/>
          <w:kern w:val="0"/>
          <w:sz w:val="21"/>
          <w:szCs w:val="21"/>
          <w:shd w:val="clear" w:fill="F9F9F9"/>
          <w:lang w:val="en-US" w:eastAsia="zh-CN" w:bidi="ar"/>
        </w:rPr>
        <w:t>　中国人民银行分支机构在对非法人金融机构检查过程中发现涉及法人金融机构总部的重要问题、系统性缺陷，或者发现突出违规事件、依法对其实施行政处罚的，应当及时向中国人民银行或者法人金融机构所在地中国人民银行分支机构进行通报。第五章其他监管措施</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32" w:name="33"/>
      <w:r>
        <w:rPr>
          <w:rFonts w:hint="eastAsia" w:ascii="宋体" w:hAnsi="宋体" w:eastAsia="宋体" w:cs="Arial"/>
          <w:color w:val="333333"/>
          <w:kern w:val="0"/>
          <w:sz w:val="21"/>
          <w:szCs w:val="21"/>
          <w:u w:val="none"/>
          <w:shd w:val="clear" w:fill="F9F9F9"/>
          <w:lang w:val="en-US" w:eastAsia="zh-CN" w:bidi="ar"/>
        </w:rPr>
        <w:t>　　第三十三条</w:t>
      </w:r>
      <w:bookmarkEnd w:id="32"/>
      <w:r>
        <w:rPr>
          <w:rFonts w:hint="eastAsia" w:ascii="宋体" w:hAnsi="宋体" w:eastAsia="宋体" w:cs="Arial"/>
          <w:color w:val="000000"/>
          <w:kern w:val="0"/>
          <w:sz w:val="21"/>
          <w:szCs w:val="21"/>
          <w:shd w:val="clear" w:fill="F9F9F9"/>
          <w:lang w:val="en-US" w:eastAsia="zh-CN" w:bidi="ar"/>
        </w:rPr>
        <w:t>　中国人民银行及其分支机构针对反洗钱法定监管事项中的突出问题，或者为核实和了解某个方面的重点情况，可以通过监管走访的方式，深入金融机构开展实地调研和政策指导。</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33" w:name="34"/>
      <w:r>
        <w:rPr>
          <w:rFonts w:hint="eastAsia" w:ascii="宋体" w:hAnsi="宋体" w:eastAsia="宋体" w:cs="Arial"/>
          <w:color w:val="333333"/>
          <w:kern w:val="0"/>
          <w:sz w:val="21"/>
          <w:szCs w:val="21"/>
          <w:u w:val="none"/>
          <w:shd w:val="clear" w:fill="F9F9F9"/>
          <w:lang w:val="en-US" w:eastAsia="zh-CN" w:bidi="ar"/>
        </w:rPr>
        <w:t>　　第三十四条</w:t>
      </w:r>
      <w:bookmarkEnd w:id="33"/>
      <w:r>
        <w:rPr>
          <w:rFonts w:hint="eastAsia" w:ascii="宋体" w:hAnsi="宋体" w:eastAsia="宋体" w:cs="Arial"/>
          <w:color w:val="000000"/>
          <w:kern w:val="0"/>
          <w:sz w:val="21"/>
          <w:szCs w:val="21"/>
          <w:shd w:val="clear" w:fill="F9F9F9"/>
          <w:lang w:val="en-US" w:eastAsia="zh-CN" w:bidi="ar"/>
        </w:rPr>
        <w:t>　中国人民银行及其分支机构监管走访金融机构前，应当填制《反洗钱监管审批表》及《反洗钱监管通知书》。以本级机构名义开展的监管走访由本行（部）行长（主任）或者主管副行长（副主任）批准；以反洗钱管理部门名义开展的监管走访由部门负责人或者其上级领导批准。</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《反洗钱监管通知书》应当提前2个工作日送达相关金融机构，告知其监管走访目的和需要了解核实的事项。</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34" w:name="35"/>
      <w:r>
        <w:rPr>
          <w:rFonts w:hint="eastAsia" w:ascii="宋体" w:hAnsi="宋体" w:eastAsia="宋体" w:cs="Arial"/>
          <w:color w:val="333333"/>
          <w:kern w:val="0"/>
          <w:sz w:val="21"/>
          <w:szCs w:val="21"/>
          <w:u w:val="none"/>
          <w:shd w:val="clear" w:fill="F9F9F9"/>
          <w:lang w:val="en-US" w:eastAsia="zh-CN" w:bidi="ar"/>
        </w:rPr>
        <w:t>　　第三十五条</w:t>
      </w:r>
      <w:bookmarkEnd w:id="34"/>
      <w:r>
        <w:rPr>
          <w:rFonts w:hint="eastAsia" w:ascii="宋体" w:hAnsi="宋体" w:eastAsia="宋体" w:cs="Arial"/>
          <w:color w:val="000000"/>
          <w:kern w:val="0"/>
          <w:sz w:val="21"/>
          <w:szCs w:val="21"/>
          <w:shd w:val="clear" w:fill="F9F9F9"/>
          <w:lang w:val="en-US" w:eastAsia="zh-CN" w:bidi="ar"/>
        </w:rPr>
        <w:t>　在开展监管走访时，中国人民银行及其分支机构反洗钱工作人员不得少于2人，并出示合法证件。</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35" w:name="36"/>
      <w:r>
        <w:rPr>
          <w:rFonts w:hint="eastAsia" w:ascii="宋体" w:hAnsi="宋体" w:eastAsia="宋体" w:cs="Arial"/>
          <w:color w:val="333333"/>
          <w:kern w:val="0"/>
          <w:sz w:val="21"/>
          <w:szCs w:val="21"/>
          <w:u w:val="none"/>
          <w:shd w:val="clear" w:fill="F9F9F9"/>
          <w:lang w:val="en-US" w:eastAsia="zh-CN" w:bidi="ar"/>
        </w:rPr>
        <w:t>　　第三十六条</w:t>
      </w:r>
      <w:bookmarkEnd w:id="35"/>
      <w:r>
        <w:rPr>
          <w:rFonts w:hint="eastAsia" w:ascii="宋体" w:hAnsi="宋体" w:eastAsia="宋体" w:cs="Arial"/>
          <w:color w:val="000000"/>
          <w:kern w:val="0"/>
          <w:sz w:val="21"/>
          <w:szCs w:val="21"/>
          <w:shd w:val="clear" w:fill="F9F9F9"/>
          <w:lang w:val="en-US" w:eastAsia="zh-CN" w:bidi="ar"/>
        </w:rPr>
        <w:t>　中国人民银行及其分支机构对监管走访中发现的问题应当提出有针对性的监管指导意见，并开展必要的政策辅导。</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监管走访结束后，中国人民银行或其分支机构反洗钱工作人员应当填写《反洗钱监管记录》。</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36" w:name="37"/>
      <w:r>
        <w:rPr>
          <w:rFonts w:hint="eastAsia" w:ascii="宋体" w:hAnsi="宋体" w:eastAsia="宋体" w:cs="Arial"/>
          <w:color w:val="333333"/>
          <w:kern w:val="0"/>
          <w:sz w:val="21"/>
          <w:szCs w:val="21"/>
          <w:u w:val="none"/>
          <w:shd w:val="clear" w:fill="F9F9F9"/>
          <w:lang w:val="en-US" w:eastAsia="zh-CN" w:bidi="ar"/>
        </w:rPr>
        <w:t>　　第三十七条</w:t>
      </w:r>
      <w:bookmarkEnd w:id="36"/>
      <w:r>
        <w:rPr>
          <w:rFonts w:hint="eastAsia" w:ascii="宋体" w:hAnsi="宋体" w:eastAsia="宋体" w:cs="Arial"/>
          <w:color w:val="000000"/>
          <w:kern w:val="0"/>
          <w:sz w:val="21"/>
          <w:szCs w:val="21"/>
          <w:shd w:val="clear" w:fill="F9F9F9"/>
          <w:lang w:val="en-US" w:eastAsia="zh-CN" w:bidi="ar"/>
        </w:rPr>
        <w:t>　法人金融机构应当建立风险自评估制度，按照风险为本原则，定期对本机构内外部洗钱风险进行分析研判，评估本机构风险防控机制的有效性，查找风险漏洞和薄弱环节，采取有针对性的风险应对措施。</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金融机构应当及时向中国人民银行或其分支机构报告风险自评估结果和资料。</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37" w:name="38"/>
      <w:r>
        <w:rPr>
          <w:rFonts w:hint="eastAsia" w:ascii="宋体" w:hAnsi="宋体" w:eastAsia="宋体" w:cs="Arial"/>
          <w:color w:val="333333"/>
          <w:kern w:val="0"/>
          <w:sz w:val="21"/>
          <w:szCs w:val="21"/>
          <w:u w:val="none"/>
          <w:shd w:val="clear" w:fill="F9F9F9"/>
          <w:lang w:val="en-US" w:eastAsia="zh-CN" w:bidi="ar"/>
        </w:rPr>
        <w:t>　　第三十八条</w:t>
      </w:r>
      <w:bookmarkEnd w:id="37"/>
      <w:r>
        <w:rPr>
          <w:rFonts w:hint="eastAsia" w:ascii="宋体" w:hAnsi="宋体" w:eastAsia="宋体" w:cs="Arial"/>
          <w:color w:val="000000"/>
          <w:kern w:val="0"/>
          <w:sz w:val="21"/>
          <w:szCs w:val="21"/>
          <w:shd w:val="clear" w:fill="F9F9F9"/>
          <w:lang w:val="en-US" w:eastAsia="zh-CN" w:bidi="ar"/>
        </w:rPr>
        <w:t>　中国人民银行及其分支机构可以根据金融机构自评估结果对其进行风险评估。</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中国人民银行及其分支机构开展风险评估应当填制《反洗钱监管审批表》及《反洗钱监管通知书》，经本行（部）行长（主任）或者主管副行长（副主任）批准后，至少提前5个工作日将《反洗钱监管通知书》送达被评估的金融机构。</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中国人民银行及其分支机构可以要求被评估机构提供必要的资料数据，也可以现场采集满足评估需要的必要信息。在开展现场评估时，中国人民银行及其分支机构的反洗钱工作人员不得少于2人，并出示《反洗钱监管通知书》及合法证件。</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38" w:name="39"/>
      <w:r>
        <w:rPr>
          <w:rFonts w:hint="eastAsia" w:ascii="宋体" w:hAnsi="宋体" w:eastAsia="宋体" w:cs="Arial"/>
          <w:color w:val="333333"/>
          <w:kern w:val="0"/>
          <w:sz w:val="21"/>
          <w:szCs w:val="21"/>
          <w:u w:val="none"/>
          <w:shd w:val="clear" w:fill="F9F9F9"/>
          <w:lang w:val="en-US" w:eastAsia="zh-CN" w:bidi="ar"/>
        </w:rPr>
        <w:t>　　第三十九条</w:t>
      </w:r>
      <w:bookmarkEnd w:id="38"/>
      <w:r>
        <w:rPr>
          <w:rFonts w:hint="eastAsia" w:ascii="宋体" w:hAnsi="宋体" w:eastAsia="宋体" w:cs="Arial"/>
          <w:color w:val="000000"/>
          <w:kern w:val="0"/>
          <w:sz w:val="21"/>
          <w:szCs w:val="21"/>
          <w:shd w:val="clear" w:fill="F9F9F9"/>
          <w:lang w:val="en-US" w:eastAsia="zh-CN" w:bidi="ar"/>
        </w:rPr>
        <w:t>　中国人民银行及其分支机构可以根据监管需要确定评估的具体范围和内容，针对法人金融机构特点，探索建立合理有效的风险评估指标体系。</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39" w:name="40"/>
      <w:r>
        <w:rPr>
          <w:rFonts w:hint="eastAsia" w:ascii="宋体" w:hAnsi="宋体" w:eastAsia="宋体" w:cs="Arial"/>
          <w:color w:val="333333"/>
          <w:kern w:val="0"/>
          <w:sz w:val="21"/>
          <w:szCs w:val="21"/>
          <w:u w:val="none"/>
          <w:shd w:val="clear" w:fill="F9F9F9"/>
          <w:lang w:val="en-US" w:eastAsia="zh-CN" w:bidi="ar"/>
        </w:rPr>
        <w:t>　　第四十条</w:t>
      </w:r>
      <w:bookmarkEnd w:id="39"/>
      <w:r>
        <w:rPr>
          <w:rFonts w:hint="eastAsia" w:ascii="宋体" w:hAnsi="宋体" w:eastAsia="宋体" w:cs="Arial"/>
          <w:color w:val="000000"/>
          <w:kern w:val="0"/>
          <w:sz w:val="21"/>
          <w:szCs w:val="21"/>
          <w:shd w:val="clear" w:fill="F9F9F9"/>
          <w:lang w:val="en-US" w:eastAsia="zh-CN" w:bidi="ar"/>
        </w:rPr>
        <w:t>　中国人民银行及其分支机构应当在充分了解情况的基础上，客观评判法人金融机构的风险状况，评估反洗钱工作的合规性与有效性，得出评估结论，针对存在问题，提出指导性整改意见，形成《反洗钱监管意见书》。第六章附则</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40" w:name="41"/>
      <w:r>
        <w:rPr>
          <w:rFonts w:hint="eastAsia" w:ascii="宋体" w:hAnsi="宋体" w:eastAsia="宋体" w:cs="Arial"/>
          <w:color w:val="333333"/>
          <w:kern w:val="0"/>
          <w:sz w:val="21"/>
          <w:szCs w:val="21"/>
          <w:u w:val="none"/>
          <w:shd w:val="clear" w:fill="F9F9F9"/>
          <w:lang w:val="en-US" w:eastAsia="zh-CN" w:bidi="ar"/>
        </w:rPr>
        <w:t>　　第四十一条</w:t>
      </w:r>
      <w:bookmarkEnd w:id="40"/>
      <w:r>
        <w:rPr>
          <w:rFonts w:hint="eastAsia" w:ascii="宋体" w:hAnsi="宋体" w:eastAsia="宋体" w:cs="Arial"/>
          <w:color w:val="000000"/>
          <w:kern w:val="0"/>
          <w:sz w:val="21"/>
          <w:szCs w:val="21"/>
          <w:shd w:val="clear" w:fill="F9F9F9"/>
          <w:lang w:val="en-US" w:eastAsia="zh-CN" w:bidi="ar"/>
        </w:rPr>
        <w:t>　中国人民银行副省级城市中心支行以上分支机构应当按年度撰写反洗钱监管报告，重点总结本辖区年度反洗钱监管活动情况，发现和处理的主要问题，对违规机构和人员的处罚情况，提炼工作有效性成果，于年度结束后30日内报送中国人民银行。</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41" w:name="42"/>
      <w:r>
        <w:rPr>
          <w:rFonts w:hint="eastAsia" w:ascii="宋体" w:hAnsi="宋体" w:eastAsia="宋体" w:cs="Arial"/>
          <w:color w:val="333333"/>
          <w:kern w:val="0"/>
          <w:sz w:val="21"/>
          <w:szCs w:val="21"/>
          <w:u w:val="none"/>
          <w:shd w:val="clear" w:fill="F9F9F9"/>
          <w:lang w:val="en-US" w:eastAsia="zh-CN" w:bidi="ar"/>
        </w:rPr>
        <w:t>　　第四十二条</w:t>
      </w:r>
      <w:bookmarkEnd w:id="41"/>
      <w:r>
        <w:rPr>
          <w:rFonts w:hint="eastAsia" w:ascii="宋体" w:hAnsi="宋体" w:eastAsia="宋体" w:cs="Arial"/>
          <w:color w:val="000000"/>
          <w:kern w:val="0"/>
          <w:sz w:val="21"/>
          <w:szCs w:val="21"/>
          <w:shd w:val="clear" w:fill="F9F9F9"/>
          <w:lang w:val="en-US" w:eastAsia="zh-CN" w:bidi="ar"/>
        </w:rPr>
        <w:t>　本办法所称中国人民银行分支机构包括中国人民银行上海总部、分行、营业管理部、省会（首府）城市中心支行、副省级城市中心支行、地（市）中心支行和县（市）支行。</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本办法所称反洗钱报告机构，是指中国人民银行及其分支机构本级辖区内承担反洗钱法定义务的金融机构和非金融机构最高层级的管辖或者牵头机构，包括法人机构和部分非法人机构。</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t>　　本办法所称金融机构的境内分支机构包括金融机构在境内设立的各级分支机构。境内金融机构的境外分支机构包括金融机构在境外（国家或地区）设立的全资子公司、控股公司、境外办事处等。</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42" w:name="43"/>
      <w:r>
        <w:rPr>
          <w:rFonts w:hint="eastAsia" w:ascii="宋体" w:hAnsi="宋体" w:eastAsia="宋体" w:cs="Arial"/>
          <w:color w:val="333333"/>
          <w:kern w:val="0"/>
          <w:sz w:val="21"/>
          <w:szCs w:val="21"/>
          <w:u w:val="none"/>
          <w:shd w:val="clear" w:fill="F9F9F9"/>
          <w:lang w:val="en-US" w:eastAsia="zh-CN" w:bidi="ar"/>
        </w:rPr>
        <w:t>　　第四十三条</w:t>
      </w:r>
      <w:bookmarkEnd w:id="42"/>
      <w:r>
        <w:rPr>
          <w:rFonts w:hint="eastAsia" w:ascii="宋体" w:hAnsi="宋体" w:eastAsia="宋体" w:cs="Arial"/>
          <w:color w:val="000000"/>
          <w:kern w:val="0"/>
          <w:sz w:val="21"/>
          <w:szCs w:val="21"/>
          <w:shd w:val="clear" w:fill="F9F9F9"/>
          <w:lang w:val="en-US" w:eastAsia="zh-CN" w:bidi="ar"/>
        </w:rPr>
        <w:t>　支付机构、银行卡组织、资金清算中心、从事汇兑业务和基金销售业务的机构适用本办法。</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43" w:name="44"/>
      <w:r>
        <w:rPr>
          <w:rFonts w:hint="eastAsia" w:ascii="宋体" w:hAnsi="宋体" w:eastAsia="宋体" w:cs="Arial"/>
          <w:color w:val="333333"/>
          <w:kern w:val="0"/>
          <w:sz w:val="21"/>
          <w:szCs w:val="21"/>
          <w:u w:val="none"/>
          <w:shd w:val="clear" w:fill="F9F9F9"/>
          <w:lang w:val="en-US" w:eastAsia="zh-CN" w:bidi="ar"/>
        </w:rPr>
        <w:t>　　第四十四条</w:t>
      </w:r>
      <w:bookmarkEnd w:id="43"/>
      <w:r>
        <w:rPr>
          <w:rFonts w:hint="eastAsia" w:ascii="宋体" w:hAnsi="宋体" w:eastAsia="宋体" w:cs="Arial"/>
          <w:color w:val="000000"/>
          <w:kern w:val="0"/>
          <w:sz w:val="21"/>
          <w:szCs w:val="21"/>
          <w:shd w:val="clear" w:fill="F9F9F9"/>
          <w:lang w:val="en-US" w:eastAsia="zh-CN" w:bidi="ar"/>
        </w:rPr>
        <w:t>　本办法由中国人民银行负责解释。</w:t>
      </w:r>
      <w:r>
        <w:rPr>
          <w:rFonts w:hint="eastAsia" w:ascii="宋体" w:hAnsi="宋体" w:eastAsia="宋体" w:cs="Arial"/>
          <w:color w:val="000000"/>
          <w:kern w:val="0"/>
          <w:sz w:val="21"/>
          <w:szCs w:val="21"/>
          <w:shd w:val="clear" w:fill="F9F9F9"/>
          <w:lang w:val="en-US" w:eastAsia="zh-CN" w:bidi="ar"/>
        </w:rPr>
        <w:br w:type="textWrapping"/>
      </w:r>
      <w:r>
        <w:rPr>
          <w:rFonts w:hint="eastAsia" w:ascii="宋体" w:hAnsi="宋体" w:eastAsia="宋体" w:cs="Arial"/>
          <w:color w:val="000000"/>
          <w:kern w:val="0"/>
          <w:sz w:val="21"/>
          <w:szCs w:val="21"/>
          <w:shd w:val="clear" w:fill="F9F9F9"/>
          <w:lang w:val="en-US" w:eastAsia="zh-CN" w:bidi="ar"/>
        </w:rPr>
        <w:br w:type="textWrapping"/>
      </w:r>
      <w:bookmarkStart w:id="44" w:name="45"/>
      <w:r>
        <w:rPr>
          <w:rFonts w:hint="eastAsia" w:ascii="宋体" w:hAnsi="宋体" w:eastAsia="宋体" w:cs="Arial"/>
          <w:color w:val="333333"/>
          <w:kern w:val="0"/>
          <w:sz w:val="21"/>
          <w:szCs w:val="21"/>
          <w:u w:val="none"/>
          <w:shd w:val="clear" w:fill="F9F9F9"/>
          <w:lang w:val="en-US" w:eastAsia="zh-CN" w:bidi="ar"/>
        </w:rPr>
        <w:t>　　第四十五条</w:t>
      </w:r>
      <w:bookmarkEnd w:id="44"/>
      <w:r>
        <w:rPr>
          <w:rFonts w:hint="eastAsia" w:ascii="宋体" w:hAnsi="宋体" w:eastAsia="宋体" w:cs="Arial"/>
          <w:color w:val="000000"/>
          <w:kern w:val="0"/>
          <w:sz w:val="21"/>
          <w:szCs w:val="21"/>
          <w:shd w:val="clear" w:fill="F9F9F9"/>
          <w:lang w:val="en-US" w:eastAsia="zh-CN" w:bidi="ar"/>
        </w:rPr>
        <w:t>　本办法自印发之日起实施。本办法实施前有关反洗钱监管规定与本办法不一致的，按照本办法执行。《</w:t>
      </w:r>
      <w:r>
        <w:rPr>
          <w:rFonts w:hint="default" w:ascii="Calibri" w:hAnsi="Calibri" w:eastAsia="宋体" w:cs="Times New Roman"/>
          <w:color w:val="333333"/>
          <w:sz w:val="21"/>
          <w:szCs w:val="22"/>
          <w:u w:val="none"/>
          <w:shd w:val="clear" w:fill="F9F9F9"/>
          <w:lang w:val="en-US" w:eastAsia="zh-CN" w:bidi="ar"/>
        </w:rPr>
        <w:fldChar w:fldCharType="begin"/>
      </w:r>
      <w:r>
        <w:rPr>
          <w:rFonts w:hint="default" w:ascii="Calibri" w:hAnsi="Calibri" w:eastAsia="宋体" w:cs="Times New Roman"/>
          <w:color w:val="333333"/>
          <w:sz w:val="21"/>
          <w:szCs w:val="22"/>
          <w:u w:val="none"/>
          <w:shd w:val="clear" w:fill="F9F9F9"/>
          <w:lang w:val="en-US" w:eastAsia="zh-CN" w:bidi="ar"/>
        </w:rPr>
        <w:instrText xml:space="preserve"> HYPERLINK "http://www.bosera.com/common/javascript:SLC(96616,0)" </w:instrText>
      </w:r>
      <w:r>
        <w:rPr>
          <w:rFonts w:hint="default" w:ascii="Calibri" w:hAnsi="Calibri" w:eastAsia="宋体" w:cs="Times New Roman"/>
          <w:color w:val="333333"/>
          <w:sz w:val="21"/>
          <w:szCs w:val="22"/>
          <w:u w:val="none"/>
          <w:shd w:val="clear" w:fill="F9F9F9"/>
          <w:lang w:val="en-US" w:eastAsia="zh-CN" w:bidi="ar"/>
        </w:rPr>
        <w:fldChar w:fldCharType="separate"/>
      </w:r>
      <w:r>
        <w:rPr>
          <w:rStyle w:val="7"/>
          <w:rFonts w:hint="eastAsia" w:ascii="Arial" w:hAnsi="Arial" w:eastAsia="宋体" w:cs="Arial"/>
          <w:color w:val="0000FF"/>
          <w:kern w:val="0"/>
          <w:sz w:val="21"/>
          <w:szCs w:val="21"/>
          <w:u w:val="none"/>
          <w:shd w:val="clear" w:fill="F9F9F9"/>
          <w:lang w:val="en-US" w:eastAsia="zh-CN" w:bidi="ar"/>
        </w:rPr>
        <w:t>反洗钱非现场监管办法（试行）</w:t>
      </w:r>
      <w:r>
        <w:rPr>
          <w:rFonts w:hint="default" w:ascii="Calibri" w:hAnsi="Calibri" w:eastAsia="宋体" w:cs="Times New Roman"/>
          <w:color w:val="333333"/>
          <w:sz w:val="21"/>
          <w:szCs w:val="22"/>
          <w:u w:val="none"/>
          <w:shd w:val="clear" w:fill="F9F9F9"/>
          <w:lang w:val="en-US" w:eastAsia="zh-CN" w:bidi="ar"/>
        </w:rPr>
        <w:fldChar w:fldCharType="end"/>
      </w:r>
      <w:r>
        <w:rPr>
          <w:rFonts w:hint="eastAsia" w:ascii="宋体" w:hAnsi="宋体" w:eastAsia="宋体" w:cs="Arial"/>
          <w:color w:val="000000"/>
          <w:kern w:val="0"/>
          <w:sz w:val="21"/>
          <w:szCs w:val="21"/>
          <w:shd w:val="clear" w:fill="F9F9F9"/>
          <w:lang w:val="en-US" w:eastAsia="zh-CN" w:bidi="ar"/>
        </w:rPr>
        <w:t>》（银发[2007]254号文印发）和《反洗钱现场检查办法（试行）》（银发[2007]175号一文印发）同时废止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C34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Emphasis"/>
    <w:basedOn w:val="4"/>
    <w:qFormat/>
    <w:uiPriority w:val="0"/>
  </w:style>
  <w:style w:type="character" w:styleId="7">
    <w:name w:val="Hyperlink"/>
    <w:basedOn w:val="4"/>
    <w:uiPriority w:val="0"/>
    <w:rPr>
      <w:color w:val="333333"/>
      <w:u w:val="none"/>
    </w:rPr>
  </w:style>
  <w:style w:type="character" w:customStyle="1" w:styleId="9">
    <w:name w:val="error"/>
    <w:basedOn w:val="4"/>
    <w:uiPriority w:val="0"/>
    <w:rPr>
      <w:color w:val="D70C19"/>
      <w:bdr w:val="none" w:color="auto" w:sz="0" w:space="0"/>
    </w:rPr>
  </w:style>
  <w:style w:type="character" w:customStyle="1" w:styleId="10">
    <w:name w:val="error1"/>
    <w:basedOn w:val="4"/>
    <w:uiPriority w:val="0"/>
    <w:rPr>
      <w:bdr w:val="none" w:color="auto" w:sz="0" w:space="0"/>
    </w:rPr>
  </w:style>
  <w:style w:type="character" w:customStyle="1" w:styleId="11">
    <w:name w:val="eng"/>
    <w:basedOn w:val="4"/>
    <w:uiPriority w:val="0"/>
    <w:rPr>
      <w:bdr w:val="single" w:color="C6C6C6" w:sz="6" w:space="0"/>
    </w:rPr>
  </w:style>
  <w:style w:type="character" w:customStyle="1" w:styleId="12">
    <w:name w:val="current"/>
    <w:basedOn w:val="4"/>
    <w:uiPriority w:val="0"/>
  </w:style>
  <w:style w:type="character" w:customStyle="1" w:styleId="13">
    <w:name w:val="tol"/>
    <w:basedOn w:val="4"/>
    <w:uiPriority w:val="0"/>
    <w:rPr>
      <w:bdr w:val="none" w:color="auto" w:sz="0" w:space="0"/>
    </w:rPr>
  </w:style>
  <w:style w:type="character" w:customStyle="1" w:styleId="14">
    <w:name w:val="elli"/>
    <w:basedOn w:val="4"/>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2016-10-10T02:49:56Z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