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84"/>
        <w:gridCol w:w="1691"/>
        <w:gridCol w:w="1652"/>
        <w:gridCol w:w="1170"/>
        <w:gridCol w:w="1231"/>
        <w:gridCol w:w="952"/>
        <w:gridCol w:w="1329"/>
        <w:gridCol w:w="5648"/>
      </w:tblGrid>
      <w:tr>
        <w:trPr>
          <w:trHeight w:val="645" w:hRule="atLeast"/>
        </w:trPr>
        <w:tc>
          <w:tcPr>
            <w:tcW w:w="15614" w:type="dxa"/>
            <w:gridSpan w:val="9"/>
            <w:textDirection w:val="lrTb"/>
            <w:vAlign w:val="bottom"/>
          </w:tcPr>
          <w:p>
            <w:pPr>
              <w:widowControl/>
              <w:jc w:val="center"/>
              <w:textAlignment w:val="bottom"/>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人民银行</w:t>
            </w:r>
            <w:r>
              <w:rPr>
                <w:rFonts w:hint="eastAsia" w:ascii="方正小标宋_GBK" w:hAnsi="方正小标宋_GBK" w:eastAsia="方正小标宋_GBK" w:cs="方正小标宋_GBK"/>
                <w:color w:val="000000"/>
                <w:kern w:val="0"/>
                <w:sz w:val="36"/>
                <w:szCs w:val="36"/>
                <w:lang w:eastAsia="zh-CN"/>
              </w:rPr>
              <w:t>江苏省</w:t>
            </w:r>
            <w:r>
              <w:rPr>
                <w:rFonts w:hint="eastAsia" w:ascii="方正小标宋_GBK" w:hAnsi="方正小标宋_GBK" w:eastAsia="方正小标宋_GBK" w:cs="方正小标宋_GBK"/>
                <w:color w:val="000000"/>
                <w:kern w:val="0"/>
                <w:sz w:val="36"/>
                <w:szCs w:val="36"/>
              </w:rPr>
              <w:t>分行</w:t>
            </w:r>
            <w:r>
              <w:rPr>
                <w:rFonts w:ascii="方正小标宋_GBK" w:hAnsi="方正小标宋_GBK" w:eastAsia="方正小标宋_GBK" w:cs="方正小标宋_GBK"/>
                <w:color w:val="000000"/>
                <w:kern w:val="0"/>
                <w:sz w:val="36"/>
                <w:szCs w:val="36"/>
              </w:rPr>
              <w:t>随机抽查事项清单</w:t>
            </w:r>
          </w:p>
        </w:tc>
      </w:tr>
      <w:tr>
        <w:trPr>
          <w:trHeight w:val="330" w:hRule="atLeast"/>
        </w:trPr>
        <w:tc>
          <w:tcPr>
            <w:tcW w:w="457" w:type="dxa"/>
            <w:vMerge w:val="restart"/>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3175" w:type="dxa"/>
            <w:gridSpan w:val="2"/>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抽查项目</w:t>
            </w:r>
          </w:p>
        </w:tc>
        <w:tc>
          <w:tcPr>
            <w:tcW w:w="1652" w:type="dxa"/>
            <w:vMerge w:val="restart"/>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检查对象</w:t>
            </w:r>
          </w:p>
        </w:tc>
        <w:tc>
          <w:tcPr>
            <w:tcW w:w="1170" w:type="dxa"/>
            <w:vMerge w:val="restart"/>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事项类别</w:t>
            </w:r>
          </w:p>
        </w:tc>
        <w:tc>
          <w:tcPr>
            <w:tcW w:w="1231" w:type="dxa"/>
            <w:vMerge w:val="restart"/>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检查方式</w:t>
            </w:r>
          </w:p>
        </w:tc>
        <w:tc>
          <w:tcPr>
            <w:tcW w:w="952" w:type="dxa"/>
            <w:vMerge w:val="restart"/>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检查层级</w:t>
            </w:r>
          </w:p>
        </w:tc>
        <w:tc>
          <w:tcPr>
            <w:tcW w:w="1329" w:type="dxa"/>
            <w:vMerge w:val="restart"/>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是否适用联合抽查</w:t>
            </w:r>
          </w:p>
        </w:tc>
        <w:tc>
          <w:tcPr>
            <w:tcW w:w="5648" w:type="dxa"/>
            <w:vMerge w:val="restart"/>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检查依据</w:t>
            </w:r>
          </w:p>
        </w:tc>
      </w:tr>
      <w:tr>
        <w:trPr>
          <w:trHeight w:val="645" w:hRule="atLeast"/>
        </w:trPr>
        <w:tc>
          <w:tcPr>
            <w:tcW w:w="457" w:type="dxa"/>
            <w:vMerge w:val="continue"/>
            <w:textDirection w:val="lrTb"/>
            <w:vAlign w:val="center"/>
          </w:tcPr>
          <w:p>
            <w:pPr>
              <w:jc w:val="center"/>
              <w:rPr>
                <w:rFonts w:ascii="黑体" w:hAnsi="宋体" w:eastAsia="黑体" w:cs="黑体"/>
                <w:color w:val="000000"/>
                <w:sz w:val="24"/>
              </w:rPr>
            </w:pPr>
          </w:p>
        </w:tc>
        <w:tc>
          <w:tcPr>
            <w:tcW w:w="1484" w:type="dxa"/>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抽查类别</w:t>
            </w:r>
          </w:p>
        </w:tc>
        <w:tc>
          <w:tcPr>
            <w:tcW w:w="1691" w:type="dxa"/>
            <w:textDirection w:val="lrTb"/>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抽查事项</w:t>
            </w:r>
          </w:p>
        </w:tc>
        <w:tc>
          <w:tcPr>
            <w:tcW w:w="1652" w:type="dxa"/>
            <w:vMerge w:val="continue"/>
            <w:textDirection w:val="lrTb"/>
            <w:vAlign w:val="center"/>
          </w:tcPr>
          <w:p>
            <w:pPr>
              <w:jc w:val="center"/>
              <w:rPr>
                <w:rFonts w:ascii="黑体" w:hAnsi="宋体" w:eastAsia="黑体" w:cs="黑体"/>
                <w:color w:val="000000"/>
                <w:sz w:val="24"/>
              </w:rPr>
            </w:pPr>
          </w:p>
        </w:tc>
        <w:tc>
          <w:tcPr>
            <w:tcW w:w="1170" w:type="dxa"/>
            <w:vMerge w:val="continue"/>
            <w:textDirection w:val="lrTb"/>
            <w:vAlign w:val="center"/>
          </w:tcPr>
          <w:p>
            <w:pPr>
              <w:jc w:val="center"/>
              <w:rPr>
                <w:rFonts w:ascii="黑体" w:hAnsi="宋体" w:eastAsia="黑体" w:cs="黑体"/>
                <w:color w:val="000000"/>
                <w:sz w:val="24"/>
              </w:rPr>
            </w:pPr>
          </w:p>
        </w:tc>
        <w:tc>
          <w:tcPr>
            <w:tcW w:w="1231" w:type="dxa"/>
            <w:vMerge w:val="continue"/>
            <w:textDirection w:val="lrTb"/>
            <w:vAlign w:val="center"/>
          </w:tcPr>
          <w:p>
            <w:pPr>
              <w:jc w:val="center"/>
              <w:rPr>
                <w:rFonts w:ascii="黑体" w:hAnsi="宋体" w:eastAsia="黑体" w:cs="黑体"/>
                <w:color w:val="000000"/>
                <w:sz w:val="24"/>
              </w:rPr>
            </w:pPr>
          </w:p>
        </w:tc>
        <w:tc>
          <w:tcPr>
            <w:tcW w:w="952" w:type="dxa"/>
            <w:vMerge w:val="continue"/>
            <w:textDirection w:val="lrTb"/>
            <w:vAlign w:val="center"/>
          </w:tcPr>
          <w:p>
            <w:pPr>
              <w:jc w:val="center"/>
              <w:rPr>
                <w:rFonts w:ascii="黑体" w:hAnsi="宋体" w:eastAsia="黑体" w:cs="黑体"/>
                <w:color w:val="000000"/>
                <w:sz w:val="24"/>
              </w:rPr>
            </w:pPr>
          </w:p>
        </w:tc>
        <w:tc>
          <w:tcPr>
            <w:tcW w:w="1329" w:type="dxa"/>
            <w:vMerge w:val="continue"/>
            <w:textDirection w:val="lrTb"/>
            <w:vAlign w:val="center"/>
          </w:tcPr>
          <w:p>
            <w:pPr>
              <w:jc w:val="center"/>
              <w:rPr>
                <w:rFonts w:ascii="黑体" w:hAnsi="宋体" w:eastAsia="黑体" w:cs="黑体"/>
                <w:color w:val="000000"/>
                <w:sz w:val="24"/>
              </w:rPr>
            </w:pPr>
          </w:p>
        </w:tc>
        <w:tc>
          <w:tcPr>
            <w:tcW w:w="5648" w:type="dxa"/>
            <w:vMerge w:val="continue"/>
            <w:textDirection w:val="lrTb"/>
            <w:vAlign w:val="center"/>
          </w:tcPr>
          <w:p>
            <w:pPr>
              <w:jc w:val="center"/>
              <w:rPr>
                <w:rFonts w:ascii="黑体" w:hAnsi="宋体" w:eastAsia="黑体" w:cs="黑体"/>
                <w:color w:val="000000"/>
                <w:sz w:val="24"/>
              </w:rPr>
            </w:pP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对执行有关存款准备金管理规定的行为进行检查监督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对与中国人民银行特种贷款有关的行为进行检查监督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p>
            <w:pPr>
              <w:widowControl/>
              <w:jc w:val="left"/>
              <w:textAlignment w:val="center"/>
              <w:rPr>
                <w:rFonts w:ascii="宋体" w:hAnsi="宋体" w:eastAsia="宋体" w:cs="宋体"/>
                <w:color w:val="000000"/>
                <w:kern w:val="0"/>
                <w:sz w:val="24"/>
              </w:rPr>
            </w:pP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对执行有关银行间同业拆借市场管理规定的行为进行检查监督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《中华人民共和国中国人民银行法》第三十二条；《同业拆借管理办法》（中国人民银行令〔2007〕第3号）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对银行间债券市场柜台业务进行检查监督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《中华人民共和国中国人民银行法》第三十二条；《全国银行间债券市场柜台业务管理办法》（中国人民银行公告〔2016〕第2号）。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对金融债券发行过程中参与各方的行为等进行检查监督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金融机构、托管机构、律师事务所、会计师事务所、信用评级机构等</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《全国银行间债券市场金融债券发行管理办法》。</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对全国银行间债券市场参与者的交易行为等进行检查监督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《中华人民共和国中国人民银行法》第三十二条；《全国银行间债券市场债券交易管理办法》。。</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对金融机构结算代理业务开展情况等进行检查监督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《中华人民共和国中国人民银行法》第三十二条；《关于开办债券结算代理业务有关问题的通知》（银发〔2000〕325号）。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对做市商的做市业务进行检查监督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《中华人民共和国中国人民银行法》第三十二条；《全国银行间债券市场做市商管理规定》（中国人民银行公告〔2007〕第1号）。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9</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对其他执行有关银行间债券市场管理规定的行为进行检查监督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货币信贷类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对黄金市场参与者的交易行为等进行检查监督；对其他执行有关黄金管理规定的行为进行检查监督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金融稳定类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金融稳定再贷款检查监督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再贷款使用单位</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调查统计类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金融统计制度执行情况及统计数据质量检查</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《中华人民共和国中国人民银行法》；《中华人民共和国商业银行法》；</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 xml:space="preserve">《金融统计管理规定》。 </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支付结算类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支付系统参与机构的规范运行情况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《中华人民共和国中国人民银行法》第三十二条；《银行业金融机构加入、退出支付系统管理办法（试行）》（银发〔2007〕384号文印发）；</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《境内外币支付系统运行管理规定（试行）》（银发〔2008〕147号文印发）；</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《中国人民银行办公厅关于印发全国支票影像交换系统业务处理及系统运行有关管理规定的通知》（银办发〔2006〕255号）；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《中国人民银行支付系统参与者监督管理办法》（银发〔2015〕40号文印发）；</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《中国人民银行办公厅关于修订支付系统相关管理制度的通知》（银办发〔2016〕112号）。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14</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支付结算类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银行结算账户制度的执行情况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《个人存款账户实名制规定》（中华人民共和国国务院令第285号）；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《人民币银行结算账户管理办法》（中国人民银行令〔2003〕第5号）；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《企业银行结算账户管理办法》（银发〔2019〕41号文印发）；</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《中国人民银行关于加强支付结算管理防范电信网络新型违法犯罪有关事项的通知》（银发〔2016〕261号）；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《中国人民银行关于进一步加强支付结算管理防范电信网络新型违法犯罪有关事项的通知》（银发〔2019〕85号）。</w:t>
            </w:r>
          </w:p>
        </w:tc>
      </w:tr>
      <w:tr>
        <w:trPr>
          <w:trHeight w:val="565"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支付结算类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票据业务办理情况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银行业金融机构、其他相关机构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《中华人民共和国票据法》；</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《票据管理实施办法》（中国人民银行令〔1997〕第2号）；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《电子商业汇票业务管理办法》（中国人民银行令〔2009）第2号）；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《商业汇票承兑、贴现与再贴现管理暂行办法》（银发〔1997）1216号）。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16</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支付结算类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执行其他有关清算管理规定情况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银行业金融机构、支付机构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bookmarkStart w:id="0" w:name="_GoBack"/>
            <w:bookmarkEnd w:id="0"/>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17</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支付结算类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银行卡收单业务开展情况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银行业金融机构、支付机构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《银行卡收单业务管理办法》（中国人民银行令〔2013〕第9号）。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18</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支付结算类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支付机构客户备付金存管业务开展情况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《支付机构客户备付金存管办法》（</w:t>
            </w:r>
            <w:r>
              <w:rPr>
                <w:rFonts w:hint="eastAsia" w:ascii="宋体" w:hAnsi="宋体" w:eastAsia="宋体" w:cs="宋体"/>
                <w:color w:val="000000"/>
                <w:kern w:val="0"/>
                <w:sz w:val="24"/>
                <w:lang w:val="zh-CN"/>
              </w:rPr>
              <w:t>中国人民银行令〔2021〕第1号</w:t>
            </w:r>
            <w:r>
              <w:rPr>
                <w:rFonts w:hint="eastAsia" w:ascii="宋体" w:hAnsi="宋体" w:eastAsia="宋体" w:cs="宋体"/>
                <w:color w:val="000000"/>
                <w:kern w:val="0"/>
                <w:sz w:val="24"/>
              </w:rPr>
              <w:t>）。</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19</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支付结算类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支付机构的预付卡业务开展情况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《非金融机构支付服务管理办法》（中国人民银行令〔2010〕第2号）；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《支付机构预付卡业务管理办法》（中国人民银行公告〔2012〕第12号）。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20</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支付结算类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支付机构开展网络支付业务活动情况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《非金融机构支付服务管理办法》（中国人民银行令〔2010〕第2号）；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《非银行支付机构网络支付业务管理办法》（中国人民银行公告〔2015〕第43号）。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21</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货币金银类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执行有关人民币管理规定情况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银行业金融机构、企业</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《中华人民共和国中国人民银行法》第三十二条；《中国人民银行货币鉴别及假币收缴、鉴定管理办法》（中国人民银行令〔2019〕第3号）；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《中国人民银行残缺污损人民币兑换办法》（中国人民银行令〔2003〕第7号）。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22</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货币金银类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执行有关黄金管理规定情况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企业</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《黄金及黄金制品进出口管理办法》（中国人民银行 海关总署令〔2015〕第1号）。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23</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国库类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对商业银行、信用社代理支库业务情况进行检查</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《国家金库条例》（国发〔1985〕96号）；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《商业银行、信用社代理国库业务管理办法》（中国人民银行令〔2001〕第1号）。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24</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国库类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对商业银行、信用社代理乡镇国库业务情况进行检查</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《中华人民共和国中国人民银行法》第三十二条；《国家金库条例》（国发〔1985〕96号）；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《商业银行、信用社代理国库业务管理办法》（中国人民银行令〔2001〕第1号）。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25</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国库类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对商业银行、信用社国库经收业务进行监督检查</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《国家金库条例》（国发〔1985〕96号）；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《商业银行、信用社代理国库业务管理办法》（中国人民银行令〔2001〕第1号）。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26</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国库类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对国库集中收付代理银行检查监督</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《中华人民共和国中国人民银行法》第三十二条；《财政国库管理制度改革试点方案》（财库〔2001〕24号）。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27</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国库类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对商业银行办理国债承销、发行、兑付及相关业务开展情况进行检查</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《中华人民共和国中国人民银行法》第三十二条；《国债承销团成员资格审批办法》（中华人民共和国财政部 中国人民银行 中国证券监督管理委员会令第39号）。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28</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国库类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对商业银行参与地方国库现金管理活动进行监督管理</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银行业金融机构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《中华人民共和国中国人民银行法》第三十二条；《地方国库现金管理试点办法》的通知（财库〔2014〕183号）。</w:t>
            </w:r>
          </w:p>
        </w:tc>
      </w:tr>
      <w:tr>
        <w:trPr>
          <w:trHeight w:val="960" w:hRule="atLeast"/>
        </w:trPr>
        <w:tc>
          <w:tcPr>
            <w:tcW w:w="457" w:type="dxa"/>
            <w:textDirection w:val="lrTb"/>
            <w:vAlign w:val="center"/>
          </w:tcPr>
          <w:p>
            <w:pPr>
              <w:widowControl/>
              <w:jc w:val="left"/>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29</w:t>
            </w:r>
          </w:p>
        </w:tc>
        <w:tc>
          <w:tcPr>
            <w:tcW w:w="1484"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征信管理类</w:t>
            </w:r>
          </w:p>
        </w:tc>
        <w:tc>
          <w:tcPr>
            <w:tcW w:w="1691"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cs="宋体"/>
                <w:color w:val="000000"/>
                <w:kern w:val="0"/>
                <w:sz w:val="24"/>
                <w:lang w:eastAsia="zh-CN"/>
              </w:rPr>
              <w:t>执行</w:t>
            </w:r>
            <w:r>
              <w:rPr>
                <w:rFonts w:hint="eastAsia" w:ascii="宋体" w:hAnsi="宋体" w:eastAsia="宋体" w:cs="宋体"/>
                <w:color w:val="000000"/>
                <w:kern w:val="0"/>
                <w:sz w:val="24"/>
              </w:rPr>
              <w:t>征信管理规定情况</w:t>
            </w:r>
          </w:p>
        </w:tc>
        <w:tc>
          <w:tcPr>
            <w:tcW w:w="1652"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银行业金融机构、非银行金融机构、小额贷款公司、融资性担保公司等</w:t>
            </w:r>
          </w:p>
        </w:tc>
        <w:tc>
          <w:tcPr>
            <w:tcW w:w="1170"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《征信业管理条例</w:t>
            </w:r>
            <w:r>
              <w:rPr>
                <w:rFonts w:hint="eastAsia" w:ascii="宋体" w:hAnsi="宋体" w:cs="宋体"/>
                <w:color w:val="000000"/>
                <w:kern w:val="0"/>
                <w:sz w:val="24"/>
                <w:lang w:eastAsia="zh-CN"/>
              </w:rPr>
              <w:t>》（</w:t>
            </w:r>
            <w:r>
              <w:rPr>
                <w:rFonts w:hint="eastAsia" w:ascii="宋体" w:hAnsi="宋体" w:eastAsia="宋体" w:cs="宋体"/>
                <w:color w:val="000000"/>
                <w:kern w:val="0"/>
                <w:sz w:val="24"/>
              </w:rPr>
              <w:t>国务院令第631号</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p>
          <w:p>
            <w:pPr>
              <w:widowControl/>
              <w:jc w:val="left"/>
              <w:textAlignment w:val="center"/>
              <w:rPr>
                <w:rFonts w:hint="eastAsia" w:ascii="宋体" w:hAnsi="宋体" w:eastAsia="宋体" w:cs="宋体"/>
                <w:color w:val="000000"/>
                <w:kern w:val="0"/>
                <w:sz w:val="24"/>
              </w:rPr>
            </w:pPr>
            <w:r>
              <w:rPr>
                <w:rFonts w:hint="eastAsia" w:ascii="宋体" w:hAnsi="宋体" w:cs="宋体"/>
                <w:color w:val="000000"/>
                <w:kern w:val="0"/>
                <w:sz w:val="24"/>
                <w:lang w:eastAsia="zh-CN"/>
              </w:rPr>
              <w:t>《征信业务管理办法》（中国人民银行令〔20</w:t>
            </w:r>
            <w:r>
              <w:rPr>
                <w:rFonts w:hint="eastAsia" w:ascii="宋体" w:hAnsi="宋体" w:cs="宋体"/>
                <w:color w:val="000000"/>
                <w:kern w:val="0"/>
                <w:sz w:val="24"/>
                <w:lang w:val="en-US" w:eastAsia="zh-CN"/>
              </w:rPr>
              <w:t>21</w:t>
            </w:r>
            <w:r>
              <w:rPr>
                <w:rFonts w:hint="eastAsia" w:ascii="宋体" w:hAnsi="宋体" w:cs="宋体"/>
                <w:color w:val="000000"/>
                <w:kern w:val="0"/>
                <w:sz w:val="24"/>
                <w:lang w:eastAsia="zh-CN"/>
              </w:rPr>
              <w:t>〕第</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号）；</w:t>
            </w:r>
          </w:p>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《个人信用信息基础数据库管理暂行办法》(中国人民银行令〔2005〕第3号)；</w:t>
            </w:r>
          </w:p>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《中国人民银行关于加强征信合规管理工作的通知》（银发〔2016〕300号）</w:t>
            </w:r>
            <w:r>
              <w:rPr>
                <w:rFonts w:hint="eastAsia" w:ascii="宋体" w:hAnsi="宋体" w:cs="宋体"/>
                <w:color w:val="000000"/>
                <w:kern w:val="0"/>
                <w:sz w:val="24"/>
                <w:lang w:eastAsia="zh-CN"/>
              </w:rPr>
              <w:t>；</w:t>
            </w:r>
          </w:p>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《中国人民银行关于进一步加强征信信息安全管理的通知》（银发〔2018〕102号）。</w:t>
            </w:r>
          </w:p>
        </w:tc>
      </w:tr>
      <w:tr>
        <w:trPr>
          <w:trHeight w:val="960" w:hRule="atLeast"/>
        </w:trPr>
        <w:tc>
          <w:tcPr>
            <w:tcW w:w="457" w:type="dxa"/>
            <w:textDirection w:val="lrTb"/>
            <w:vAlign w:val="center"/>
          </w:tcPr>
          <w:p>
            <w:pPr>
              <w:widowControl/>
              <w:jc w:val="left"/>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30</w:t>
            </w:r>
          </w:p>
        </w:tc>
        <w:tc>
          <w:tcPr>
            <w:tcW w:w="1484"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征信管理类</w:t>
            </w:r>
          </w:p>
        </w:tc>
        <w:tc>
          <w:tcPr>
            <w:tcW w:w="1691"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cs="宋体"/>
                <w:color w:val="000000"/>
                <w:kern w:val="0"/>
                <w:sz w:val="24"/>
                <w:lang w:eastAsia="zh-CN"/>
              </w:rPr>
              <w:t>执行</w:t>
            </w:r>
            <w:r>
              <w:rPr>
                <w:rFonts w:hint="eastAsia" w:ascii="宋体" w:hAnsi="宋体" w:eastAsia="宋体" w:cs="宋体"/>
                <w:color w:val="000000"/>
                <w:kern w:val="0"/>
                <w:sz w:val="24"/>
              </w:rPr>
              <w:t>征信管理规定情况</w:t>
            </w:r>
          </w:p>
        </w:tc>
        <w:tc>
          <w:tcPr>
            <w:tcW w:w="1652"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cs="宋体"/>
                <w:color w:val="000000"/>
                <w:kern w:val="0"/>
                <w:sz w:val="24"/>
                <w:lang w:eastAsia="zh-CN"/>
              </w:rPr>
              <w:t>征信机构</w:t>
            </w:r>
          </w:p>
        </w:tc>
        <w:tc>
          <w:tcPr>
            <w:tcW w:w="1170"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省</w:t>
            </w:r>
          </w:p>
        </w:tc>
        <w:tc>
          <w:tcPr>
            <w:tcW w:w="1329"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《征信业管理条例》（国务院令第631号</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p>
          <w:p>
            <w:pPr>
              <w:widowControl/>
              <w:jc w:val="left"/>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《征信业务管理办法》（中国人民银行令〔20</w:t>
            </w:r>
            <w:r>
              <w:rPr>
                <w:rFonts w:hint="eastAsia" w:ascii="宋体" w:hAnsi="宋体" w:cs="宋体"/>
                <w:color w:val="000000"/>
                <w:kern w:val="0"/>
                <w:sz w:val="24"/>
                <w:lang w:val="en-US" w:eastAsia="zh-CN"/>
              </w:rPr>
              <w:t>21</w:t>
            </w:r>
            <w:r>
              <w:rPr>
                <w:rFonts w:hint="eastAsia" w:ascii="宋体" w:hAnsi="宋体" w:cs="宋体"/>
                <w:color w:val="000000"/>
                <w:kern w:val="0"/>
                <w:sz w:val="24"/>
                <w:lang w:eastAsia="zh-CN"/>
              </w:rPr>
              <w:t>〕第</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号）；</w:t>
            </w:r>
          </w:p>
          <w:p>
            <w:pPr>
              <w:widowControl/>
              <w:jc w:val="left"/>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《征信机构管理办法》（中国人民银行令〔20</w:t>
            </w:r>
            <w:r>
              <w:rPr>
                <w:rFonts w:hint="eastAsia" w:ascii="宋体" w:hAnsi="宋体" w:cs="宋体"/>
                <w:color w:val="000000"/>
                <w:kern w:val="0"/>
                <w:sz w:val="24"/>
                <w:lang w:val="en-US" w:eastAsia="zh-CN"/>
              </w:rPr>
              <w:t>13</w:t>
            </w:r>
            <w:r>
              <w:rPr>
                <w:rFonts w:hint="eastAsia" w:ascii="宋体" w:hAnsi="宋体" w:cs="宋体"/>
                <w:color w:val="000000"/>
                <w:kern w:val="0"/>
                <w:sz w:val="24"/>
                <w:lang w:eastAsia="zh-CN"/>
              </w:rPr>
              <w:t>〕第</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号）；</w:t>
            </w:r>
          </w:p>
          <w:p>
            <w:pPr>
              <w:widowControl/>
              <w:jc w:val="left"/>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《企业征信机构备案管理办法》（银发〔2016〕253号）；</w:t>
            </w:r>
          </w:p>
          <w:p>
            <w:pPr>
              <w:widowControl/>
              <w:jc w:val="left"/>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《中国人民银行关于加强征信合规管理工作的通知》（银发〔2016〕300号）；</w:t>
            </w:r>
          </w:p>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《中国人民银行关于进一步加强征信信息安全管理的通知》（银发〔2018〕102号）</w:t>
            </w:r>
          </w:p>
        </w:tc>
      </w:tr>
      <w:tr>
        <w:trPr>
          <w:trHeight w:val="960" w:hRule="atLeast"/>
        </w:trPr>
        <w:tc>
          <w:tcPr>
            <w:tcW w:w="457" w:type="dxa"/>
            <w:textDirection w:val="lrTb"/>
            <w:vAlign w:val="center"/>
          </w:tcPr>
          <w:p>
            <w:pPr>
              <w:widowControl/>
              <w:jc w:val="left"/>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31</w:t>
            </w:r>
          </w:p>
        </w:tc>
        <w:tc>
          <w:tcPr>
            <w:tcW w:w="1484"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征信管理类</w:t>
            </w:r>
          </w:p>
        </w:tc>
        <w:tc>
          <w:tcPr>
            <w:tcW w:w="1691"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cs="宋体"/>
                <w:color w:val="000000"/>
                <w:kern w:val="0"/>
                <w:sz w:val="24"/>
                <w:lang w:eastAsia="zh-CN"/>
              </w:rPr>
              <w:t>执行信用评级管理规定情况</w:t>
            </w:r>
          </w:p>
        </w:tc>
        <w:tc>
          <w:tcPr>
            <w:tcW w:w="1652"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cs="宋体"/>
                <w:color w:val="000000"/>
                <w:kern w:val="0"/>
                <w:sz w:val="24"/>
                <w:lang w:eastAsia="zh-CN"/>
              </w:rPr>
              <w:t>信用评级机构</w:t>
            </w:r>
          </w:p>
        </w:tc>
        <w:tc>
          <w:tcPr>
            <w:tcW w:w="1170"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省</w:t>
            </w:r>
          </w:p>
        </w:tc>
        <w:tc>
          <w:tcPr>
            <w:tcW w:w="1329" w:type="dxa"/>
            <w:textDirection w:val="lrTb"/>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信用评级业管理暂行办法</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中国人民银行 </w:t>
            </w:r>
            <w:r>
              <w:rPr>
                <w:rFonts w:hint="eastAsia" w:ascii="宋体" w:hAnsi="宋体" w:cs="宋体"/>
                <w:color w:val="000000"/>
                <w:kern w:val="0"/>
                <w:sz w:val="24"/>
                <w:lang w:eastAsia="zh-CN"/>
              </w:rPr>
              <w:t>国家</w:t>
            </w:r>
            <w:r>
              <w:rPr>
                <w:rFonts w:hint="eastAsia" w:ascii="宋体" w:hAnsi="宋体" w:eastAsia="宋体" w:cs="宋体"/>
                <w:color w:val="000000"/>
                <w:kern w:val="0"/>
                <w:sz w:val="24"/>
              </w:rPr>
              <w:t>发展</w:t>
            </w:r>
            <w:r>
              <w:rPr>
                <w:rFonts w:hint="eastAsia" w:ascii="宋体" w:hAnsi="宋体" w:cs="宋体"/>
                <w:color w:val="000000"/>
                <w:kern w:val="0"/>
                <w:sz w:val="24"/>
                <w:lang w:eastAsia="zh-CN"/>
              </w:rPr>
              <w:t>和</w:t>
            </w:r>
            <w:r>
              <w:rPr>
                <w:rFonts w:hint="eastAsia" w:ascii="宋体" w:hAnsi="宋体" w:eastAsia="宋体" w:cs="宋体"/>
                <w:color w:val="000000"/>
                <w:kern w:val="0"/>
                <w:sz w:val="24"/>
              </w:rPr>
              <w:t>改革</w:t>
            </w:r>
            <w:r>
              <w:rPr>
                <w:rFonts w:hint="eastAsia" w:ascii="宋体" w:hAnsi="宋体" w:cs="宋体"/>
                <w:color w:val="000000"/>
                <w:kern w:val="0"/>
                <w:sz w:val="24"/>
                <w:lang w:eastAsia="zh-CN"/>
              </w:rPr>
              <w:t>委员会</w:t>
            </w:r>
            <w:r>
              <w:rPr>
                <w:rFonts w:hint="eastAsia" w:ascii="宋体" w:hAnsi="宋体" w:eastAsia="宋体" w:cs="宋体"/>
                <w:color w:val="000000"/>
                <w:kern w:val="0"/>
                <w:sz w:val="24"/>
              </w:rPr>
              <w:t xml:space="preserve"> 财政部 </w:t>
            </w:r>
            <w:r>
              <w:rPr>
                <w:rFonts w:hint="eastAsia" w:ascii="宋体" w:hAnsi="宋体" w:cs="宋体"/>
                <w:color w:val="000000"/>
                <w:kern w:val="0"/>
                <w:sz w:val="24"/>
                <w:lang w:eastAsia="zh-CN"/>
              </w:rPr>
              <w:t>中国证券监督管理委员</w:t>
            </w:r>
            <w:r>
              <w:rPr>
                <w:rFonts w:hint="eastAsia" w:ascii="宋体" w:hAnsi="宋体" w:eastAsia="宋体" w:cs="宋体"/>
                <w:color w:val="000000"/>
                <w:kern w:val="0"/>
                <w:sz w:val="24"/>
              </w:rPr>
              <w:t>会令〔2019〕5号</w:t>
            </w:r>
            <w:r>
              <w:rPr>
                <w:rFonts w:hint="eastAsia" w:ascii="宋体" w:hAnsi="宋体" w:cs="宋体"/>
                <w:color w:val="000000"/>
                <w:kern w:val="0"/>
                <w:sz w:val="24"/>
                <w:lang w:eastAsia="zh-CN"/>
              </w:rPr>
              <w:t>）</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cs="宋体"/>
                <w:color w:val="000000"/>
                <w:kern w:val="0"/>
                <w:sz w:val="24"/>
                <w:lang w:val="en-US" w:eastAsia="zh-CN"/>
              </w:rPr>
              <w:t>2</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反洗钱类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金融机构履行反洗钱义务情况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银行、证券、保险类金融机构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r>
              <w:rPr>
                <w:rFonts w:hint="eastAsia" w:ascii="宋体" w:hAnsi="宋体" w:eastAsia="宋体" w:cs="宋体"/>
                <w:color w:val="000000"/>
                <w:kern w:val="0"/>
                <w:sz w:val="24"/>
              </w:rPr>
              <w:br/>
            </w:r>
            <w:r>
              <w:rPr>
                <w:rFonts w:hint="eastAsia" w:ascii="宋体" w:hAnsi="宋体" w:eastAsia="宋体" w:cs="宋体"/>
                <w:color w:val="000000"/>
                <w:kern w:val="0"/>
                <w:sz w:val="24"/>
              </w:rPr>
              <w:t>《中华人民共和国反洗钱法》；</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《金融机构反洗钱规定》（中国人民银行令〔2006〕第1号）；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《金融机构客户身份识别和客户身份资料及交易记录保存管理办法》（中国人民银行 中国银行业监督管理委员会 中国证券监督管理委员会 中国保险监督管理委员会令〔2007〕第2号）；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《金融机构大额交易和可疑交易报告管理办法》（中国人民银行令〔2016〕第3号）。</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cs="宋体"/>
                <w:color w:val="000000"/>
                <w:kern w:val="0"/>
                <w:sz w:val="24"/>
                <w:lang w:val="en-US" w:eastAsia="zh-CN"/>
              </w:rPr>
              <w:t>3</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反洗钱类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支付机构开展反洗钱工作情况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w:t>
            </w:r>
            <w:r>
              <w:rPr>
                <w:rFonts w:hint="eastAsia" w:ascii="宋体" w:hAnsi="宋体" w:eastAsia="宋体" w:cs="宋体"/>
                <w:color w:val="000000"/>
                <w:kern w:val="0"/>
                <w:sz w:val="24"/>
              </w:rPr>
              <w:br/>
            </w:r>
            <w:r>
              <w:rPr>
                <w:rFonts w:hint="eastAsia" w:ascii="宋体" w:hAnsi="宋体" w:eastAsia="宋体" w:cs="宋体"/>
                <w:color w:val="000000"/>
                <w:kern w:val="0"/>
                <w:sz w:val="24"/>
              </w:rPr>
              <w:t>《中华人民共和国反洗钱法》；</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《支付机构反洗钱和反恐怖融资管理办法》（银发〔2012〕54号文印发）。</w:t>
            </w:r>
          </w:p>
        </w:tc>
      </w:tr>
      <w:tr>
        <w:trPr>
          <w:trHeight w:val="960" w:hRule="atLeast"/>
        </w:trPr>
        <w:tc>
          <w:tcPr>
            <w:tcW w:w="457"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cs="宋体"/>
                <w:color w:val="000000"/>
                <w:kern w:val="0"/>
                <w:sz w:val="24"/>
                <w:lang w:val="en-US" w:eastAsia="zh-CN"/>
              </w:rPr>
              <w:t>4</w:t>
            </w:r>
          </w:p>
        </w:tc>
        <w:tc>
          <w:tcPr>
            <w:tcW w:w="1484"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金融消费权益保护</w:t>
            </w:r>
            <w:r>
              <w:rPr>
                <w:rFonts w:hint="eastAsia" w:ascii="宋体" w:hAnsi="宋体" w:cs="宋体"/>
                <w:color w:val="000000"/>
                <w:kern w:val="0"/>
                <w:sz w:val="24"/>
                <w:lang w:eastAsia="zh-CN"/>
              </w:rPr>
              <w:t>类</w:t>
            </w:r>
          </w:p>
        </w:tc>
        <w:tc>
          <w:tcPr>
            <w:tcW w:w="1691"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履行金融消费者权益保护义务情况</w:t>
            </w:r>
          </w:p>
        </w:tc>
        <w:tc>
          <w:tcPr>
            <w:tcW w:w="1652"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cs="宋体"/>
                <w:color w:val="000000"/>
                <w:kern w:val="0"/>
                <w:sz w:val="24"/>
                <w:lang w:eastAsia="zh-CN"/>
              </w:rPr>
              <w:t>银行</w:t>
            </w:r>
            <w:r>
              <w:rPr>
                <w:rFonts w:hint="eastAsia" w:ascii="宋体" w:hAnsi="宋体" w:eastAsia="宋体" w:cs="宋体"/>
                <w:color w:val="000000"/>
                <w:kern w:val="0"/>
                <w:sz w:val="24"/>
              </w:rPr>
              <w:t>、支付机构</w:t>
            </w:r>
          </w:p>
        </w:tc>
        <w:tc>
          <w:tcPr>
            <w:tcW w:w="1170"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一般检查事项</w:t>
            </w:r>
          </w:p>
        </w:tc>
        <w:tc>
          <w:tcPr>
            <w:tcW w:w="1231"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现场检查</w:t>
            </w:r>
          </w:p>
        </w:tc>
        <w:tc>
          <w:tcPr>
            <w:tcW w:w="952"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省市</w:t>
            </w:r>
          </w:p>
        </w:tc>
        <w:tc>
          <w:tcPr>
            <w:tcW w:w="1329" w:type="dxa"/>
            <w:textDirection w:val="lrTb"/>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否</w:t>
            </w:r>
          </w:p>
        </w:tc>
        <w:tc>
          <w:tcPr>
            <w:tcW w:w="5648" w:type="dxa"/>
            <w:textDirection w:val="lrTb"/>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《中华人民共和国中国人民银行法》第三十二条；《中华人民共和国消费者权益保护法》；</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《国务院办公厅关于加强金融消费者权益保护工作的指导意见》（国办发</w:t>
            </w:r>
            <w:r>
              <w:rPr>
                <w:rFonts w:hint="eastAsia" w:ascii="宋体" w:hAnsi="宋体" w:cs="宋体"/>
                <w:color w:val="000000"/>
                <w:kern w:val="0"/>
                <w:sz w:val="24"/>
                <w:lang w:val="en-US" w:eastAsia="zh-CN"/>
              </w:rPr>
              <w:t>[</w:t>
            </w:r>
            <w:r>
              <w:rPr>
                <w:rFonts w:hint="eastAsia" w:ascii="宋体" w:hAnsi="宋体" w:eastAsia="宋体" w:cs="宋体"/>
                <w:color w:val="000000"/>
                <w:kern w:val="0"/>
                <w:sz w:val="24"/>
              </w:rPr>
              <w:t>2015</w:t>
            </w:r>
            <w:r>
              <w:rPr>
                <w:rFonts w:hint="eastAsia" w:ascii="宋体" w:hAnsi="宋体" w:cs="宋体"/>
                <w:color w:val="000000"/>
                <w:kern w:val="0"/>
                <w:sz w:val="24"/>
                <w:lang w:val="en-US" w:eastAsia="zh-CN"/>
              </w:rPr>
              <w:t>]</w:t>
            </w:r>
            <w:r>
              <w:rPr>
                <w:rFonts w:hint="eastAsia" w:ascii="宋体" w:hAnsi="宋体" w:eastAsia="宋体" w:cs="宋体"/>
                <w:color w:val="000000"/>
                <w:kern w:val="0"/>
                <w:sz w:val="24"/>
              </w:rPr>
              <w:t>81号）；</w:t>
            </w:r>
          </w:p>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《中国人民银行金融消费者权益保护实施办法》（中国人民银行令〔2020〕第5号）。</w:t>
            </w:r>
          </w:p>
        </w:tc>
      </w:tr>
    </w:tbl>
    <w:p/>
    <w:p/>
    <w:p/>
    <w:p/>
    <w:p/>
    <w:p/>
    <w:p/>
    <w:p/>
    <w:p/>
    <w:p/>
    <w:sectPr>
      <w:footerReference r:id="rId4" w:type="default"/>
      <w:pgSz w:w="16838" w:h="11906" w:orient="landscape"/>
      <w:pgMar w:top="720" w:right="720" w:bottom="720" w:left="720" w:header="851" w:footer="454"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MS Gothic">
    <w:panose1 w:val="020B0609070205080204"/>
    <w:charset w:val="80"/>
    <w:family w:val="auto"/>
    <w:pitch w:val="default"/>
    <w:sig w:usb0="A00002BF" w:usb1="68C7FCFB" w:usb2="00000010" w:usb3="00000000" w:csb0="4002009F" w:csb1="DFD70000"/>
  </w:font>
  <w:font w:name="方正仿宋_GBK">
    <w:panose1 w:val="03000509000000000000"/>
    <w:charset w:val="86"/>
    <w:family w:val="auto"/>
    <w:pitch w:val="default"/>
    <w:sig w:usb0="00000001" w:usb1="080E0000" w:usb2="00000000" w:usb3="00000000" w:csb0="003C0041" w:csb1="A008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t>1</w:t>
    </w:r>
    <w:r>
      <w:rPr>
        <w:rFonts w:ascii="宋体" w:hAnsi="宋体" w:eastAsia="宋体"/>
        <w:sz w:val="24"/>
        <w:szCs w:val="24"/>
      </w:rPr>
      <w:fldChar w:fldCharType="end"/>
    </w:r>
    <w:r>
      <w:rPr>
        <w:rFonts w:hint="eastAsia" w:ascii="宋体" w:hAnsi="宋体" w:eastAsia="宋体"/>
        <w:sz w:val="24"/>
        <w:szCs w:val="24"/>
      </w:rPr>
      <w:t xml:space="preserve"> </w:t>
    </w:r>
    <w:r>
      <w:rPr>
        <w:rFonts w:ascii="宋体" w:hAnsi="宋体" w:eastAsia="宋体"/>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uiPriority w:val="1"/>
  </w:style>
  <w:style w:type="paragraph" w:styleId="3">
    <w:name w:val="Body Text"/>
    <w:basedOn w:val="1"/>
    <w:link w:val="21"/>
    <w:qFormat/>
    <w:uiPriority w:val="1"/>
    <w:pPr>
      <w:autoSpaceDE w:val="0"/>
      <w:autoSpaceDN w:val="0"/>
      <w:jc w:val="left"/>
    </w:pPr>
    <w:rPr>
      <w:rFonts w:ascii="宋体" w:hAnsi="宋体" w:eastAsia="宋体" w:cs="宋体"/>
      <w:kern w:val="0"/>
      <w:sz w:val="32"/>
      <w:szCs w:val="32"/>
    </w:rPr>
  </w:style>
  <w:style w:type="paragraph" w:styleId="4">
    <w:name w:val="footer"/>
    <w:basedOn w:val="1"/>
    <w:link w:val="23"/>
    <w:uiPriority w:val="0"/>
    <w:pPr>
      <w:tabs>
        <w:tab w:val="center" w:pos="4153"/>
        <w:tab w:val="right" w:pos="8306"/>
      </w:tabs>
      <w:snapToGrid w:val="0"/>
      <w:jc w:val="left"/>
    </w:pPr>
    <w:rPr>
      <w:sz w:val="18"/>
      <w:szCs w:val="18"/>
    </w:rPr>
  </w:style>
  <w:style w:type="paragraph" w:styleId="5">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000000"/>
      <w:sz w:val="18"/>
      <w:szCs w:val="18"/>
      <w:u w:val="none"/>
    </w:rPr>
  </w:style>
  <w:style w:type="character" w:styleId="10">
    <w:name w:val="Emphasis"/>
    <w:basedOn w:val="7"/>
    <w:qFormat/>
    <w:uiPriority w:val="0"/>
    <w:rPr>
      <w:i/>
    </w:rPr>
  </w:style>
  <w:style w:type="character" w:styleId="11">
    <w:name w:val="Hyperlink"/>
    <w:basedOn w:val="7"/>
    <w:qFormat/>
    <w:uiPriority w:val="0"/>
    <w:rPr>
      <w:color w:val="0000FF"/>
      <w:u w:val="single"/>
    </w:rPr>
  </w:style>
  <w:style w:type="character" w:customStyle="1" w:styleId="12">
    <w:name w:val="font11"/>
    <w:basedOn w:val="7"/>
    <w:uiPriority w:val="0"/>
    <w:rPr>
      <w:rFonts w:hint="eastAsia" w:ascii="宋体" w:hAnsi="宋体" w:eastAsia="宋体" w:cs="宋体"/>
      <w:color w:val="000000"/>
      <w:sz w:val="22"/>
      <w:szCs w:val="22"/>
      <w:u w:val="none"/>
    </w:rPr>
  </w:style>
  <w:style w:type="character" w:customStyle="1" w:styleId="13">
    <w:name w:val="font51"/>
    <w:basedOn w:val="7"/>
    <w:uiPriority w:val="0"/>
    <w:rPr>
      <w:rFonts w:ascii="Arial" w:hAnsi="Arial" w:cs="Arial"/>
      <w:color w:val="000000"/>
      <w:sz w:val="20"/>
      <w:szCs w:val="20"/>
      <w:u w:val="none"/>
    </w:rPr>
  </w:style>
  <w:style w:type="character" w:customStyle="1" w:styleId="14">
    <w:name w:val="font31"/>
    <w:basedOn w:val="7"/>
    <w:qFormat/>
    <w:uiPriority w:val="0"/>
    <w:rPr>
      <w:rFonts w:hint="eastAsia" w:ascii="宋体" w:hAnsi="宋体" w:eastAsia="宋体" w:cs="宋体"/>
      <w:color w:val="000000"/>
      <w:sz w:val="20"/>
      <w:szCs w:val="20"/>
      <w:u w:val="none"/>
    </w:rPr>
  </w:style>
  <w:style w:type="character" w:customStyle="1" w:styleId="15">
    <w:name w:val="font61"/>
    <w:basedOn w:val="7"/>
    <w:qFormat/>
    <w:uiPriority w:val="0"/>
    <w:rPr>
      <w:rFonts w:ascii="MS Gothic" w:hAnsi="MS Gothic" w:eastAsia="MS Gothic" w:cs="MS Gothic"/>
      <w:color w:val="000000"/>
      <w:sz w:val="20"/>
      <w:szCs w:val="20"/>
      <w:u w:val="none"/>
    </w:rPr>
  </w:style>
  <w:style w:type="character" w:customStyle="1" w:styleId="16">
    <w:name w:val="font01"/>
    <w:basedOn w:val="7"/>
    <w:uiPriority w:val="0"/>
    <w:rPr>
      <w:rFonts w:hint="eastAsia" w:ascii="方正仿宋_GBK" w:hAnsi="方正仿宋_GBK" w:eastAsia="方正仿宋_GBK" w:cs="方正仿宋_GBK"/>
      <w:color w:val="FF0000"/>
      <w:sz w:val="21"/>
      <w:szCs w:val="21"/>
      <w:u w:val="none"/>
    </w:rPr>
  </w:style>
  <w:style w:type="character" w:customStyle="1" w:styleId="17">
    <w:name w:val="font81"/>
    <w:basedOn w:val="7"/>
    <w:qFormat/>
    <w:uiPriority w:val="0"/>
    <w:rPr>
      <w:rFonts w:hint="default" w:ascii="Times New Roman" w:hAnsi="Times New Roman" w:cs="Times New Roman"/>
      <w:color w:val="FF0000"/>
      <w:sz w:val="21"/>
      <w:szCs w:val="21"/>
      <w:u w:val="none"/>
    </w:rPr>
  </w:style>
  <w:style w:type="character" w:customStyle="1" w:styleId="18">
    <w:name w:val="font91"/>
    <w:basedOn w:val="7"/>
    <w:uiPriority w:val="0"/>
    <w:rPr>
      <w:rFonts w:hint="eastAsia" w:ascii="宋体" w:hAnsi="宋体" w:eastAsia="宋体" w:cs="宋体"/>
      <w:color w:val="000000"/>
      <w:sz w:val="20"/>
      <w:szCs w:val="20"/>
      <w:u w:val="none"/>
    </w:rPr>
  </w:style>
  <w:style w:type="character" w:customStyle="1" w:styleId="19">
    <w:name w:val="font41"/>
    <w:basedOn w:val="7"/>
    <w:uiPriority w:val="0"/>
    <w:rPr>
      <w:rFonts w:hint="eastAsia" w:ascii="方正仿宋_GBK" w:hAnsi="方正仿宋_GBK" w:eastAsia="方正仿宋_GBK" w:cs="方正仿宋_GBK"/>
      <w:color w:val="000000"/>
      <w:sz w:val="21"/>
      <w:szCs w:val="21"/>
      <w:u w:val="none"/>
    </w:rPr>
  </w:style>
  <w:style w:type="character" w:customStyle="1" w:styleId="20">
    <w:name w:val="font71"/>
    <w:basedOn w:val="7"/>
    <w:uiPriority w:val="0"/>
    <w:rPr>
      <w:rFonts w:hint="default" w:ascii="方正小标宋_GBK" w:hAnsi="方正小标宋_GBK" w:eastAsia="方正小标宋_GBK" w:cs="方正小标宋_GBK"/>
      <w:color w:val="000000"/>
      <w:sz w:val="36"/>
      <w:szCs w:val="36"/>
      <w:u w:val="single"/>
    </w:rPr>
  </w:style>
  <w:style w:type="character" w:customStyle="1" w:styleId="21">
    <w:name w:val="正文文本 Char Char"/>
    <w:basedOn w:val="7"/>
    <w:link w:val="3"/>
    <w:uiPriority w:val="0"/>
    <w:rPr>
      <w:rFonts w:hint="eastAsia" w:ascii="宋体" w:hAnsi="宋体" w:eastAsia="宋体" w:cs="宋体"/>
      <w:sz w:val="32"/>
      <w:szCs w:val="32"/>
    </w:rPr>
  </w:style>
  <w:style w:type="character" w:customStyle="1" w:styleId="22">
    <w:name w:val="页眉 Char Char"/>
    <w:basedOn w:val="7"/>
    <w:link w:val="5"/>
    <w:uiPriority w:val="0"/>
    <w:rPr>
      <w:rFonts w:ascii="Calibri" w:hAnsi="Calibri" w:eastAsia="宋体" w:cs="黑体"/>
      <w:kern w:val="2"/>
      <w:sz w:val="18"/>
      <w:szCs w:val="18"/>
    </w:rPr>
  </w:style>
  <w:style w:type="character" w:customStyle="1" w:styleId="23">
    <w:name w:val="页脚 Char Char"/>
    <w:basedOn w:val="7"/>
    <w:link w:val="4"/>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150</Pages>
  <Words>14777</Words>
  <Characters>84232</Characters>
  <Lines>701</Lines>
  <Paragraphs>197</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2022-02-13T08:41:00Z</dcterms:created>
  <dc:creator>WPS_1637914120</dc:creator>
  <cp:lastModifiedBy>汪琳</cp:lastModifiedBy>
  <cp:lastPrinted>2022-05-30T07:19:00Z</cp:lastPrinted>
  <dcterms:modified xsi:type="dcterms:W3CDTF">2023-08-25T01:10:06Z</dcterms:modified>
  <dc:title>省发改委随机抽查事项清单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8BC30ACC8220456C98D3C92FAA2359E6</vt:lpwstr>
  </property>
</Properties>
</file>