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eastAsia="黑体"/>
          <w:b/>
          <w:bCs/>
          <w:sz w:val="24"/>
        </w:rPr>
      </w:pPr>
      <w:r>
        <w:rPr>
          <w:rFonts w:hint="eastAsia" w:eastAsia="黑体"/>
          <w:b/>
          <w:bCs/>
          <w:sz w:val="24"/>
        </w:rPr>
        <w:t>Q&amp;A on SDR</w:t>
      </w:r>
    </w:p>
    <w:p>
      <w:pPr>
        <w:pStyle w:val="9"/>
        <w:ind w:firstLine="475" w:firstLineChars="198"/>
        <w:rPr>
          <w:rFonts w:eastAsia="仿宋_GB2312"/>
          <w:sz w:val="24"/>
          <w:szCs w:val="24"/>
        </w:rPr>
      </w:pPr>
    </w:p>
    <w:p>
      <w:pPr>
        <w:pStyle w:val="9"/>
        <w:numPr>
          <w:ilvl w:val="0"/>
          <w:numId w:val="2"/>
        </w:numPr>
        <w:rPr>
          <w:rFonts w:eastAsia="仿宋_GB2312"/>
          <w:sz w:val="24"/>
          <w:szCs w:val="24"/>
        </w:rPr>
      </w:pPr>
      <w:r>
        <w:rPr>
          <w:rFonts w:eastAsia="仿宋_GB2312"/>
          <w:b/>
          <w:sz w:val="24"/>
          <w:szCs w:val="24"/>
        </w:rPr>
        <w:t>What is an SDR?</w:t>
      </w:r>
    </w:p>
    <w:p>
      <w:pPr>
        <w:pStyle w:val="9"/>
        <w:rPr>
          <w:rFonts w:eastAsia="仿宋_GB2312"/>
          <w:sz w:val="24"/>
          <w:szCs w:val="24"/>
        </w:rPr>
      </w:pPr>
      <w:r>
        <w:rPr>
          <w:rFonts w:eastAsia="仿宋_GB2312"/>
          <w:sz w:val="24"/>
          <w:szCs w:val="24"/>
        </w:rPr>
        <w:t xml:space="preserve">SDR stands for </w:t>
      </w:r>
      <w:r>
        <w:rPr>
          <w:rFonts w:hint="eastAsia" w:eastAsia="仿宋_GB2312"/>
          <w:sz w:val="24"/>
          <w:szCs w:val="24"/>
        </w:rPr>
        <w:t xml:space="preserve">the </w:t>
      </w:r>
      <w:r>
        <w:rPr>
          <w:rFonts w:eastAsia="仿宋_GB2312"/>
          <w:sz w:val="24"/>
          <w:szCs w:val="24"/>
        </w:rPr>
        <w:t xml:space="preserve">Special Drawing Right, and is a claim on freely usable currencies. It is an international reserve asset created by the International Monetary Fund </w:t>
      </w:r>
      <w:r>
        <w:rPr>
          <w:rFonts w:hint="eastAsia" w:eastAsia="仿宋_GB2312"/>
          <w:sz w:val="24"/>
          <w:szCs w:val="24"/>
        </w:rPr>
        <w:t xml:space="preserve">(IMF) </w:t>
      </w:r>
      <w:r>
        <w:rPr>
          <w:rFonts w:eastAsia="仿宋_GB2312"/>
          <w:sz w:val="24"/>
          <w:szCs w:val="24"/>
        </w:rPr>
        <w:t xml:space="preserve">in 1969 to supplement other reserve assets of member countries. SDR also serves as a unit of account by the IMF and some other international institutions. </w:t>
      </w:r>
    </w:p>
    <w:p>
      <w:pPr>
        <w:pStyle w:val="9"/>
        <w:rPr>
          <w:rFonts w:eastAsia="仿宋_GB2312"/>
          <w:sz w:val="24"/>
          <w:szCs w:val="24"/>
        </w:rPr>
      </w:pPr>
    </w:p>
    <w:p>
      <w:pPr>
        <w:pStyle w:val="2"/>
        <w:numPr>
          <w:ilvl w:val="0"/>
          <w:numId w:val="0"/>
        </w:numPr>
        <w:spacing w:after="0" w:line="240" w:lineRule="auto"/>
        <w:jc w:val="both"/>
      </w:pPr>
      <w:r>
        <w:rPr>
          <w:rFonts w:eastAsia="仿宋_GB2312"/>
        </w:rPr>
        <w:t>When created, value of one SDR was pegged to that of one U.S. dollar. After collapse of the Bretton Woods system, a currency basket replaced the peg. Before the 2015 review, the SDR currency basket comprised of the U.S. dollar, euro, Japanese yen</w:t>
      </w:r>
      <w:r>
        <w:rPr>
          <w:rFonts w:hint="eastAsia" w:eastAsia="仿宋_GB2312"/>
        </w:rPr>
        <w:t xml:space="preserve">, </w:t>
      </w:r>
      <w:r>
        <w:rPr>
          <w:rFonts w:eastAsia="仿宋_GB2312"/>
        </w:rPr>
        <w:t>and pound sterling. B</w:t>
      </w:r>
      <w:r>
        <w:rPr>
          <w:rFonts w:hint="eastAsia" w:eastAsia="仿宋_GB2312"/>
        </w:rPr>
        <w:t>ased on the exchange rate on November 30, 2015, 1 SDR equals</w:t>
      </w:r>
      <w:r>
        <w:rPr>
          <w:rFonts w:hint="eastAsia" w:eastAsia="仿宋_GB2312"/>
          <w:lang w:val="en-US" w:eastAsia="zh-CN"/>
        </w:rPr>
        <w:t xml:space="preserve"> </w:t>
      </w:r>
      <w:bookmarkStart w:id="0" w:name="_GoBack"/>
      <w:bookmarkEnd w:id="0"/>
      <w:r>
        <w:rPr>
          <w:rFonts w:hint="eastAsia" w:eastAsia="仿宋_GB2312"/>
        </w:rPr>
        <w:t>1.37217 U.S. dollars. On November 30, the Executive Board of the IMF decided that the RMB is a freely usable currency and to include the RMB into the SDR currency basket</w:t>
      </w:r>
      <w:r>
        <w:t xml:space="preserve"> effect</w:t>
      </w:r>
      <w:r>
        <w:rPr>
          <w:rFonts w:hint="eastAsia"/>
        </w:rPr>
        <w:t>ive</w:t>
      </w:r>
      <w:r>
        <w:t xml:space="preserve"> on October 1, 2016. </w:t>
      </w:r>
      <w:r>
        <w:rPr>
          <w:rFonts w:hint="eastAsia"/>
        </w:rPr>
        <w:t xml:space="preserve">This decision is made mainly </w:t>
      </w:r>
      <w:r>
        <w:t xml:space="preserve">to allow sufficient time </w:t>
      </w:r>
      <w:r>
        <w:rPr>
          <w:rFonts w:hint="eastAsia"/>
        </w:rPr>
        <w:t xml:space="preserve">for SDR users </w:t>
      </w:r>
      <w:r>
        <w:t xml:space="preserve">to </w:t>
      </w:r>
      <w:r>
        <w:rPr>
          <w:rFonts w:hint="eastAsia"/>
        </w:rPr>
        <w:t>make accounting and trading adjustments</w:t>
      </w:r>
      <w:r>
        <w:t xml:space="preserve"> in the event that a new currency is added to the SDR basket</w:t>
      </w:r>
      <w:r>
        <w:rPr>
          <w:rFonts w:hint="eastAsia"/>
        </w:rPr>
        <w:t xml:space="preserve"> for the first time in the past decades.</w:t>
      </w:r>
      <w:r>
        <w:t xml:space="preserve"> T</w:t>
      </w:r>
      <w:r>
        <w:rPr>
          <w:rFonts w:hint="eastAsia"/>
        </w:rPr>
        <w:t xml:space="preserve">he new way of determining SDR exchange rate became effective on September 30, 2016. According to the exchange rates on September 30, 2016, 1 SDR equals </w:t>
      </w:r>
      <w:r>
        <w:t>1.395810</w:t>
      </w:r>
      <w:r>
        <w:rPr>
          <w:rFonts w:hint="eastAsia"/>
        </w:rPr>
        <w:t xml:space="preserve"> U.S. dollars. </w:t>
      </w:r>
    </w:p>
    <w:p>
      <w:pPr>
        <w:pStyle w:val="9"/>
        <w:rPr>
          <w:rFonts w:eastAsia="仿宋_GB2312"/>
          <w:sz w:val="24"/>
          <w:szCs w:val="24"/>
        </w:rPr>
      </w:pPr>
    </w:p>
    <w:p>
      <w:pPr>
        <w:pStyle w:val="9"/>
        <w:rPr>
          <w:rFonts w:eastAsia="仿宋_GB2312"/>
          <w:sz w:val="24"/>
          <w:szCs w:val="24"/>
        </w:rPr>
      </w:pPr>
    </w:p>
    <w:p>
      <w:pPr>
        <w:pStyle w:val="9"/>
        <w:numPr>
          <w:ilvl w:val="0"/>
          <w:numId w:val="2"/>
        </w:numPr>
        <w:rPr>
          <w:rFonts w:eastAsia="仿宋_GB2312"/>
          <w:b/>
          <w:sz w:val="24"/>
          <w:szCs w:val="24"/>
        </w:rPr>
      </w:pPr>
      <w:r>
        <w:rPr>
          <w:rFonts w:hint="eastAsia" w:eastAsia="仿宋_GB2312"/>
          <w:b/>
          <w:sz w:val="24"/>
          <w:szCs w:val="24"/>
        </w:rPr>
        <w:t>How</w:t>
      </w:r>
      <w:r>
        <w:rPr>
          <w:rFonts w:eastAsia="仿宋_GB2312"/>
          <w:b/>
          <w:sz w:val="24"/>
          <w:szCs w:val="24"/>
        </w:rPr>
        <w:t xml:space="preserve"> many SDRs have been allocated and how are they used?</w:t>
      </w:r>
    </w:p>
    <w:p>
      <w:pPr>
        <w:pStyle w:val="9"/>
        <w:rPr>
          <w:rFonts w:eastAsia="仿宋_GB2312"/>
          <w:sz w:val="24"/>
          <w:szCs w:val="24"/>
        </w:rPr>
      </w:pPr>
      <w:r>
        <w:rPr>
          <w:rFonts w:eastAsia="仿宋_GB2312"/>
          <w:sz w:val="24"/>
          <w:szCs w:val="24"/>
        </w:rPr>
        <w:t xml:space="preserve">SDRs are allocated to IMF members from time to time to supplement their reserve assets. </w:t>
      </w:r>
    </w:p>
    <w:p>
      <w:pPr>
        <w:pStyle w:val="9"/>
        <w:rPr>
          <w:rFonts w:eastAsia="仿宋_GB2312"/>
          <w:sz w:val="24"/>
          <w:szCs w:val="24"/>
        </w:rPr>
      </w:pPr>
    </w:p>
    <w:p>
      <w:pPr>
        <w:pStyle w:val="9"/>
        <w:rPr>
          <w:rFonts w:eastAsia="仿宋_GB2312"/>
          <w:sz w:val="24"/>
          <w:szCs w:val="24"/>
        </w:rPr>
      </w:pPr>
      <w:r>
        <w:rPr>
          <w:rFonts w:eastAsia="仿宋_GB2312"/>
          <w:sz w:val="24"/>
          <w:szCs w:val="24"/>
        </w:rPr>
        <w:t xml:space="preserve">The IMF made two SDR general allocations in the periods of 1970-1972 and 1978-1981. After the outbreak of the global financial crisis, in order to better </w:t>
      </w:r>
      <w:r>
        <w:rPr>
          <w:rFonts w:hint="eastAsia" w:eastAsia="仿宋_GB2312"/>
          <w:sz w:val="24"/>
          <w:szCs w:val="24"/>
        </w:rPr>
        <w:t xml:space="preserve">deal with </w:t>
      </w:r>
      <w:r>
        <w:rPr>
          <w:rFonts w:eastAsia="仿宋_GB2312"/>
          <w:sz w:val="24"/>
          <w:szCs w:val="24"/>
        </w:rPr>
        <w:t xml:space="preserve">the crisis, SDR 182.6 billion was allocated in 2009. A total of 204.1 billion SDRs (equivalent </w:t>
      </w:r>
      <w:r>
        <w:rPr>
          <w:rFonts w:hint="eastAsia" w:eastAsia="仿宋_GB2312"/>
          <w:sz w:val="24"/>
          <w:szCs w:val="24"/>
        </w:rPr>
        <w:t xml:space="preserve">to </w:t>
      </w:r>
      <w:r>
        <w:rPr>
          <w:rFonts w:eastAsia="仿宋_GB2312"/>
          <w:sz w:val="24"/>
          <w:szCs w:val="24"/>
        </w:rPr>
        <w:t>28</w:t>
      </w:r>
      <w:r>
        <w:rPr>
          <w:rFonts w:hint="eastAsia" w:eastAsia="仿宋_GB2312"/>
          <w:sz w:val="24"/>
          <w:szCs w:val="24"/>
        </w:rPr>
        <w:t>0.1</w:t>
      </w:r>
      <w:r>
        <w:rPr>
          <w:rFonts w:eastAsia="仿宋_GB2312"/>
          <w:sz w:val="24"/>
          <w:szCs w:val="24"/>
        </w:rPr>
        <w:t xml:space="preserve"> billion U.S. dollars) have been allocated to date. The allocation for China is SDR 6.9897 billion.</w:t>
      </w:r>
    </w:p>
    <w:p>
      <w:pPr>
        <w:pStyle w:val="9"/>
        <w:rPr>
          <w:rFonts w:eastAsia="仿宋_GB2312"/>
          <w:sz w:val="24"/>
          <w:szCs w:val="24"/>
        </w:rPr>
      </w:pPr>
    </w:p>
    <w:p>
      <w:pPr>
        <w:pStyle w:val="9"/>
        <w:rPr>
          <w:rFonts w:eastAsia="仿宋_GB2312"/>
          <w:sz w:val="24"/>
          <w:szCs w:val="24"/>
        </w:rPr>
      </w:pPr>
      <w:r>
        <w:rPr>
          <w:rFonts w:eastAsia="仿宋_GB2312"/>
          <w:sz w:val="24"/>
          <w:szCs w:val="24"/>
        </w:rPr>
        <w:t xml:space="preserve">At present, SDR is mainly used in the IMF’s financing </w:t>
      </w:r>
      <w:r>
        <w:rPr>
          <w:rFonts w:hint="eastAsia" w:eastAsia="仿宋_GB2312"/>
          <w:sz w:val="24"/>
          <w:szCs w:val="24"/>
        </w:rPr>
        <w:t>transactions</w:t>
      </w:r>
      <w:r>
        <w:rPr>
          <w:rFonts w:eastAsia="仿宋_GB2312"/>
          <w:sz w:val="24"/>
          <w:szCs w:val="24"/>
        </w:rPr>
        <w:t xml:space="preserve"> with its member countries and other official sector transactions, including using SDRs in exchange for freely usable currencies, and payment of interest on and repayment of loans, or payment for quota increases to the IMF. </w:t>
      </w:r>
    </w:p>
    <w:p>
      <w:pPr>
        <w:pStyle w:val="9"/>
        <w:rPr>
          <w:rFonts w:eastAsia="仿宋_GB2312"/>
          <w:b/>
          <w:sz w:val="24"/>
          <w:szCs w:val="24"/>
        </w:rPr>
      </w:pPr>
    </w:p>
    <w:p>
      <w:pPr>
        <w:pStyle w:val="9"/>
        <w:numPr>
          <w:ilvl w:val="0"/>
          <w:numId w:val="2"/>
        </w:numPr>
        <w:rPr>
          <w:rFonts w:eastAsia="仿宋_GB2312"/>
          <w:b/>
          <w:sz w:val="24"/>
          <w:szCs w:val="24"/>
        </w:rPr>
      </w:pPr>
      <w:r>
        <w:rPr>
          <w:rFonts w:eastAsia="仿宋_GB2312"/>
          <w:b/>
          <w:sz w:val="24"/>
          <w:szCs w:val="24"/>
        </w:rPr>
        <w:t xml:space="preserve">What </w:t>
      </w:r>
      <w:r>
        <w:rPr>
          <w:rFonts w:hint="eastAsia" w:eastAsia="仿宋_GB2312"/>
          <w:b/>
          <w:sz w:val="24"/>
          <w:szCs w:val="24"/>
        </w:rPr>
        <w:t>does an</w:t>
      </w:r>
      <w:r>
        <w:rPr>
          <w:rFonts w:eastAsia="仿宋_GB2312"/>
          <w:b/>
          <w:sz w:val="24"/>
          <w:szCs w:val="24"/>
        </w:rPr>
        <w:t xml:space="preserve"> SDR review</w:t>
      </w:r>
      <w:r>
        <w:rPr>
          <w:rFonts w:hint="eastAsia" w:eastAsia="仿宋_GB2312"/>
          <w:b/>
          <w:sz w:val="24"/>
          <w:szCs w:val="24"/>
        </w:rPr>
        <w:t xml:space="preserve"> typically cover</w:t>
      </w:r>
      <w:r>
        <w:rPr>
          <w:rFonts w:eastAsia="仿宋_GB2312"/>
          <w:b/>
          <w:sz w:val="24"/>
          <w:szCs w:val="24"/>
        </w:rPr>
        <w:t>?</w:t>
      </w:r>
    </w:p>
    <w:p>
      <w:pPr>
        <w:pStyle w:val="9"/>
        <w:rPr>
          <w:rFonts w:eastAsia="仿宋_GB2312"/>
          <w:sz w:val="24"/>
          <w:szCs w:val="24"/>
        </w:rPr>
      </w:pPr>
      <w:r>
        <w:rPr>
          <w:rFonts w:eastAsia="仿宋_GB2312"/>
          <w:sz w:val="24"/>
          <w:szCs w:val="24"/>
        </w:rPr>
        <w:t xml:space="preserve">SDR review is often conducted every five years, </w:t>
      </w:r>
      <w:r>
        <w:rPr>
          <w:rFonts w:hint="eastAsia" w:eastAsia="仿宋_GB2312"/>
          <w:sz w:val="24"/>
          <w:szCs w:val="24"/>
        </w:rPr>
        <w:t xml:space="preserve">typically </w:t>
      </w:r>
      <w:r>
        <w:rPr>
          <w:rFonts w:eastAsia="仿宋_GB2312"/>
          <w:sz w:val="24"/>
          <w:szCs w:val="24"/>
        </w:rPr>
        <w:t>covering the</w:t>
      </w:r>
      <w:r>
        <w:rPr>
          <w:rFonts w:hint="eastAsia" w:eastAsia="仿宋_GB2312"/>
          <w:sz w:val="24"/>
          <w:szCs w:val="24"/>
        </w:rPr>
        <w:t xml:space="preserve"> currency amounts of SDR basket currencies, the composition of the SDR basket currencies, their weights and the financial instruments used to determine SDR interest rate as well as market exchange rates used to determine SDR exchange rate. </w:t>
      </w:r>
    </w:p>
    <w:p>
      <w:pPr>
        <w:autoSpaceDE w:val="0"/>
        <w:autoSpaceDN w:val="0"/>
        <w:adjustRightInd w:val="0"/>
        <w:rPr>
          <w:rFonts w:eastAsia="仿宋_GB2312"/>
          <w:kern w:val="0"/>
          <w:sz w:val="24"/>
        </w:rPr>
      </w:pPr>
    </w:p>
    <w:p>
      <w:pPr>
        <w:autoSpaceDE w:val="0"/>
        <w:autoSpaceDN w:val="0"/>
        <w:adjustRightInd w:val="0"/>
        <w:rPr>
          <w:rFonts w:eastAsia="仿宋_GB2312"/>
          <w:kern w:val="0"/>
          <w:sz w:val="24"/>
        </w:rPr>
      </w:pPr>
      <w:r>
        <w:rPr>
          <w:rFonts w:eastAsia="仿宋_GB2312"/>
          <w:kern w:val="0"/>
          <w:sz w:val="24"/>
        </w:rPr>
        <w:t>SDR review is guided by the following principles. (1) The SDR’s value should be stable in terms of the major currencies; (2) the currencies included in the basket should be representative of those used in international transactions; (3) The relative weights of currencies included in the basket should reflect their relative importance in the world’s trading and financial system; (4) the composition of the SDR currency basket should be stable and change only as a result of significant developments from one review to the next; (5) there should be continuity in the method of SDR valuation such that revisions in the method of valuation occur only as a result of major changes in the roles of currencies in the world economy.</w:t>
      </w:r>
    </w:p>
    <w:p>
      <w:pPr>
        <w:autoSpaceDE w:val="0"/>
        <w:autoSpaceDN w:val="0"/>
        <w:adjustRightInd w:val="0"/>
        <w:rPr>
          <w:rFonts w:eastAsia="仿宋_GB2312"/>
          <w:kern w:val="0"/>
          <w:sz w:val="24"/>
        </w:rPr>
      </w:pPr>
    </w:p>
    <w:p>
      <w:pPr>
        <w:pStyle w:val="9"/>
        <w:numPr>
          <w:ilvl w:val="0"/>
          <w:numId w:val="2"/>
        </w:numPr>
        <w:rPr>
          <w:rFonts w:eastAsia="仿宋_GB2312"/>
          <w:b/>
          <w:sz w:val="24"/>
          <w:szCs w:val="24"/>
        </w:rPr>
      </w:pPr>
      <w:r>
        <w:rPr>
          <w:rFonts w:eastAsia="仿宋_GB2312"/>
          <w:b/>
          <w:sz w:val="24"/>
          <w:szCs w:val="24"/>
        </w:rPr>
        <w:t>What are the criteria for SDR basket inclusion and wh</w:t>
      </w:r>
      <w:r>
        <w:rPr>
          <w:rFonts w:hint="eastAsia" w:eastAsia="仿宋_GB2312"/>
          <w:b/>
          <w:sz w:val="24"/>
          <w:szCs w:val="24"/>
        </w:rPr>
        <w:t>at</w:t>
      </w:r>
      <w:r>
        <w:rPr>
          <w:rFonts w:eastAsia="仿宋_GB2312"/>
          <w:b/>
          <w:sz w:val="24"/>
          <w:szCs w:val="24"/>
        </w:rPr>
        <w:t xml:space="preserve"> is the assessment of the RMB against the criteria?</w:t>
      </w:r>
    </w:p>
    <w:p>
      <w:pPr>
        <w:pStyle w:val="9"/>
        <w:rPr>
          <w:rFonts w:eastAsia="仿宋_GB2312"/>
          <w:sz w:val="24"/>
          <w:szCs w:val="24"/>
        </w:rPr>
      </w:pPr>
      <w:r>
        <w:rPr>
          <w:rFonts w:eastAsia="仿宋_GB2312"/>
          <w:sz w:val="24"/>
          <w:szCs w:val="24"/>
        </w:rPr>
        <w:t>The current criteria for inclusion establish that the SDR basket comprises the currencies that are issued by members or monetary unions whose exports had the largest value over a five-year period, and have been determined by the IMF to be "freely usable". A “freely usable” currency is defined in the IMF’s Articles of Agreement to mean a currency that the IMF determines (i) is, in fact, widely used to make payments for international transactions, and (ii) is widely traded in the principal exchange markets. Several indicators are used as important factors in the free usability assessment: the shares of currencies in reserve holdings, the currency denomination of international debt securities, international banking liabilities</w:t>
      </w:r>
      <w:r>
        <w:rPr>
          <w:rFonts w:hint="eastAsia" w:eastAsia="仿宋_GB2312"/>
          <w:sz w:val="24"/>
          <w:szCs w:val="24"/>
        </w:rPr>
        <w:t xml:space="preserve">, </w:t>
      </w:r>
      <w:r>
        <w:rPr>
          <w:rFonts w:eastAsia="仿宋_GB2312"/>
          <w:sz w:val="24"/>
          <w:szCs w:val="24"/>
        </w:rPr>
        <w:t xml:space="preserve">cross-border payments, trade finance, and the volume (turnover) of transaction in foreign exchange markets. </w:t>
      </w:r>
    </w:p>
    <w:p>
      <w:pPr>
        <w:pStyle w:val="9"/>
        <w:rPr>
          <w:rFonts w:eastAsia="仿宋_GB2312"/>
          <w:sz w:val="24"/>
          <w:szCs w:val="24"/>
        </w:rPr>
      </w:pPr>
    </w:p>
    <w:p>
      <w:pPr>
        <w:pStyle w:val="9"/>
        <w:rPr>
          <w:rFonts w:eastAsia="仿宋_GB2312"/>
          <w:sz w:val="24"/>
          <w:szCs w:val="24"/>
        </w:rPr>
      </w:pPr>
      <w:r>
        <w:rPr>
          <w:rFonts w:eastAsia="仿宋_GB2312"/>
          <w:sz w:val="24"/>
          <w:szCs w:val="24"/>
        </w:rPr>
        <w:t>T</w:t>
      </w:r>
      <w:r>
        <w:rPr>
          <w:rFonts w:hint="eastAsia" w:eastAsia="仿宋_GB2312"/>
          <w:sz w:val="24"/>
          <w:szCs w:val="24"/>
        </w:rPr>
        <w:t>he RMB</w:t>
      </w:r>
      <w:r>
        <w:rPr>
          <w:rFonts w:eastAsia="仿宋_GB2312"/>
          <w:sz w:val="24"/>
          <w:szCs w:val="24"/>
        </w:rPr>
        <w:t xml:space="preserve"> met the export criterion during the 2010 SDR review. In the past five years, the RMB became more freely usable in the context of rapid internationalization of the currency. Based on the indicators used for assessing “freely usable”, the IMF Executive Board believed there is sufficient basis to determine the RMB as a freely usable currency, and decided to include the RMB in the SDR currency basket. </w:t>
      </w:r>
    </w:p>
    <w:p>
      <w:pPr>
        <w:pStyle w:val="9"/>
        <w:rPr>
          <w:rFonts w:eastAsia="仿宋_GB2312"/>
          <w:b/>
          <w:sz w:val="24"/>
          <w:szCs w:val="24"/>
        </w:rPr>
      </w:pPr>
    </w:p>
    <w:p>
      <w:pPr>
        <w:pStyle w:val="9"/>
        <w:numPr>
          <w:ilvl w:val="0"/>
          <w:numId w:val="2"/>
        </w:numPr>
        <w:rPr>
          <w:rFonts w:eastAsia="仿宋_GB2312"/>
          <w:b/>
          <w:sz w:val="24"/>
          <w:szCs w:val="24"/>
        </w:rPr>
      </w:pPr>
      <w:r>
        <w:rPr>
          <w:rFonts w:eastAsia="仿宋_GB2312"/>
          <w:b/>
          <w:sz w:val="24"/>
          <w:szCs w:val="24"/>
        </w:rPr>
        <w:t xml:space="preserve">What is </w:t>
      </w:r>
      <w:r>
        <w:rPr>
          <w:rFonts w:hint="eastAsia" w:eastAsia="仿宋_GB2312"/>
          <w:b/>
          <w:sz w:val="24"/>
          <w:szCs w:val="24"/>
        </w:rPr>
        <w:t>a</w:t>
      </w:r>
      <w:r>
        <w:rPr>
          <w:rFonts w:eastAsia="仿宋_GB2312"/>
          <w:b/>
          <w:sz w:val="24"/>
          <w:szCs w:val="24"/>
        </w:rPr>
        <w:t xml:space="preserve"> freely usable</w:t>
      </w:r>
      <w:r>
        <w:rPr>
          <w:rFonts w:hint="eastAsia" w:eastAsia="仿宋_GB2312"/>
          <w:b/>
          <w:sz w:val="24"/>
          <w:szCs w:val="24"/>
        </w:rPr>
        <w:t xml:space="preserve"> currency</w:t>
      </w:r>
      <w:r>
        <w:rPr>
          <w:rFonts w:eastAsia="仿宋_GB2312"/>
          <w:b/>
          <w:sz w:val="24"/>
          <w:szCs w:val="24"/>
        </w:rPr>
        <w:t>?</w:t>
      </w:r>
    </w:p>
    <w:p>
      <w:pPr>
        <w:pStyle w:val="9"/>
        <w:rPr>
          <w:rFonts w:eastAsia="仿宋_GB2312"/>
          <w:sz w:val="24"/>
          <w:szCs w:val="24"/>
        </w:rPr>
      </w:pPr>
      <w:r>
        <w:rPr>
          <w:rFonts w:eastAsia="仿宋_GB2312"/>
          <w:sz w:val="24"/>
          <w:szCs w:val="24"/>
        </w:rPr>
        <w:t>A “freely usable” currency is defined in the IMF’s Articles of Agreement to mean a currency that the IMF determines (i) is, in fact, widely used to make payments for international transactions, and (ii) is widely traded in the principal exchange markets. Several indicators are used as important factors in the free usability assessment: the shares of currencies in reserve holdings, the currency denomination of international debt securities, international banking liabilities</w:t>
      </w:r>
      <w:r>
        <w:rPr>
          <w:rFonts w:hint="eastAsia" w:eastAsia="仿宋_GB2312"/>
          <w:sz w:val="24"/>
          <w:szCs w:val="24"/>
        </w:rPr>
        <w:t xml:space="preserve">, </w:t>
      </w:r>
      <w:r>
        <w:rPr>
          <w:rFonts w:eastAsia="仿宋_GB2312"/>
          <w:sz w:val="24"/>
          <w:szCs w:val="24"/>
        </w:rPr>
        <w:t>cross-border payments, trade finance, and the volume (turnover) of transaction in foreign exchange markets.</w:t>
      </w:r>
    </w:p>
    <w:p>
      <w:pPr>
        <w:autoSpaceDE w:val="0"/>
        <w:autoSpaceDN w:val="0"/>
        <w:adjustRightInd w:val="0"/>
        <w:rPr>
          <w:rFonts w:eastAsia="仿宋_GB2312"/>
          <w:sz w:val="24"/>
        </w:rPr>
      </w:pPr>
    </w:p>
    <w:p>
      <w:pPr>
        <w:pStyle w:val="9"/>
        <w:numPr>
          <w:ilvl w:val="0"/>
          <w:numId w:val="2"/>
        </w:numPr>
        <w:rPr>
          <w:rFonts w:eastAsia="仿宋_GB2312"/>
          <w:sz w:val="24"/>
          <w:szCs w:val="24"/>
        </w:rPr>
      </w:pPr>
      <w:r>
        <w:rPr>
          <w:rFonts w:eastAsia="仿宋_GB2312"/>
          <w:b/>
          <w:sz w:val="24"/>
          <w:szCs w:val="24"/>
        </w:rPr>
        <w:t xml:space="preserve">What are the weights of each currency in the SDR basket? </w:t>
      </w:r>
    </w:p>
    <w:p>
      <w:pPr>
        <w:pStyle w:val="10"/>
        <w:widowControl/>
        <w:ind w:firstLine="0" w:firstLineChars="0"/>
        <w:contextualSpacing/>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The weighing formula is made up of trade and financial indicators in order to reflect the relative importance of a currency in the global trade and financial systems. Under the new formula, the respective weights of the SDR currencies are: 41.73% for the U.S. dollar; 30.93% for euro; 10.92% for the RMB; 8.33% for the Japanese yen; and 8.09% for the pound sterling. </w:t>
      </w:r>
    </w:p>
    <w:p>
      <w:pPr>
        <w:widowControl/>
        <w:rPr>
          <w:rFonts w:eastAsia="仿宋_GB2312"/>
          <w:sz w:val="24"/>
        </w:rPr>
      </w:pPr>
    </w:p>
    <w:p>
      <w:pPr>
        <w:widowControl/>
        <w:numPr>
          <w:ilvl w:val="0"/>
          <w:numId w:val="2"/>
        </w:numPr>
        <w:rPr>
          <w:rFonts w:eastAsia="仿宋_GB2312"/>
          <w:sz w:val="24"/>
        </w:rPr>
      </w:pPr>
      <w:r>
        <w:rPr>
          <w:rFonts w:eastAsia="仿宋_GB2312"/>
          <w:b/>
          <w:sz w:val="24"/>
        </w:rPr>
        <w:t>What are the currency amounts of the new SDR basket?</w:t>
      </w:r>
    </w:p>
    <w:p>
      <w:pPr>
        <w:widowControl/>
        <w:rPr>
          <w:rFonts w:eastAsia="仿宋_GB2312"/>
          <w:sz w:val="24"/>
        </w:rPr>
      </w:pPr>
      <w:r>
        <w:rPr>
          <w:rFonts w:hint="eastAsia" w:eastAsia="仿宋_GB2312"/>
          <w:sz w:val="24"/>
        </w:rPr>
        <w:t xml:space="preserve">The IMF determines the currency amounts of each SDR basket currency based on their weights in the basket. </w:t>
      </w:r>
      <w:r>
        <w:rPr>
          <w:rFonts w:eastAsia="仿宋_GB2312"/>
          <w:sz w:val="24"/>
        </w:rPr>
        <w:t>T</w:t>
      </w:r>
      <w:r>
        <w:rPr>
          <w:rFonts w:hint="eastAsia" w:eastAsia="仿宋_GB2312"/>
          <w:sz w:val="24"/>
        </w:rPr>
        <w:t xml:space="preserve">he currency amounts serve as a basis for determining daily SDR exchange rate. </w:t>
      </w:r>
      <w:r>
        <w:rPr>
          <w:rFonts w:eastAsia="仿宋_GB2312"/>
          <w:sz w:val="24"/>
        </w:rPr>
        <w:t>I</w:t>
      </w:r>
      <w:r>
        <w:rPr>
          <w:rFonts w:hint="eastAsia" w:eastAsia="仿宋_GB2312"/>
          <w:sz w:val="24"/>
        </w:rPr>
        <w:t xml:space="preserve">n the old SDR basket, 1 SDR includes 0.66 U.S. dollar, 0.423 Euro, 12.1 Japanese yen and 0.111 Pound sterling. IMF announced, on September 30, 2016, the currency amounts of the new SDR basket. </w:t>
      </w:r>
      <w:r>
        <w:rPr>
          <w:rFonts w:eastAsia="仿宋_GB2312"/>
          <w:sz w:val="24"/>
        </w:rPr>
        <w:t>I</w:t>
      </w:r>
      <w:r>
        <w:rPr>
          <w:rFonts w:hint="eastAsia" w:eastAsia="仿宋_GB2312"/>
          <w:sz w:val="24"/>
        </w:rPr>
        <w:t>n the new basket, 1 SDR includes 1.0174 Chinese yuan, 0.58252 U.S. dollar, 0.38671 Euro, 11.900 Japanese yen and 0.085946 Pound sterling.</w:t>
      </w:r>
    </w:p>
    <w:p>
      <w:pPr>
        <w:widowControl/>
        <w:rPr>
          <w:rFonts w:eastAsia="仿宋_GB2312"/>
          <w:sz w:val="24"/>
        </w:rPr>
      </w:pPr>
    </w:p>
    <w:p>
      <w:pPr>
        <w:widowControl/>
        <w:numPr>
          <w:ilvl w:val="0"/>
          <w:numId w:val="2"/>
        </w:numPr>
        <w:rPr>
          <w:rFonts w:eastAsia="仿宋_GB2312"/>
          <w:sz w:val="24"/>
        </w:rPr>
      </w:pPr>
      <w:r>
        <w:rPr>
          <w:rFonts w:hint="eastAsia" w:eastAsia="仿宋_GB2312"/>
          <w:b/>
          <w:sz w:val="24"/>
        </w:rPr>
        <w:t>How is the SDR exchange rate determined?</w:t>
      </w:r>
    </w:p>
    <w:p>
      <w:pPr>
        <w:widowControl/>
        <w:rPr>
          <w:rFonts w:eastAsia="仿宋_GB2312"/>
          <w:sz w:val="24"/>
        </w:rPr>
      </w:pPr>
      <w:r>
        <w:rPr>
          <w:rFonts w:eastAsia="仿宋_GB2312"/>
          <w:sz w:val="24"/>
        </w:rPr>
        <w:t>T</w:t>
      </w:r>
      <w:r>
        <w:rPr>
          <w:rFonts w:hint="eastAsia" w:eastAsia="仿宋_GB2312"/>
          <w:sz w:val="24"/>
        </w:rPr>
        <w:t>he value of SDR is usually expressed in terms of the U.S. dollars, which is determined on a daily basis and posted on the IMF</w:t>
      </w:r>
      <w:r>
        <w:rPr>
          <w:rFonts w:eastAsia="仿宋_GB2312"/>
          <w:sz w:val="24"/>
        </w:rPr>
        <w:t>’</w:t>
      </w:r>
      <w:r>
        <w:rPr>
          <w:rFonts w:hint="eastAsia" w:eastAsia="仿宋_GB2312"/>
          <w:sz w:val="24"/>
        </w:rPr>
        <w:t xml:space="preserve">s website. </w:t>
      </w:r>
      <w:r>
        <w:rPr>
          <w:rFonts w:eastAsia="仿宋_GB2312"/>
          <w:sz w:val="24"/>
        </w:rPr>
        <w:t>T</w:t>
      </w:r>
      <w:r>
        <w:rPr>
          <w:rFonts w:hint="eastAsia" w:eastAsia="仿宋_GB2312"/>
          <w:sz w:val="24"/>
        </w:rPr>
        <w:t>he SDR exchange rate against the U.S. dollar is calculated on the basis of summing the values of each currency</w:t>
      </w:r>
      <w:r>
        <w:rPr>
          <w:rFonts w:eastAsia="仿宋_GB2312"/>
          <w:sz w:val="24"/>
        </w:rPr>
        <w:t>’</w:t>
      </w:r>
      <w:r>
        <w:rPr>
          <w:rFonts w:hint="eastAsia" w:eastAsia="仿宋_GB2312"/>
          <w:sz w:val="24"/>
        </w:rPr>
        <w:t xml:space="preserve">s market exchange rate against the U.S. dollar at noon in the London market multiplied by its currency amount. </w:t>
      </w:r>
      <w:r>
        <w:rPr>
          <w:rFonts w:eastAsia="仿宋_GB2312"/>
          <w:sz w:val="24"/>
        </w:rPr>
        <w:t>T</w:t>
      </w:r>
      <w:r>
        <w:rPr>
          <w:rFonts w:hint="eastAsia" w:eastAsia="仿宋_GB2312"/>
          <w:sz w:val="24"/>
        </w:rPr>
        <w:t xml:space="preserve">he exchange rates of SDR against other currencies are determined by the SDR exchange rate against the U.S. dollar and the representative exchange rates of other currencies against the U.S dollar. </w:t>
      </w:r>
      <w:r>
        <w:rPr>
          <w:rFonts w:eastAsia="仿宋_GB2312"/>
          <w:sz w:val="24"/>
        </w:rPr>
        <w:t>T</w:t>
      </w:r>
      <w:r>
        <w:rPr>
          <w:rFonts w:hint="eastAsia" w:eastAsia="仿宋_GB2312"/>
          <w:sz w:val="24"/>
        </w:rPr>
        <w:t>he representative exchange rate of the Chinese yuan is the RMB exchange rate against the U.S dollar posted at 16:00 pm by the China Foreign Exchange Center (CFETS).</w:t>
      </w:r>
    </w:p>
    <w:p>
      <w:pPr>
        <w:widowControl/>
        <w:rPr>
          <w:rFonts w:eastAsia="仿宋_GB2312"/>
          <w:sz w:val="24"/>
        </w:rPr>
      </w:pPr>
    </w:p>
    <w:p>
      <w:pPr>
        <w:widowControl/>
        <w:numPr>
          <w:ilvl w:val="0"/>
          <w:numId w:val="2"/>
        </w:numPr>
        <w:rPr>
          <w:rFonts w:eastAsia="仿宋_GB2312"/>
          <w:b/>
          <w:kern w:val="0"/>
          <w:sz w:val="24"/>
        </w:rPr>
      </w:pPr>
      <w:r>
        <w:rPr>
          <w:rFonts w:hint="eastAsia" w:eastAsia="仿宋_GB2312"/>
          <w:b/>
          <w:kern w:val="0"/>
          <w:sz w:val="24"/>
        </w:rPr>
        <w:t>How is the SDR interest rate determined?</w:t>
      </w:r>
    </w:p>
    <w:p>
      <w:pPr>
        <w:adjustRightInd w:val="0"/>
        <w:rPr>
          <w:rFonts w:eastAsia="仿宋_GB2312"/>
          <w:kern w:val="0"/>
          <w:sz w:val="24"/>
        </w:rPr>
      </w:pPr>
      <w:r>
        <w:rPr>
          <w:rFonts w:eastAsia="仿宋_GB2312"/>
          <w:kern w:val="0"/>
          <w:sz w:val="24"/>
        </w:rPr>
        <w:t>T</w:t>
      </w:r>
      <w:r>
        <w:rPr>
          <w:rFonts w:hint="eastAsia" w:eastAsia="仿宋_GB2312"/>
          <w:kern w:val="0"/>
          <w:sz w:val="24"/>
        </w:rPr>
        <w:t xml:space="preserve">he IMF calculates the SDR interest rate on a weekly basis and posts the interest rate on its website every Friday. The SDR interest rate is calculated as a weighted </w:t>
      </w:r>
      <w:r>
        <w:rPr>
          <w:rFonts w:eastAsia="仿宋_GB2312"/>
          <w:kern w:val="0"/>
          <w:sz w:val="24"/>
        </w:rPr>
        <w:t>average</w:t>
      </w:r>
      <w:r>
        <w:rPr>
          <w:rFonts w:hint="eastAsia" w:eastAsia="仿宋_GB2312"/>
          <w:kern w:val="0"/>
          <w:sz w:val="24"/>
        </w:rPr>
        <w:t xml:space="preserve"> of the interest rates on three-month financial instruments in the money markets of the </w:t>
      </w:r>
      <w:r>
        <w:rPr>
          <w:rFonts w:eastAsia="仿宋_GB2312"/>
          <w:kern w:val="0"/>
          <w:sz w:val="24"/>
        </w:rPr>
        <w:t>currencies</w:t>
      </w:r>
      <w:r>
        <w:rPr>
          <w:rFonts w:hint="eastAsia" w:eastAsia="仿宋_GB2312"/>
          <w:kern w:val="0"/>
          <w:sz w:val="24"/>
        </w:rPr>
        <w:t xml:space="preserve"> in the SDR basket. </w:t>
      </w:r>
      <w:r>
        <w:rPr>
          <w:rFonts w:eastAsia="仿宋_GB2312"/>
          <w:kern w:val="0"/>
          <w:sz w:val="24"/>
        </w:rPr>
        <w:t>A</w:t>
      </w:r>
      <w:r>
        <w:rPr>
          <w:rFonts w:hint="eastAsia" w:eastAsia="仿宋_GB2312"/>
          <w:kern w:val="0"/>
          <w:sz w:val="24"/>
        </w:rPr>
        <w:t xml:space="preserve">fter the RMB is included in the SDR basket, the yield of three-month Chinese government bonds is used in the calculation of the SDR interest rate. </w:t>
      </w:r>
      <w:r>
        <w:rPr>
          <w:rFonts w:eastAsia="仿宋_GB2312"/>
          <w:kern w:val="0"/>
          <w:sz w:val="24"/>
        </w:rPr>
        <w:t>T</w:t>
      </w:r>
      <w:r>
        <w:rPr>
          <w:rFonts w:hint="eastAsia" w:eastAsia="仿宋_GB2312"/>
          <w:kern w:val="0"/>
          <w:sz w:val="24"/>
        </w:rPr>
        <w:t xml:space="preserve">he IMF will post, for the first time on October 7, the new SDR interest rate calculated with the Chinese bond yield. </w:t>
      </w:r>
      <w:r>
        <w:rPr>
          <w:rFonts w:eastAsia="仿宋_GB2312"/>
          <w:kern w:val="0"/>
          <w:sz w:val="24"/>
        </w:rPr>
        <w:t>T</w:t>
      </w:r>
      <w:r>
        <w:rPr>
          <w:rFonts w:hint="eastAsia" w:eastAsia="仿宋_GB2312"/>
          <w:kern w:val="0"/>
          <w:sz w:val="24"/>
        </w:rPr>
        <w:t xml:space="preserve">he IMF stipulates that the floor for SDR interest rate is 0.05%. If the calculated interest rate is lower than 0.05%, the SDR interest rate will be 0.05%. </w:t>
      </w:r>
    </w:p>
    <w:p>
      <w:pPr>
        <w:rPr>
          <w:rFonts w:eastAsia="仿宋_GB2312"/>
          <w:sz w:val="24"/>
        </w:rPr>
      </w:pPr>
    </w:p>
    <w:sectPr>
      <w:footerReference r:id="rId3" w:type="default"/>
      <w:pgSz w:w="11906" w:h="16838"/>
      <w:pgMar w:top="1327" w:right="1800" w:bottom="132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2"/>
      <w:lvlText w:val=""/>
      <w:lvlJc w:val="left"/>
      <w:pPr>
        <w:tabs>
          <w:tab w:val="left" w:pos="9000"/>
        </w:tabs>
        <w:ind w:left="9000" w:hanging="720"/>
      </w:pPr>
      <w:rPr>
        <w:rFonts w:hint="default" w:ascii="Symbol" w:hAnsi="Symbol"/>
      </w:rPr>
    </w:lvl>
  </w:abstractNum>
  <w:abstractNum w:abstractNumId="1">
    <w:nsid w:val="12DB20FF"/>
    <w:multiLevelType w:val="multilevel"/>
    <w:tmpl w:val="12DB20F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1E16"/>
    <w:rsid w:val="00001335"/>
    <w:rsid w:val="00030C06"/>
    <w:rsid w:val="000563E4"/>
    <w:rsid w:val="00060EEA"/>
    <w:rsid w:val="000662C0"/>
    <w:rsid w:val="00072B0A"/>
    <w:rsid w:val="00090706"/>
    <w:rsid w:val="000B2C20"/>
    <w:rsid w:val="000D09B0"/>
    <w:rsid w:val="000D3F97"/>
    <w:rsid w:val="0010041E"/>
    <w:rsid w:val="0010577B"/>
    <w:rsid w:val="00124129"/>
    <w:rsid w:val="0014795C"/>
    <w:rsid w:val="00154D93"/>
    <w:rsid w:val="00171C7C"/>
    <w:rsid w:val="00181D0E"/>
    <w:rsid w:val="001B649E"/>
    <w:rsid w:val="001D5952"/>
    <w:rsid w:val="00286A29"/>
    <w:rsid w:val="002C39F3"/>
    <w:rsid w:val="003416D9"/>
    <w:rsid w:val="00406925"/>
    <w:rsid w:val="00433CA4"/>
    <w:rsid w:val="0045448F"/>
    <w:rsid w:val="004945C2"/>
    <w:rsid w:val="004B4E6E"/>
    <w:rsid w:val="00514560"/>
    <w:rsid w:val="00535F4F"/>
    <w:rsid w:val="00586360"/>
    <w:rsid w:val="005A4963"/>
    <w:rsid w:val="006060F5"/>
    <w:rsid w:val="00612CDF"/>
    <w:rsid w:val="006309CC"/>
    <w:rsid w:val="00641E16"/>
    <w:rsid w:val="00663CFB"/>
    <w:rsid w:val="006C04DF"/>
    <w:rsid w:val="006C5F56"/>
    <w:rsid w:val="0071788E"/>
    <w:rsid w:val="007907DD"/>
    <w:rsid w:val="007A7CFC"/>
    <w:rsid w:val="007B669C"/>
    <w:rsid w:val="007D160D"/>
    <w:rsid w:val="007D35AF"/>
    <w:rsid w:val="00850F87"/>
    <w:rsid w:val="00866901"/>
    <w:rsid w:val="008816ED"/>
    <w:rsid w:val="00893B83"/>
    <w:rsid w:val="00951152"/>
    <w:rsid w:val="009630C6"/>
    <w:rsid w:val="009643F8"/>
    <w:rsid w:val="009A4ED8"/>
    <w:rsid w:val="009B22B4"/>
    <w:rsid w:val="00A114DF"/>
    <w:rsid w:val="00A258D5"/>
    <w:rsid w:val="00A37550"/>
    <w:rsid w:val="00A40872"/>
    <w:rsid w:val="00A50737"/>
    <w:rsid w:val="00A732EE"/>
    <w:rsid w:val="00A9031C"/>
    <w:rsid w:val="00A9562D"/>
    <w:rsid w:val="00AA19E4"/>
    <w:rsid w:val="00AC308D"/>
    <w:rsid w:val="00B133EA"/>
    <w:rsid w:val="00B4732C"/>
    <w:rsid w:val="00B65EC7"/>
    <w:rsid w:val="00B74F06"/>
    <w:rsid w:val="00B92483"/>
    <w:rsid w:val="00C40E2A"/>
    <w:rsid w:val="00C508E7"/>
    <w:rsid w:val="00CA6DB6"/>
    <w:rsid w:val="00CC5450"/>
    <w:rsid w:val="00CD5ADC"/>
    <w:rsid w:val="00CF3B40"/>
    <w:rsid w:val="00D07C22"/>
    <w:rsid w:val="00DE6692"/>
    <w:rsid w:val="00E85D73"/>
    <w:rsid w:val="00E86874"/>
    <w:rsid w:val="00EB666A"/>
    <w:rsid w:val="00EF0B5C"/>
    <w:rsid w:val="00F03355"/>
    <w:rsid w:val="00F448E2"/>
    <w:rsid w:val="00F51074"/>
    <w:rsid w:val="00F61C88"/>
    <w:rsid w:val="77807E5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2"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List Bullet"/>
    <w:basedOn w:val="1"/>
    <w:link w:val="11"/>
    <w:qFormat/>
    <w:uiPriority w:val="2"/>
    <w:pPr>
      <w:widowControl/>
      <w:numPr>
        <w:ilvl w:val="0"/>
        <w:numId w:val="1"/>
      </w:numPr>
      <w:tabs>
        <w:tab w:val="left" w:pos="720"/>
        <w:tab w:val="clear" w:pos="9000"/>
      </w:tabs>
      <w:spacing w:after="240" w:line="264" w:lineRule="auto"/>
      <w:ind w:left="720"/>
      <w:jc w:val="left"/>
    </w:pPr>
    <w:rPr>
      <w:kern w:val="0"/>
      <w:sz w:val="24"/>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uiPriority w:val="99"/>
    <w:rPr>
      <w:sz w:val="18"/>
      <w:szCs w:val="18"/>
    </w:rPr>
  </w:style>
  <w:style w:type="paragraph" w:customStyle="1" w:styleId="9">
    <w:name w:val="p0"/>
    <w:basedOn w:val="1"/>
    <w:uiPriority w:val="0"/>
    <w:pPr>
      <w:widowControl/>
    </w:pPr>
    <w:rPr>
      <w:kern w:val="0"/>
      <w:szCs w:val="21"/>
    </w:rPr>
  </w:style>
  <w:style w:type="paragraph" w:customStyle="1" w:styleId="10">
    <w:name w:val="List Paragraph"/>
    <w:basedOn w:val="1"/>
    <w:qFormat/>
    <w:uiPriority w:val="34"/>
    <w:pPr>
      <w:ind w:firstLine="420" w:firstLineChars="200"/>
    </w:pPr>
    <w:rPr>
      <w:rFonts w:ascii="Calibri" w:hAnsi="Calibri" w:cs="Calibri"/>
      <w:szCs w:val="21"/>
    </w:rPr>
  </w:style>
  <w:style w:type="character" w:customStyle="1" w:styleId="11">
    <w:name w:val="列表项目符号 Char"/>
    <w:basedOn w:val="5"/>
    <w:link w:val="2"/>
    <w:locked/>
    <w:uiPriority w:val="2"/>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1145</Words>
  <Characters>6533</Characters>
  <Lines>54</Lines>
  <Paragraphs>15</Paragraphs>
  <TotalTime>0</TotalTime>
  <ScaleCrop>false</ScaleCrop>
  <LinksUpToDate>false</LinksUpToDate>
  <CharactersWithSpaces>7663</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2016-09-30T14:29:00Z</dcterms:created>
  <dc:creator>pbc</dc:creator>
  <cp:lastModifiedBy>user</cp:lastModifiedBy>
  <dcterms:modified xsi:type="dcterms:W3CDTF">2016-09-30T19:07:59Z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