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D9ACA" w14:textId="77777777" w:rsidR="005733BF" w:rsidRPr="00D84410" w:rsidRDefault="0058565A">
      <w:pPr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</w:pPr>
      <w:bookmarkStart w:id="0" w:name="_GoBack"/>
      <w:bookmarkEnd w:id="0"/>
      <w:r w:rsidRPr="00D84410">
        <w:rPr>
          <w:rFonts w:ascii="Times New Roman" w:eastAsia="宋体" w:hAnsi="Times New Roman" w:cs="Times New Roman" w:hint="eastAsia"/>
          <w:b/>
          <w:bCs/>
          <w:color w:val="000000" w:themeColor="text1"/>
          <w:sz w:val="30"/>
          <w:szCs w:val="30"/>
          <w:shd w:val="clear" w:color="auto" w:fill="FFFFFF"/>
        </w:rPr>
        <w:t>Notice of the People</w:t>
      </w:r>
      <w:r w:rsidRPr="00D84410">
        <w:rPr>
          <w:rFonts w:ascii="Times New Roman" w:eastAsia="宋体" w:hAnsi="Times New Roman" w:cs="Times New Roman"/>
          <w:b/>
          <w:bCs/>
          <w:color w:val="000000" w:themeColor="text1"/>
          <w:sz w:val="30"/>
          <w:szCs w:val="30"/>
          <w:shd w:val="clear" w:color="auto" w:fill="FFFFFF"/>
        </w:rPr>
        <w:t>’</w:t>
      </w:r>
      <w:r w:rsidRPr="00D84410">
        <w:rPr>
          <w:rFonts w:ascii="Times New Roman" w:eastAsia="宋体" w:hAnsi="Times New Roman" w:cs="Times New Roman" w:hint="eastAsia"/>
          <w:b/>
          <w:bCs/>
          <w:color w:val="000000" w:themeColor="text1"/>
          <w:sz w:val="30"/>
          <w:szCs w:val="30"/>
          <w:shd w:val="clear" w:color="auto" w:fill="FFFFFF"/>
        </w:rPr>
        <w:t>s Bank of China and the State Administration of Foreign Exchange on Issues Concerning Further Facilitating Investment by Overseas Institutional Investors in the Interbank Bond Market (Draft for Consultation)</w:t>
      </w:r>
    </w:p>
    <w:p w14:paraId="5C882753" w14:textId="77777777" w:rsidR="005733BF" w:rsidRPr="00D84410" w:rsidRDefault="005733BF">
      <w:pPr>
        <w:ind w:firstLineChars="1900" w:firstLine="5700"/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6E598360" w14:textId="77777777" w:rsidR="005733BF" w:rsidRPr="00D84410" w:rsidRDefault="0058565A">
      <w:pPr>
        <w:widowControl/>
        <w:rPr>
          <w:rFonts w:ascii="Times New Roman" w:eastAsia="Times New Roman" w:hAnsi="Times New Roman" w:cs="Times New Roman"/>
          <w:color w:val="000000" w:themeColor="text1"/>
          <w:kern w:val="0"/>
          <w:sz w:val="24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In order to further facilitate investment by overseas institutional investors in China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’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s interbank bond market and in accordance with the </w:t>
      </w:r>
      <w:r w:rsidRPr="00D84410">
        <w:rPr>
          <w:rFonts w:ascii="Times New Roman" w:eastAsia="Times New Roman" w:hAnsi="Times New Roman" w:cs="Times New Roman"/>
          <w:i/>
          <w:color w:val="000000" w:themeColor="text1"/>
          <w:kern w:val="0"/>
          <w:sz w:val="30"/>
          <w:szCs w:val="30"/>
          <w:shd w:val="clear" w:color="auto" w:fill="FFFFFF"/>
        </w:rPr>
        <w:t>Regulations of the People’s Republic of China on Foreign Exchange Administration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, the </w:t>
      </w:r>
      <w:r w:rsidRPr="00D84410">
        <w:rPr>
          <w:rFonts w:ascii="Times New Roman" w:eastAsia="宋体" w:hAnsi="Times New Roman" w:cs="Times New Roman" w:hint="eastAsia"/>
          <w:i/>
          <w:iCs/>
          <w:color w:val="000000" w:themeColor="text1"/>
          <w:sz w:val="30"/>
          <w:szCs w:val="30"/>
          <w:shd w:val="clear" w:color="auto" w:fill="FFFFFF"/>
        </w:rPr>
        <w:t>Announcement of the People</w:t>
      </w:r>
      <w:r w:rsidRPr="00D84410"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  <w:shd w:val="clear" w:color="auto" w:fill="FFFFFF"/>
        </w:rPr>
        <w:t>’</w:t>
      </w:r>
      <w:r w:rsidRPr="00D84410">
        <w:rPr>
          <w:rFonts w:ascii="Times New Roman" w:eastAsia="宋体" w:hAnsi="Times New Roman" w:cs="Times New Roman" w:hint="eastAsia"/>
          <w:i/>
          <w:iCs/>
          <w:color w:val="000000" w:themeColor="text1"/>
          <w:sz w:val="30"/>
          <w:szCs w:val="30"/>
          <w:shd w:val="clear" w:color="auto" w:fill="FFFFFF"/>
        </w:rPr>
        <w:t xml:space="preserve">s Bank of China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No.8 [2013] and other relevant regulations, the People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’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s Bank of China (PBC) and the State Administration of Foreign Exchange hereby notify the following on issues concerning further improving investment in the interbank bond market: </w:t>
      </w:r>
    </w:p>
    <w:p w14:paraId="7B11ED1D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79C25975" w14:textId="77777777" w:rsidR="005733BF" w:rsidRPr="00D84410" w:rsidRDefault="0058565A">
      <w:pPr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A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n overseas institutional investor can conduct two-way non-transactional transfer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s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of its interbank market bond holdings between its bond account un</w:t>
      </w:r>
      <w:r w:rsidR="00423AEC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der the QFII/RQFII item and its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bond account under the item of direct investment in the interbank market (hereinafter referred to as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“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direct investment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”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)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based on </w:t>
      </w:r>
      <w:r w:rsidR="003D69A7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its investmen</w:t>
      </w:r>
      <w:r w:rsidR="00683352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t management needs.</w:t>
      </w:r>
    </w:p>
    <w:p w14:paraId="2FEEDB4F" w14:textId="4A51657E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79603EA3" w14:textId="6E1394D7" w:rsidR="005733BF" w:rsidRPr="00D84410" w:rsidRDefault="00733A3B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lastRenderedPageBreak/>
        <w:t>An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o</w:t>
      </w:r>
      <w:r w:rsidR="00552D49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verseas institutional investor</w:t>
      </w:r>
      <w:r w:rsidR="0058565A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shall submit applications for non-transactional</w:t>
      </w:r>
      <w:r w:rsidR="00552D49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transfers of its</w:t>
      </w:r>
      <w:r w:rsidR="0058565A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interbank marke</w:t>
      </w:r>
      <w:r w:rsidR="008077A3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t bond holdings </w:t>
      </w:r>
      <w:r w:rsidR="0058565A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to the China Central Depository &amp; Clearing Co., Ltd. or/and the Shanghai Clearing House (hereinafter jointly referred to as </w:t>
      </w:r>
      <w:r w:rsidR="0058565A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“</w:t>
      </w:r>
      <w:r w:rsidR="0058565A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bond registration, custody and settlement institutions</w:t>
      </w:r>
      <w:r w:rsidR="0058565A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>”</w:t>
      </w:r>
      <w:r w:rsidR="0058565A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)</w:t>
      </w:r>
      <w:r w:rsidR="008077A3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</w:t>
      </w:r>
      <w:r w:rsidR="008077A3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through </w:t>
      </w:r>
      <w:r w:rsidR="00552D49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its </w:t>
      </w:r>
      <w:r w:rsidR="00E35529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domestic</w:t>
      </w:r>
      <w:r w:rsidR="008077A3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QFII/RQFII custodian bank</w:t>
      </w:r>
      <w:r w:rsidR="00DC301D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or</w:t>
      </w:r>
      <w:r w:rsidR="000B57D2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its</w:t>
      </w:r>
      <w:r w:rsidR="00DC301D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 xml:space="preserve"> </w:t>
      </w:r>
      <w:r w:rsidR="008077A3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settlement agent</w:t>
      </w:r>
      <w:r w:rsidR="00DC301D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 for direct investment</w:t>
      </w:r>
      <w:r w:rsidR="0058565A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.</w:t>
      </w:r>
    </w:p>
    <w:p w14:paraId="7C4FE45A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1FF85BB1" w14:textId="77777777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Submissions required for non-transactional transfer application and the procedures shall be specified in the related guidance issued by bond registration, custody and settlement institutions.</w:t>
      </w:r>
    </w:p>
    <w:p w14:paraId="15E246AE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24BE4F97" w14:textId="77777777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  <w:shd w:val="clear" w:color="auto" w:fill="FFFFFF"/>
        </w:rPr>
        <w:t>Bond registration, custody and settlement institutions shall report non-transactional transfers regularly to the PBC.</w:t>
      </w:r>
    </w:p>
    <w:p w14:paraId="3400072F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</w:p>
    <w:p w14:paraId="002059D0" w14:textId="77777777" w:rsidR="005733BF" w:rsidRPr="00D84410" w:rsidRDefault="0058565A">
      <w:pPr>
        <w:numPr>
          <w:ilvl w:val="0"/>
          <w:numId w:val="1"/>
        </w:numPr>
        <w:rPr>
          <w:rFonts w:ascii="Times New Roman" w:eastAsia="宋体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Upon completion of non-transactional bond transfers for overseas investors, custodian banks and settlement agents shall make virtual declarations of balance of payments (BOP)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as required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(see the annex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for gui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dance).</w:t>
      </w:r>
    </w:p>
    <w:p w14:paraId="74223BD4" w14:textId="77777777" w:rsidR="005733BF" w:rsidRPr="00D84410" w:rsidRDefault="005733BF">
      <w:pPr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</w:p>
    <w:p w14:paraId="605E27DB" w14:textId="63036626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III</w:t>
      </w:r>
      <w:r w:rsidRPr="00D84410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Funds can be transferred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(two-way) directly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onshore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between the QFII/RQFII custodian account and the direct investment </w:t>
      </w:r>
      <w:r w:rsidR="00316634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fund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lastRenderedPageBreak/>
        <w:t>account opened by the same overseas investor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.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An o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verseas investor shall apply to </w:t>
      </w:r>
      <w:r w:rsidR="0056219B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its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QFII/RQFII custodian bank for fund transfers from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the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QFII/RQFII custodian account to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the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direct investment account, or apply to </w:t>
      </w:r>
      <w:r w:rsidR="008324EF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its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direct investment settlement agent for fund transfers from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the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direct investment account to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the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QFII/RQFII custodian account.</w:t>
      </w:r>
    </w:p>
    <w:p w14:paraId="172BDDBE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08E68C0E" w14:textId="154F28B3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Upon completion of </w:t>
      </w:r>
      <w:r w:rsidR="00E35529"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domestic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transfers of funds,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custodian bank</w:t>
      </w:r>
      <w:r w:rsidR="000E0CE4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s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/settlement agent</w:t>
      </w:r>
      <w:r w:rsidR="000E0CE4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s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shall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make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virtual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BOP declaration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s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as required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(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see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the annex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for g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uidance)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.</w:t>
      </w:r>
    </w:p>
    <w:p w14:paraId="0F97BA3F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4AD0CF77" w14:textId="6B2C090F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IV.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Custodian banks and settlement agents shall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do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their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du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ties to provide bond transfer and fund transfer services for overseas institutional investors and carry out data submiss</w:t>
      </w:r>
      <w:r w:rsidR="00E5738B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ion and monitoring in line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with the Notice.</w:t>
      </w:r>
    </w:p>
    <w:p w14:paraId="47B3D422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58DDF644" w14:textId="77777777" w:rsidR="005733BF" w:rsidRPr="00D84410" w:rsidRDefault="0058565A">
      <w:pPr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Custodian banks and settlement agents shall submit information o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n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fund transfer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s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of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overseas institutional investors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to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the RMB Cross-border Payment and Receipt Management Information System in accordance with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the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</w:t>
      </w:r>
      <w:hyperlink r:id="rId6" w:history="1">
        <w:r w:rsidRPr="00D84410">
          <w:rPr>
            <w:rFonts w:ascii="Times New Roman" w:eastAsia="宋体" w:hAnsi="Times New Roman" w:cs="Times New Roman"/>
            <w:i/>
            <w:iCs/>
            <w:color w:val="000000" w:themeColor="text1"/>
            <w:sz w:val="30"/>
            <w:szCs w:val="30"/>
          </w:rPr>
          <w:t>Measures for the Administration of the RMB Cross</w:t>
        </w:r>
        <w:r w:rsidRPr="00D84410">
          <w:rPr>
            <w:rFonts w:ascii="Times New Roman" w:eastAsia="宋体" w:hAnsi="Times New Roman" w:cs="Times New Roman" w:hint="eastAsia"/>
            <w:i/>
            <w:iCs/>
            <w:color w:val="000000" w:themeColor="text1"/>
            <w:sz w:val="30"/>
            <w:szCs w:val="30"/>
          </w:rPr>
          <w:t>-border</w:t>
        </w:r>
        <w:r w:rsidRPr="00D84410">
          <w:rPr>
            <w:rFonts w:ascii="Times New Roman" w:eastAsia="宋体" w:hAnsi="Times New Roman" w:cs="Times New Roman"/>
            <w:i/>
            <w:iCs/>
            <w:color w:val="000000" w:themeColor="text1"/>
            <w:sz w:val="30"/>
            <w:szCs w:val="30"/>
          </w:rPr>
          <w:t xml:space="preserve"> Payment and Receipt Management Information System</w:t>
        </w:r>
      </w:hyperlink>
      <w:r w:rsidRPr="00D84410"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</w:rPr>
        <w:t> 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(Yinfa No.126 [2017]),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the</w:t>
      </w:r>
      <w:r w:rsidRPr="00D84410"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</w:rPr>
        <w:t xml:space="preserve"> Notice of the General Office of </w:t>
      </w:r>
      <w:r w:rsidRPr="00D84410"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</w:rPr>
        <w:lastRenderedPageBreak/>
        <w:t>the People's Bank of China on Improving Interbank Business Data Submission Procedures of the RMB Cross</w:t>
      </w:r>
      <w:r w:rsidRPr="00D84410">
        <w:rPr>
          <w:rFonts w:ascii="Times New Roman" w:eastAsia="宋体" w:hAnsi="Times New Roman" w:cs="Times New Roman" w:hint="eastAsia"/>
          <w:i/>
          <w:iCs/>
          <w:color w:val="000000" w:themeColor="text1"/>
          <w:sz w:val="30"/>
          <w:szCs w:val="30"/>
        </w:rPr>
        <w:t>-border</w:t>
      </w:r>
      <w:r w:rsidRPr="00D84410"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</w:rPr>
        <w:t xml:space="preserve"> Payment and Receipt Management Information System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(Yinbanfa No.118 [2017]) and other relevant regulations.</w:t>
      </w:r>
    </w:p>
    <w:p w14:paraId="563D6758" w14:textId="77777777" w:rsidR="005733BF" w:rsidRPr="00D84410" w:rsidRDefault="005733BF">
      <w:pPr>
        <w:rPr>
          <w:rFonts w:ascii="Times New Roman" w:eastAsia="宋体" w:hAnsi="Times New Roman" w:cs="Times New Roman"/>
          <w:i/>
          <w:iCs/>
          <w:color w:val="000000" w:themeColor="text1"/>
          <w:sz w:val="30"/>
          <w:szCs w:val="30"/>
        </w:rPr>
      </w:pPr>
    </w:p>
    <w:p w14:paraId="0CB2703E" w14:textId="5BCBC87D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V.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An overseas institutional investor who invests in China’s interbank bond market via both QFII/RQFII and direct investment channels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shall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need to file with the PBC Shanghai Head Office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only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once either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E35529"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through the domestic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QFII/RQFII custodian bank or the 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 xml:space="preserve">settlement agent for 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direct investment. </w:t>
      </w:r>
    </w:p>
    <w:p w14:paraId="3488A2C3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78D8DB11" w14:textId="77777777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VI.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 xml:space="preserve"> The Notice is applicable to i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nvestment in the interbank bond market by f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oreign central banks, international financial organizations and sovereign wealth funds.</w:t>
      </w:r>
    </w:p>
    <w:p w14:paraId="32591F47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2011A343" w14:textId="77777777" w:rsidR="005733BF" w:rsidRPr="00D84410" w:rsidRDefault="0058565A">
      <w:pPr>
        <w:pStyle w:val="a5"/>
        <w:widowControl/>
        <w:spacing w:after="660" w:line="21" w:lineRule="atLeast"/>
        <w:jc w:val="both"/>
        <w:rPr>
          <w:rFonts w:ascii="Times New Roman" w:hAnsi="Times New Roman"/>
          <w:color w:val="000000" w:themeColor="text1"/>
          <w:kern w:val="2"/>
          <w:sz w:val="30"/>
          <w:szCs w:val="30"/>
        </w:rPr>
      </w:pPr>
      <w:r w:rsidRPr="00D84410">
        <w:rPr>
          <w:rFonts w:ascii="Times New Roman" w:hAnsi="Times New Roman" w:hint="eastAsia"/>
          <w:color w:val="000000" w:themeColor="text1"/>
          <w:sz w:val="30"/>
          <w:szCs w:val="30"/>
        </w:rPr>
        <w:t xml:space="preserve">VII. </w:t>
      </w:r>
      <w:r w:rsidRPr="00D84410">
        <w:rPr>
          <w:rFonts w:ascii="Times New Roman" w:hAnsi="Times New Roman"/>
          <w:color w:val="000000" w:themeColor="text1"/>
          <w:sz w:val="30"/>
          <w:szCs w:val="30"/>
        </w:rPr>
        <w:t xml:space="preserve">The </w:t>
      </w:r>
      <w:r w:rsidRPr="00D84410">
        <w:rPr>
          <w:rFonts w:ascii="Times New Roman" w:hAnsi="Times New Roman" w:hint="eastAsia"/>
          <w:color w:val="000000" w:themeColor="text1"/>
          <w:sz w:val="30"/>
          <w:szCs w:val="30"/>
        </w:rPr>
        <w:t>Notice</w:t>
      </w:r>
      <w:r w:rsidRPr="00D84410">
        <w:rPr>
          <w:rFonts w:ascii="Times New Roman" w:hAnsi="Times New Roman"/>
          <w:color w:val="000000" w:themeColor="text1"/>
          <w:sz w:val="30"/>
          <w:szCs w:val="30"/>
        </w:rPr>
        <w:t xml:space="preserve"> shall come into effect from </w:t>
      </w:r>
      <w:r w:rsidRPr="00D84410">
        <w:rPr>
          <w:rFonts w:ascii="Times New Roman" w:hAnsi="Times New Roman" w:hint="eastAsia"/>
          <w:color w:val="000000" w:themeColor="text1"/>
          <w:sz w:val="30"/>
          <w:szCs w:val="30"/>
        </w:rPr>
        <w:t xml:space="preserve">***. </w:t>
      </w:r>
      <w:r w:rsidRPr="00D84410">
        <w:rPr>
          <w:rFonts w:ascii="Times New Roman" w:hAnsi="Times New Roman"/>
          <w:color w:val="000000" w:themeColor="text1"/>
          <w:kern w:val="2"/>
          <w:sz w:val="30"/>
          <w:szCs w:val="30"/>
        </w:rPr>
        <w:t>In case of any inconsistency between existing regulations and the Notice, th</w:t>
      </w:r>
      <w:r w:rsidRPr="00D84410">
        <w:rPr>
          <w:rFonts w:ascii="Times New Roman" w:hAnsi="Times New Roman" w:hint="eastAsia"/>
          <w:color w:val="000000" w:themeColor="text1"/>
          <w:kern w:val="2"/>
          <w:sz w:val="30"/>
          <w:szCs w:val="30"/>
        </w:rPr>
        <w:t>e Notice</w:t>
      </w:r>
      <w:r w:rsidRPr="00D84410">
        <w:rPr>
          <w:rFonts w:ascii="Times New Roman" w:hAnsi="Times New Roman"/>
          <w:color w:val="000000" w:themeColor="text1"/>
          <w:kern w:val="2"/>
          <w:sz w:val="30"/>
          <w:szCs w:val="30"/>
        </w:rPr>
        <w:t xml:space="preserve"> shall prevail.</w:t>
      </w:r>
    </w:p>
    <w:p w14:paraId="5FB10B38" w14:textId="024276FD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D84410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Anne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x: </w:t>
      </w:r>
      <w:r w:rsidRPr="00D84410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 xml:space="preserve">Guidance on Balance of Payments </w:t>
      </w:r>
      <w:r w:rsidRPr="00D844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Declarations </w:t>
      </w:r>
      <w:r w:rsidRPr="00D84410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 xml:space="preserve">Regarding Non-transactional Bond Transfers and </w:t>
      </w:r>
      <w:r w:rsidR="00E35529" w:rsidRPr="00D84410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>Domestic</w:t>
      </w:r>
      <w:r w:rsidRPr="00D84410">
        <w:rPr>
          <w:rFonts w:ascii="Times New Roman" w:hAnsi="Times New Roman" w:cs="Times New Roman" w:hint="eastAsia"/>
          <w:bCs/>
          <w:color w:val="000000" w:themeColor="text1"/>
          <w:sz w:val="28"/>
          <w:szCs w:val="28"/>
        </w:rPr>
        <w:t xml:space="preserve"> Transfers of Funds</w:t>
      </w:r>
    </w:p>
    <w:p w14:paraId="260840EE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25AFBF48" w14:textId="77777777" w:rsidR="005733BF" w:rsidRPr="00D84410" w:rsidRDefault="0058565A" w:rsidP="00C25B88">
      <w:pPr>
        <w:outlineLvl w:val="0"/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lastRenderedPageBreak/>
        <w:t>The People</w:t>
      </w:r>
      <w:r w:rsidRPr="00D84410">
        <w:rPr>
          <w:rFonts w:ascii="Times New Roman" w:eastAsia="宋体" w:hAnsi="Times New Roman" w:cs="Times New Roman"/>
          <w:color w:val="000000" w:themeColor="text1"/>
          <w:sz w:val="30"/>
          <w:szCs w:val="30"/>
        </w:rPr>
        <w:t>’</w:t>
      </w: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s Bank of China</w:t>
      </w:r>
    </w:p>
    <w:p w14:paraId="6249F84F" w14:textId="77777777" w:rsidR="005733BF" w:rsidRPr="00D84410" w:rsidRDefault="0058565A" w:rsidP="00C25B88">
      <w:pPr>
        <w:outlineLvl w:val="0"/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State Administration of Foreign Exchange</w:t>
      </w:r>
    </w:p>
    <w:p w14:paraId="4AC7CFA8" w14:textId="77777777" w:rsidR="005733BF" w:rsidRPr="00D84410" w:rsidRDefault="0058565A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eastAsia="宋体" w:hAnsi="Times New Roman" w:cs="Times New Roman" w:hint="eastAsia"/>
          <w:color w:val="000000" w:themeColor="text1"/>
          <w:sz w:val="30"/>
          <w:szCs w:val="30"/>
        </w:rPr>
        <w:t>*** ***, 2019</w:t>
      </w:r>
    </w:p>
    <w:p w14:paraId="6E763B84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48D62ED7" w14:textId="77777777" w:rsidR="005733BF" w:rsidRPr="00D84410" w:rsidRDefault="005733B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25CE4F1E" w14:textId="77777777" w:rsidR="00EA1CEF" w:rsidRPr="00D84410" w:rsidRDefault="00EA1CE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76BDEE23" w14:textId="77777777" w:rsidR="00EA1CEF" w:rsidRPr="00D84410" w:rsidRDefault="00EA1CEF">
      <w:pPr>
        <w:rPr>
          <w:rFonts w:ascii="Times New Roman" w:eastAsia="宋体" w:hAnsi="Times New Roman" w:cs="Times New Roman"/>
          <w:color w:val="000000" w:themeColor="text1"/>
          <w:sz w:val="30"/>
          <w:szCs w:val="30"/>
        </w:rPr>
      </w:pPr>
    </w:p>
    <w:p w14:paraId="5BCFB98F" w14:textId="088C8BFF" w:rsidR="005733BF" w:rsidRPr="00D84410" w:rsidRDefault="0058565A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 xml:space="preserve">Guidance on Balance of Payments </w:t>
      </w:r>
      <w:r w:rsidRPr="00D8441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Declarations </w:t>
      </w:r>
      <w:r w:rsidRPr="00D84410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 xml:space="preserve">Regarding Non-transactional Bond Transfers and </w:t>
      </w:r>
      <w:r w:rsidR="00B601D0" w:rsidRPr="00D84410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>Domestic</w:t>
      </w:r>
      <w:r w:rsidRPr="00D84410">
        <w:rPr>
          <w:rFonts w:ascii="Times New Roman" w:hAnsi="Times New Roman" w:cs="Times New Roman" w:hint="eastAsia"/>
          <w:b/>
          <w:color w:val="000000" w:themeColor="text1"/>
          <w:sz w:val="30"/>
          <w:szCs w:val="30"/>
        </w:rPr>
        <w:t xml:space="preserve"> Transfers of Funds</w:t>
      </w:r>
    </w:p>
    <w:p w14:paraId="4B0E796B" w14:textId="77777777" w:rsidR="005733BF" w:rsidRPr="00D84410" w:rsidRDefault="005733BF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</w:p>
    <w:p w14:paraId="0554C8E1" w14:textId="77777777" w:rsidR="005733BF" w:rsidRPr="00D84410" w:rsidRDefault="0058565A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Upon completion of non-transactional bond transfers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for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overseas investors, custodian banks and settlement agents shall make virtual declarations of balance of payments (BOP) in accordance with the following requirements:</w:t>
      </w:r>
    </w:p>
    <w:p w14:paraId="20AB0C66" w14:textId="77777777" w:rsidR="005733BF" w:rsidRPr="00D84410" w:rsidRDefault="005733BF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D07626B" w14:textId="0BCA9066" w:rsidR="005733BF" w:rsidRPr="00D84410" w:rsidRDefault="0058565A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When an overseas investor transfers bonds from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the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QFII/RQFII bond account to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the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direct investment bond account, the QFII/RQFII custodian bank shall make a virtual declaration stating an outward remittance of QFII/RQFII funds, while the settlement agent for direct investment shall make a virtual declaration stating an inward remittance of direct investment funds, in the same amount of money.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lastRenderedPageBreak/>
        <w:t xml:space="preserve">Both shall be declared under the item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“purchase/sale of domestic bonds by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non-resident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s”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, with the declared amount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conforming to the fair value of the transferred bonds, and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shall be </w:t>
      </w:r>
      <w:r w:rsidR="00370F5B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indicated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as “bond transfer from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QFII/RQFII to CIBM (virtual declaration)</w:t>
      </w:r>
      <w:r w:rsidR="009B027C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”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in the </w:t>
      </w:r>
      <w:r w:rsidR="006B091D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transaction remarks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.   </w:t>
      </w:r>
    </w:p>
    <w:p w14:paraId="7F579A01" w14:textId="77777777" w:rsidR="005733BF" w:rsidRPr="00D84410" w:rsidRDefault="005733BF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5EBC1139" w14:textId="1899E89F" w:rsidR="005733BF" w:rsidRPr="00D84410" w:rsidRDefault="0058565A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When an overseas investor transfers bonds from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the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direct investment bond account to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the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QFII/RQFII bond account, the settlement agent for direct investment shall make a virtual declaration stating an outward remittance of direct investment funds, while the QFII/RQFII custodian bank shall make a virtual declaration stating an inward remittance of QFII/RQFII funds, in the same amount of money. Both shall be declared under the item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“purchase/sale of domestic bonds by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non-resident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s”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, with the declared amount conforming to the fair value of the transferred bonds, and shall be </w:t>
      </w:r>
      <w:r w:rsidR="00370F5B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indicated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as “bond transfer from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CIBM to QFII/RQFII (virtual declaration)</w:t>
      </w:r>
      <w:r w:rsidR="009B027C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”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in the </w:t>
      </w:r>
      <w:r w:rsidR="006B091D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transaction remarks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</w:p>
    <w:p w14:paraId="6FED9118" w14:textId="77777777" w:rsidR="005733BF" w:rsidRPr="00D84410" w:rsidRDefault="005733BF">
      <w:pPr>
        <w:numPr>
          <w:ilvl w:val="255"/>
          <w:numId w:val="0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7E43A50" w14:textId="6546DB8C" w:rsidR="005733BF" w:rsidRPr="00D84410" w:rsidRDefault="0058565A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Upon completi</w:t>
      </w:r>
      <w:r w:rsidR="00E35529"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on of domestic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transfers of funds, custodian banks and settlement agents shall make virtual BOP declarations in accordance with the following requirements:</w:t>
      </w:r>
    </w:p>
    <w:p w14:paraId="599DB473" w14:textId="77777777" w:rsidR="005733BF" w:rsidRPr="00D84410" w:rsidRDefault="005733BF">
      <w:pPr>
        <w:numPr>
          <w:ilvl w:val="255"/>
          <w:numId w:val="0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220921F" w14:textId="58B9A964" w:rsidR="005733BF" w:rsidRPr="00D84410" w:rsidRDefault="0058565A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lastRenderedPageBreak/>
        <w:t xml:space="preserve">When funds are transferred from the QFII/RQFII custodian account to the direct investment fund account, the QFII/RQFII custodian bank shall make a virtual declaration stating an outward remittance, while the settlement agent for direct investment shall make a virtual declaration stating an inward remittance. Both </w:t>
      </w:r>
      <w:r w:rsidR="000D3A03"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shall be declared under the item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“purchase/sale of domestic bonds by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non-resident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s”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, with the declared amount the same as the transferred amount, and shall be </w:t>
      </w:r>
      <w:r w:rsidR="00370F5B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indicated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as “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fund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transfer from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QFII/RQFII to CIBM (virtual declaration)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in the </w:t>
      </w:r>
      <w:r w:rsidR="006B091D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transaction remarks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</w:p>
    <w:p w14:paraId="069269C9" w14:textId="77777777" w:rsidR="005733BF" w:rsidRPr="00D84410" w:rsidRDefault="005733BF">
      <w:pPr>
        <w:numPr>
          <w:ilvl w:val="255"/>
          <w:numId w:val="0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9F0F22D" w14:textId="6B787005" w:rsidR="005733BF" w:rsidRPr="00D84410" w:rsidRDefault="0058565A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When funds are transferred from the direct investment fund account to the QFII/RQFII custodian account, the settlement agent for direct investment shall make a virtual declaration stating an outward remittance, while the QFII/RQFII custodian bank shall make a virtual declaration stating an inward remittance. Both shall be declared under the item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“purchase/sale of domestic bonds by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non-resident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s”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, with the declared amount the same as the transferred amount, and shall be </w:t>
      </w:r>
      <w:r w:rsidR="00370F5B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indicated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as “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fund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transfer from 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CIBM to QFII/RQFII (virtual declaration)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”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 xml:space="preserve"> </w:t>
      </w:r>
      <w:r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in the </w:t>
      </w:r>
      <w:r w:rsidR="006B091D" w:rsidRPr="00D84410">
        <w:rPr>
          <w:rFonts w:ascii="Times New Roman" w:hAnsi="Times New Roman" w:cs="Times New Roman"/>
          <w:color w:val="000000" w:themeColor="text1"/>
          <w:sz w:val="30"/>
          <w:szCs w:val="30"/>
        </w:rPr>
        <w:t>transaction remarks</w:t>
      </w: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.</w:t>
      </w:r>
    </w:p>
    <w:p w14:paraId="6B877DFD" w14:textId="77777777" w:rsidR="005733BF" w:rsidRPr="00D84410" w:rsidRDefault="005733BF">
      <w:pPr>
        <w:numPr>
          <w:ilvl w:val="255"/>
          <w:numId w:val="0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0C00AD6" w14:textId="2016CF5B" w:rsidR="005733BF" w:rsidRPr="00D84410" w:rsidRDefault="0058565A" w:rsidP="00E35529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84410">
        <w:rPr>
          <w:rFonts w:ascii="Times New Roman" w:hAnsi="Times New Roman" w:cs="Times New Roman" w:hint="eastAsia"/>
          <w:color w:val="000000" w:themeColor="text1"/>
          <w:sz w:val="30"/>
          <w:szCs w:val="30"/>
        </w:rPr>
        <w:t>The Guidance is subject to interpretation by the State Administration of Foreign Exchange.</w:t>
      </w:r>
    </w:p>
    <w:sectPr w:rsidR="005733BF" w:rsidRPr="00D84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81F0E54"/>
    <w:multiLevelType w:val="singleLevel"/>
    <w:tmpl w:val="B81F0E54"/>
    <w:lvl w:ilvl="0">
      <w:start w:val="1"/>
      <w:numFmt w:val="decimal"/>
      <w:suff w:val="space"/>
      <w:lvlText w:val="%1."/>
      <w:lvlJc w:val="left"/>
    </w:lvl>
  </w:abstractNum>
  <w:abstractNum w:abstractNumId="1">
    <w:nsid w:val="C0B14A71"/>
    <w:multiLevelType w:val="singleLevel"/>
    <w:tmpl w:val="C0B14A71"/>
    <w:lvl w:ilvl="0">
      <w:start w:val="1"/>
      <w:numFmt w:val="decimal"/>
      <w:suff w:val="space"/>
      <w:lvlText w:val="%1."/>
      <w:lvlJc w:val="left"/>
    </w:lvl>
  </w:abstractNum>
  <w:abstractNum w:abstractNumId="2">
    <w:nsid w:val="C4A944E7"/>
    <w:multiLevelType w:val="singleLevel"/>
    <w:tmpl w:val="C4A944E7"/>
    <w:lvl w:ilvl="0">
      <w:start w:val="1"/>
      <w:numFmt w:val="upperRoman"/>
      <w:suff w:val="space"/>
      <w:lvlText w:val="%1."/>
      <w:lvlJc w:val="left"/>
    </w:lvl>
  </w:abstractNum>
  <w:abstractNum w:abstractNumId="3">
    <w:nsid w:val="291F5246"/>
    <w:multiLevelType w:val="singleLevel"/>
    <w:tmpl w:val="291F5246"/>
    <w:lvl w:ilvl="0">
      <w:start w:val="1"/>
      <w:numFmt w:val="upperRoman"/>
      <w:suff w:val="space"/>
      <w:lvlText w:val="%1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6"/>
    <w:rsid w:val="00056528"/>
    <w:rsid w:val="000B57D2"/>
    <w:rsid w:val="000C6EDA"/>
    <w:rsid w:val="000D3A03"/>
    <w:rsid w:val="000D7F5C"/>
    <w:rsid w:val="000E0CE4"/>
    <w:rsid w:val="001439AE"/>
    <w:rsid w:val="00194A71"/>
    <w:rsid w:val="001E6642"/>
    <w:rsid w:val="00270446"/>
    <w:rsid w:val="002871EB"/>
    <w:rsid w:val="002B1D58"/>
    <w:rsid w:val="00316634"/>
    <w:rsid w:val="00370F5B"/>
    <w:rsid w:val="003C6FD8"/>
    <w:rsid w:val="003D69A7"/>
    <w:rsid w:val="003E49AD"/>
    <w:rsid w:val="00423AEC"/>
    <w:rsid w:val="004568EA"/>
    <w:rsid w:val="00460905"/>
    <w:rsid w:val="004A1093"/>
    <w:rsid w:val="00552D49"/>
    <w:rsid w:val="0056219B"/>
    <w:rsid w:val="005733BF"/>
    <w:rsid w:val="0058565A"/>
    <w:rsid w:val="005A0C35"/>
    <w:rsid w:val="006066BF"/>
    <w:rsid w:val="00676C4D"/>
    <w:rsid w:val="00683352"/>
    <w:rsid w:val="00685EEE"/>
    <w:rsid w:val="00691F95"/>
    <w:rsid w:val="006B091D"/>
    <w:rsid w:val="007222BC"/>
    <w:rsid w:val="00733A3B"/>
    <w:rsid w:val="007F094D"/>
    <w:rsid w:val="008077A3"/>
    <w:rsid w:val="008324EF"/>
    <w:rsid w:val="00860A45"/>
    <w:rsid w:val="00997D8E"/>
    <w:rsid w:val="009B027C"/>
    <w:rsid w:val="00A242BA"/>
    <w:rsid w:val="00A34EAF"/>
    <w:rsid w:val="00B120C6"/>
    <w:rsid w:val="00B1321E"/>
    <w:rsid w:val="00B56FD9"/>
    <w:rsid w:val="00B601D0"/>
    <w:rsid w:val="00B85979"/>
    <w:rsid w:val="00C07023"/>
    <w:rsid w:val="00C25B88"/>
    <w:rsid w:val="00C83D36"/>
    <w:rsid w:val="00CD356B"/>
    <w:rsid w:val="00D84410"/>
    <w:rsid w:val="00DC301D"/>
    <w:rsid w:val="00DE4C63"/>
    <w:rsid w:val="00E35529"/>
    <w:rsid w:val="00E36A0E"/>
    <w:rsid w:val="00E5738B"/>
    <w:rsid w:val="00EA1CEF"/>
    <w:rsid w:val="00F03A50"/>
    <w:rsid w:val="00F410F1"/>
    <w:rsid w:val="00FD765A"/>
    <w:rsid w:val="0C9107BF"/>
    <w:rsid w:val="0DDA035A"/>
    <w:rsid w:val="26EF2A09"/>
    <w:rsid w:val="2F23692E"/>
    <w:rsid w:val="394A5AD2"/>
    <w:rsid w:val="3F38325C"/>
    <w:rsid w:val="3F9E3BFA"/>
    <w:rsid w:val="40F5624B"/>
    <w:rsid w:val="43887A29"/>
    <w:rsid w:val="43936DC9"/>
    <w:rsid w:val="46E7508C"/>
    <w:rsid w:val="4AC272AD"/>
    <w:rsid w:val="52296711"/>
    <w:rsid w:val="5E7B1C80"/>
    <w:rsid w:val="60DA19F8"/>
    <w:rsid w:val="67DE464A"/>
    <w:rsid w:val="74202108"/>
    <w:rsid w:val="74457E1A"/>
    <w:rsid w:val="7FB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A44B91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宋体" w:eastAsia="宋体"/>
      <w:sz w:val="18"/>
      <w:szCs w:val="18"/>
    </w:rPr>
  </w:style>
  <w:style w:type="paragraph" w:styleId="a5">
    <w:name w:val="Normal (Web)"/>
    <w:basedOn w:val="a"/>
    <w:pPr>
      <w:spacing w:after="150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0066AA"/>
      <w:u w:val="none"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66AA"/>
      <w:u w:val="none"/>
    </w:rPr>
  </w:style>
  <w:style w:type="character" w:styleId="HTML">
    <w:name w:val="HTML Cod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0">
    <w:name w:val="HTML Keyboard"/>
    <w:basedOn w:val="a0"/>
    <w:qFormat/>
    <w:rPr>
      <w:rFonts w:ascii="Consolas" w:eastAsia="Consolas" w:hAnsi="Consolas" w:cs="Consolas"/>
      <w:sz w:val="21"/>
      <w:szCs w:val="21"/>
    </w:rPr>
  </w:style>
  <w:style w:type="character" w:styleId="HTML1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4">
    <w:name w:val="批注框文本字符"/>
    <w:basedOn w:val="a0"/>
    <w:link w:val="a3"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pkulaw.cn/javascript:ESLC(295983,0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1118</Words>
  <Characters>6375</Characters>
  <Application>Microsoft Macintosh Word</Application>
  <DocSecurity>0</DocSecurity>
  <Lines>53</Lines>
  <Paragraphs>14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minze0830</cp:lastModifiedBy>
  <cp:revision>2</cp:revision>
  <cp:lastPrinted>2019-05-16T07:46:00Z</cp:lastPrinted>
  <dcterms:created xsi:type="dcterms:W3CDTF">2019-05-17T17:35:00Z</dcterms:created>
  <dcterms:modified xsi:type="dcterms:W3CDTF">2019-05-17T17:35:00Z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