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627" w:rsidRDefault="00E86627" w:rsidP="00E86627">
      <w:pPr>
        <w:spacing w:line="360" w:lineRule="auto"/>
        <w:jc w:val="center"/>
        <w:rPr>
          <w:rFonts w:eastAsia="黑体"/>
          <w:b/>
          <w:color w:val="000000"/>
          <w:spacing w:val="7"/>
          <w:kern w:val="0"/>
          <w:sz w:val="52"/>
          <w:szCs w:val="52"/>
        </w:rPr>
      </w:pPr>
      <w:r>
        <w:rPr>
          <w:rFonts w:eastAsia="黑体"/>
          <w:b/>
          <w:color w:val="000000"/>
          <w:spacing w:val="7"/>
          <w:kern w:val="0"/>
          <w:sz w:val="52"/>
          <w:szCs w:val="52"/>
        </w:rPr>
        <w:t>China Monetary Policy Report</w:t>
      </w:r>
    </w:p>
    <w:p w:rsidR="00E86627" w:rsidRDefault="00E86627" w:rsidP="00E86627">
      <w:pPr>
        <w:spacing w:line="360" w:lineRule="auto"/>
        <w:jc w:val="center"/>
        <w:rPr>
          <w:rFonts w:eastAsia="黑体"/>
          <w:b/>
          <w:color w:val="000000"/>
          <w:sz w:val="52"/>
          <w:szCs w:val="52"/>
        </w:rPr>
      </w:pPr>
      <w:r>
        <w:rPr>
          <w:rFonts w:eastAsia="黑体"/>
          <w:b/>
          <w:color w:val="000000"/>
          <w:spacing w:val="7"/>
          <w:kern w:val="0"/>
          <w:sz w:val="52"/>
          <w:szCs w:val="52"/>
        </w:rPr>
        <w:t xml:space="preserve">Quarter </w:t>
      </w:r>
      <w:r>
        <w:rPr>
          <w:b/>
          <w:color w:val="000000"/>
          <w:spacing w:val="7"/>
          <w:kern w:val="0"/>
          <w:sz w:val="52"/>
          <w:szCs w:val="52"/>
        </w:rPr>
        <w:t>Three</w:t>
      </w:r>
      <w:r>
        <w:rPr>
          <w:rFonts w:eastAsia="黑体"/>
          <w:b/>
          <w:color w:val="000000"/>
          <w:spacing w:val="7"/>
          <w:kern w:val="0"/>
          <w:sz w:val="52"/>
          <w:szCs w:val="52"/>
        </w:rPr>
        <w:t>, 2018</w:t>
      </w:r>
    </w:p>
    <w:p w:rsidR="00E86627" w:rsidRDefault="00E86627" w:rsidP="00E86627">
      <w:pPr>
        <w:spacing w:line="360" w:lineRule="auto"/>
        <w:jc w:val="center"/>
        <w:rPr>
          <w:rFonts w:eastAsia="楷体_GB2312"/>
          <w:color w:val="000000"/>
          <w:sz w:val="32"/>
          <w:szCs w:val="32"/>
        </w:rPr>
      </w:pPr>
      <w:r>
        <w:rPr>
          <w:rFonts w:eastAsia="楷体_GB2312"/>
          <w:color w:val="000000"/>
          <w:sz w:val="32"/>
          <w:szCs w:val="32"/>
        </w:rPr>
        <w:t>(</w:t>
      </w:r>
      <w:r>
        <w:rPr>
          <w:color w:val="000000"/>
          <w:sz w:val="32"/>
          <w:szCs w:val="32"/>
        </w:rPr>
        <w:t>November 9, 2018</w:t>
      </w:r>
      <w:r>
        <w:rPr>
          <w:rFonts w:eastAsia="楷体_GB2312"/>
          <w:color w:val="000000"/>
          <w:sz w:val="32"/>
          <w:szCs w:val="32"/>
        </w:rPr>
        <w:t>)</w:t>
      </w:r>
    </w:p>
    <w:p w:rsidR="00E86627" w:rsidRDefault="00E86627" w:rsidP="00E86627">
      <w:pPr>
        <w:spacing w:line="360" w:lineRule="auto"/>
        <w:jc w:val="center"/>
        <w:rPr>
          <w:rFonts w:eastAsia="楷体_GB2312"/>
          <w:b/>
          <w:color w:val="000000"/>
          <w:sz w:val="44"/>
        </w:rPr>
      </w:pPr>
    </w:p>
    <w:p w:rsidR="00E86627" w:rsidRDefault="00E86627" w:rsidP="00E86627">
      <w:pPr>
        <w:spacing w:line="360" w:lineRule="auto"/>
        <w:jc w:val="center"/>
        <w:rPr>
          <w:rFonts w:eastAsia="楷体_GB2312"/>
          <w:b/>
          <w:color w:val="000000"/>
          <w:sz w:val="44"/>
        </w:rPr>
      </w:pPr>
    </w:p>
    <w:p w:rsidR="00E86627" w:rsidRDefault="00E86627" w:rsidP="00E86627">
      <w:pPr>
        <w:spacing w:line="360" w:lineRule="auto"/>
        <w:jc w:val="center"/>
        <w:rPr>
          <w:rFonts w:eastAsia="仿宋_GB2312"/>
          <w:color w:val="000000"/>
          <w:sz w:val="28"/>
        </w:rPr>
      </w:pPr>
    </w:p>
    <w:p w:rsidR="00E86627" w:rsidRDefault="00E86627" w:rsidP="00E86627">
      <w:pPr>
        <w:spacing w:line="360" w:lineRule="auto"/>
        <w:jc w:val="center"/>
        <w:rPr>
          <w:rFonts w:eastAsia="仿宋_GB2312"/>
          <w:color w:val="000000"/>
          <w:sz w:val="28"/>
        </w:rPr>
      </w:pPr>
    </w:p>
    <w:p w:rsidR="00E86627" w:rsidRDefault="00E86627" w:rsidP="00E86627">
      <w:pPr>
        <w:spacing w:line="360" w:lineRule="auto"/>
        <w:jc w:val="center"/>
        <w:rPr>
          <w:rFonts w:eastAsia="仿宋_GB2312"/>
          <w:color w:val="000000"/>
          <w:sz w:val="28"/>
        </w:rPr>
      </w:pPr>
    </w:p>
    <w:p w:rsidR="00E86627" w:rsidRDefault="00E86627" w:rsidP="00E86627">
      <w:pPr>
        <w:spacing w:line="360" w:lineRule="auto"/>
        <w:jc w:val="center"/>
        <w:rPr>
          <w:rFonts w:eastAsia="仿宋_GB2312"/>
          <w:color w:val="000000"/>
          <w:sz w:val="28"/>
        </w:rPr>
      </w:pPr>
    </w:p>
    <w:p w:rsidR="00E86627" w:rsidRDefault="00E86627" w:rsidP="00E86627">
      <w:pPr>
        <w:spacing w:line="360" w:lineRule="auto"/>
        <w:jc w:val="center"/>
        <w:rPr>
          <w:rFonts w:eastAsia="仿宋_GB2312"/>
          <w:color w:val="000000"/>
          <w:sz w:val="28"/>
        </w:rPr>
      </w:pPr>
    </w:p>
    <w:p w:rsidR="00E86627" w:rsidRDefault="00E86627" w:rsidP="00E86627">
      <w:pPr>
        <w:spacing w:line="360" w:lineRule="auto"/>
        <w:jc w:val="center"/>
        <w:rPr>
          <w:rFonts w:eastAsia="仿宋_GB2312"/>
          <w:color w:val="000000"/>
          <w:sz w:val="28"/>
        </w:rPr>
      </w:pPr>
    </w:p>
    <w:p w:rsidR="00E86627" w:rsidRDefault="00E86627" w:rsidP="00E86627">
      <w:pPr>
        <w:spacing w:line="360" w:lineRule="auto"/>
        <w:jc w:val="center"/>
        <w:rPr>
          <w:rFonts w:eastAsia="仿宋_GB2312"/>
          <w:color w:val="000000"/>
          <w:sz w:val="28"/>
        </w:rPr>
      </w:pPr>
    </w:p>
    <w:p w:rsidR="00E86627" w:rsidRDefault="00E86627" w:rsidP="00E86627">
      <w:pPr>
        <w:spacing w:line="360" w:lineRule="auto"/>
        <w:jc w:val="center"/>
        <w:rPr>
          <w:rFonts w:eastAsia="仿宋_GB2312"/>
          <w:color w:val="000000"/>
          <w:sz w:val="28"/>
        </w:rPr>
      </w:pPr>
    </w:p>
    <w:p w:rsidR="00E86627" w:rsidRDefault="00E86627" w:rsidP="00E86627">
      <w:pPr>
        <w:spacing w:line="360" w:lineRule="auto"/>
        <w:jc w:val="center"/>
        <w:rPr>
          <w:rFonts w:eastAsia="仿宋_GB2312"/>
          <w:color w:val="000000"/>
          <w:sz w:val="28"/>
        </w:rPr>
      </w:pPr>
    </w:p>
    <w:p w:rsidR="00E86627" w:rsidRDefault="00E86627" w:rsidP="00E86627">
      <w:pPr>
        <w:spacing w:line="360" w:lineRule="auto"/>
        <w:jc w:val="center"/>
        <w:rPr>
          <w:rFonts w:eastAsia="仿宋_GB2312"/>
          <w:color w:val="000000"/>
          <w:sz w:val="28"/>
        </w:rPr>
      </w:pPr>
    </w:p>
    <w:p w:rsidR="00E86627" w:rsidRDefault="00E86627" w:rsidP="00E86627">
      <w:pPr>
        <w:spacing w:line="360" w:lineRule="auto"/>
        <w:jc w:val="center"/>
        <w:rPr>
          <w:rFonts w:eastAsia="仿宋_GB2312"/>
          <w:color w:val="000000"/>
          <w:sz w:val="28"/>
        </w:rPr>
      </w:pPr>
    </w:p>
    <w:p w:rsidR="00E86627" w:rsidRDefault="00E86627" w:rsidP="00E86627">
      <w:pPr>
        <w:spacing w:line="360" w:lineRule="auto"/>
        <w:jc w:val="center"/>
        <w:rPr>
          <w:rFonts w:eastAsia="仿宋_GB2312"/>
          <w:color w:val="000000"/>
          <w:sz w:val="28"/>
        </w:rPr>
      </w:pPr>
    </w:p>
    <w:p w:rsidR="00E86627" w:rsidRDefault="00E86627" w:rsidP="00E86627">
      <w:pPr>
        <w:spacing w:line="360" w:lineRule="auto"/>
        <w:jc w:val="center"/>
        <w:rPr>
          <w:rFonts w:eastAsia="楷体_GB2312"/>
          <w:b/>
          <w:color w:val="000000"/>
          <w:sz w:val="32"/>
          <w:szCs w:val="32"/>
        </w:rPr>
      </w:pPr>
      <w:r>
        <w:rPr>
          <w:rFonts w:eastAsia="楷体_GB2312"/>
          <w:b/>
          <w:color w:val="000000"/>
          <w:sz w:val="32"/>
          <w:szCs w:val="32"/>
        </w:rPr>
        <w:t>Monetary Policy Analysis Group of</w:t>
      </w:r>
    </w:p>
    <w:p w:rsidR="00E86627" w:rsidRDefault="00E86627" w:rsidP="00E86627">
      <w:pPr>
        <w:spacing w:line="360" w:lineRule="auto"/>
        <w:jc w:val="center"/>
        <w:rPr>
          <w:rFonts w:eastAsia="楷体_GB2312"/>
          <w:b/>
          <w:color w:val="000000"/>
          <w:sz w:val="32"/>
          <w:szCs w:val="32"/>
        </w:rPr>
      </w:pPr>
      <w:r>
        <w:rPr>
          <w:rFonts w:eastAsia="楷体_GB2312"/>
          <w:b/>
          <w:color w:val="000000"/>
          <w:sz w:val="32"/>
          <w:szCs w:val="32"/>
        </w:rPr>
        <w:t xml:space="preserve">the People’s Bank of </w:t>
      </w:r>
      <w:smartTag w:uri="urn:schemas-microsoft-com:office:smarttags" w:element="place">
        <w:smartTag w:uri="urn:schemas-microsoft-com:office:smarttags" w:element="country-region">
          <w:r>
            <w:rPr>
              <w:rFonts w:eastAsia="楷体_GB2312"/>
              <w:b/>
              <w:color w:val="000000"/>
              <w:sz w:val="32"/>
              <w:szCs w:val="32"/>
            </w:rPr>
            <w:t>China</w:t>
          </w:r>
        </w:smartTag>
      </w:smartTag>
    </w:p>
    <w:p w:rsidR="00E86627" w:rsidRDefault="00E86627" w:rsidP="00E86627">
      <w:pPr>
        <w:pStyle w:val="a6"/>
        <w:spacing w:line="360" w:lineRule="auto"/>
        <w:jc w:val="center"/>
        <w:rPr>
          <w:rFonts w:ascii="Times New Roman" w:eastAsia="黑体"/>
          <w:kern w:val="0"/>
          <w:sz w:val="36"/>
        </w:rPr>
      </w:pPr>
    </w:p>
    <w:p w:rsidR="00E86627" w:rsidRDefault="00E86627" w:rsidP="00E86627"/>
    <w:p w:rsidR="00E86627" w:rsidRDefault="00E86627" w:rsidP="00E86627"/>
    <w:p w:rsidR="00E86627" w:rsidRDefault="00E86627" w:rsidP="00E86627"/>
    <w:p w:rsidR="00E86627" w:rsidRDefault="00E86627" w:rsidP="00E86627"/>
    <w:p w:rsidR="00E86627" w:rsidRDefault="00E86627" w:rsidP="00E86627">
      <w:pPr>
        <w:snapToGrid w:val="0"/>
        <w:spacing w:line="360" w:lineRule="auto"/>
        <w:ind w:firstLineChars="200" w:firstLine="643"/>
        <w:jc w:val="center"/>
        <w:rPr>
          <w:b/>
          <w:kern w:val="0"/>
          <w:sz w:val="32"/>
          <w:szCs w:val="32"/>
        </w:rPr>
      </w:pPr>
      <w:bookmarkStart w:id="0" w:name="_Toc505346980"/>
      <w:bookmarkStart w:id="1" w:name="_Toc517190497"/>
      <w:r>
        <w:rPr>
          <w:rFonts w:eastAsia="黑体"/>
          <w:b/>
          <w:kern w:val="0"/>
          <w:sz w:val="32"/>
          <w:szCs w:val="32"/>
        </w:rPr>
        <w:lastRenderedPageBreak/>
        <w:t>Executive Summary</w:t>
      </w:r>
    </w:p>
    <w:p w:rsidR="00E86627" w:rsidRDefault="00E86627" w:rsidP="00E86627">
      <w:pPr>
        <w:spacing w:line="360" w:lineRule="auto"/>
        <w:rPr>
          <w:kern w:val="0"/>
          <w:sz w:val="24"/>
        </w:rPr>
      </w:pPr>
    </w:p>
    <w:p w:rsidR="00E86627" w:rsidRDefault="00E86627" w:rsidP="00E86627">
      <w:pPr>
        <w:spacing w:line="360" w:lineRule="auto"/>
        <w:rPr>
          <w:kern w:val="0"/>
          <w:sz w:val="24"/>
        </w:rPr>
      </w:pPr>
      <w:r>
        <w:rPr>
          <w:rFonts w:hint="eastAsia"/>
          <w:kern w:val="0"/>
          <w:sz w:val="24"/>
        </w:rPr>
        <w:t xml:space="preserve">In </w:t>
      </w:r>
      <w:r>
        <w:rPr>
          <w:sz w:val="24"/>
        </w:rPr>
        <w:t>Q3</w:t>
      </w:r>
      <w:r>
        <w:rPr>
          <w:rFonts w:hint="eastAsia"/>
          <w:sz w:val="24"/>
        </w:rPr>
        <w:t xml:space="preserve"> </w:t>
      </w:r>
      <w:r>
        <w:rPr>
          <w:kern w:val="0"/>
          <w:sz w:val="24"/>
        </w:rPr>
        <w:t>of 2018,</w:t>
      </w:r>
      <w:r>
        <w:rPr>
          <w:rFonts w:eastAsia="楷体_GB2312"/>
          <w:kern w:val="0"/>
          <w:sz w:val="24"/>
        </w:rPr>
        <w:t xml:space="preserve"> the</w:t>
      </w:r>
      <w:r>
        <w:rPr>
          <w:rFonts w:eastAsia="仿宋_GB2312"/>
          <w:sz w:val="24"/>
        </w:rPr>
        <w:t xml:space="preserve"> Chinese economy continued its</w:t>
      </w:r>
      <w:r>
        <w:rPr>
          <w:rFonts w:eastAsia="楷体_GB2312"/>
          <w:kern w:val="0"/>
          <w:sz w:val="24"/>
        </w:rPr>
        <w:t xml:space="preserve"> stable </w:t>
      </w:r>
      <w:r>
        <w:rPr>
          <w:kern w:val="0"/>
          <w:sz w:val="24"/>
        </w:rPr>
        <w:t>growth, with steady progress</w:t>
      </w:r>
      <w:r>
        <w:rPr>
          <w:rFonts w:eastAsia="仿宋_GB2312"/>
          <w:sz w:val="24"/>
        </w:rPr>
        <w:t xml:space="preserve"> in structural adjustments</w:t>
      </w:r>
      <w:r>
        <w:rPr>
          <w:rFonts w:eastAsia="仿宋_GB2312" w:hint="eastAsia"/>
          <w:sz w:val="24"/>
        </w:rPr>
        <w:t xml:space="preserve"> and</w:t>
      </w:r>
      <w:r>
        <w:rPr>
          <w:rFonts w:eastAsia="仿宋_GB2312"/>
          <w:sz w:val="24"/>
        </w:rPr>
        <w:t xml:space="preserve"> </w:t>
      </w:r>
      <w:r>
        <w:rPr>
          <w:rFonts w:eastAsia="仿宋_GB2312" w:hint="eastAsia"/>
          <w:sz w:val="24"/>
        </w:rPr>
        <w:t xml:space="preserve">generally balanced supply and demand, and </w:t>
      </w:r>
      <w:r>
        <w:rPr>
          <w:rFonts w:eastAsia="仿宋_GB2312"/>
          <w:sz w:val="24"/>
        </w:rPr>
        <w:t xml:space="preserve">it </w:t>
      </w:r>
      <w:r>
        <w:rPr>
          <w:rFonts w:eastAsia="仿宋_GB2312" w:hint="eastAsia"/>
          <w:sz w:val="24"/>
        </w:rPr>
        <w:t>exhibited relatively strong resilience.</w:t>
      </w:r>
      <w:r>
        <w:rPr>
          <w:rFonts w:eastAsia="仿宋_GB2312"/>
          <w:sz w:val="24"/>
        </w:rPr>
        <w:t xml:space="preserve"> </w:t>
      </w:r>
      <w:r>
        <w:rPr>
          <w:rFonts w:eastAsia="仿宋_GB2312" w:hint="eastAsia"/>
          <w:sz w:val="24"/>
        </w:rPr>
        <w:t>C</w:t>
      </w:r>
      <w:r>
        <w:rPr>
          <w:rFonts w:eastAsia="仿宋_GB2312"/>
          <w:sz w:val="24"/>
        </w:rPr>
        <w:t xml:space="preserve">onsumption </w:t>
      </w:r>
      <w:r>
        <w:rPr>
          <w:rFonts w:eastAsia="仿宋_GB2312" w:hint="eastAsia"/>
          <w:sz w:val="24"/>
        </w:rPr>
        <w:t xml:space="preserve">played a </w:t>
      </w:r>
      <w:r>
        <w:rPr>
          <w:rFonts w:eastAsia="仿宋_GB2312"/>
          <w:sz w:val="24"/>
        </w:rPr>
        <w:t>greater</w:t>
      </w:r>
      <w:r>
        <w:rPr>
          <w:rFonts w:eastAsia="仿宋_GB2312" w:hint="eastAsia"/>
          <w:sz w:val="24"/>
        </w:rPr>
        <w:t xml:space="preserve"> role in driving</w:t>
      </w:r>
      <w:r>
        <w:rPr>
          <w:rFonts w:eastAsia="仿宋_GB2312"/>
          <w:sz w:val="24"/>
        </w:rPr>
        <w:t xml:space="preserve"> economic growth</w:t>
      </w:r>
      <w:r>
        <w:rPr>
          <w:rFonts w:eastAsia="仿宋_GB2312" w:hint="eastAsia"/>
          <w:sz w:val="24"/>
        </w:rPr>
        <w:t xml:space="preserve">, the growth of manufacturing industry and private investment picked up, the job market sustained its steady growth, and consumer prices </w:t>
      </w:r>
      <w:r>
        <w:rPr>
          <w:rFonts w:eastAsia="仿宋_GB2312"/>
          <w:sz w:val="24"/>
        </w:rPr>
        <w:t xml:space="preserve">were up </w:t>
      </w:r>
      <w:r>
        <w:rPr>
          <w:rFonts w:eastAsia="仿宋_GB2312" w:hint="eastAsia"/>
          <w:sz w:val="24"/>
        </w:rPr>
        <w:t xml:space="preserve">moderately. However, the obvious changes in the external environment and </w:t>
      </w:r>
      <w:r>
        <w:rPr>
          <w:sz w:val="24"/>
        </w:rPr>
        <w:t>a combination of adverse factors on the demand side</w:t>
      </w:r>
      <w:r>
        <w:rPr>
          <w:rFonts w:hint="eastAsia"/>
          <w:sz w:val="24"/>
        </w:rPr>
        <w:t xml:space="preserve"> p</w:t>
      </w:r>
      <w:r>
        <w:rPr>
          <w:sz w:val="24"/>
        </w:rPr>
        <w:t>laced</w:t>
      </w:r>
      <w:r>
        <w:rPr>
          <w:rFonts w:hint="eastAsia"/>
          <w:sz w:val="24"/>
        </w:rPr>
        <w:t xml:space="preserve"> downward pressures on the economy. </w:t>
      </w:r>
      <w:r>
        <w:rPr>
          <w:rFonts w:eastAsia="仿宋_GB2312" w:hint="eastAsia"/>
          <w:sz w:val="24"/>
        </w:rPr>
        <w:t xml:space="preserve">In </w:t>
      </w:r>
      <w:r>
        <w:rPr>
          <w:sz w:val="24"/>
        </w:rPr>
        <w:t>Q3</w:t>
      </w:r>
      <w:r>
        <w:rPr>
          <w:rFonts w:eastAsia="仿宋_GB2312" w:hint="eastAsia"/>
          <w:sz w:val="24"/>
        </w:rPr>
        <w:t>, the Gross Domestic Product (GDP) grew by 6.5 percent year</w:t>
      </w:r>
      <w:r>
        <w:rPr>
          <w:kern w:val="0"/>
          <w:sz w:val="24"/>
        </w:rPr>
        <w:t xml:space="preserve"> on year, and the Consumer Price Index (CPI) was up 2.</w:t>
      </w:r>
      <w:r>
        <w:rPr>
          <w:rFonts w:hint="eastAsia"/>
          <w:kern w:val="0"/>
          <w:sz w:val="24"/>
        </w:rPr>
        <w:t>3</w:t>
      </w:r>
      <w:r>
        <w:rPr>
          <w:kern w:val="0"/>
          <w:sz w:val="24"/>
        </w:rPr>
        <w:t xml:space="preserve"> percent year on year. </w:t>
      </w:r>
    </w:p>
    <w:p w:rsidR="00E86627" w:rsidRDefault="00E86627" w:rsidP="00E86627">
      <w:pPr>
        <w:spacing w:line="360" w:lineRule="auto"/>
        <w:rPr>
          <w:kern w:val="0"/>
          <w:sz w:val="24"/>
        </w:rPr>
      </w:pPr>
    </w:p>
    <w:p w:rsidR="00E86627" w:rsidRDefault="00E86627" w:rsidP="00E86627">
      <w:pPr>
        <w:spacing w:line="391" w:lineRule="auto"/>
        <w:rPr>
          <w:sz w:val="24"/>
        </w:rPr>
      </w:pPr>
      <w:r>
        <w:rPr>
          <w:rFonts w:hint="eastAsia"/>
          <w:kern w:val="0"/>
          <w:sz w:val="24"/>
        </w:rPr>
        <w:t>Fa</w:t>
      </w:r>
      <w:r>
        <w:rPr>
          <w:kern w:val="0"/>
          <w:sz w:val="24"/>
        </w:rPr>
        <w:t>cing</w:t>
      </w:r>
      <w:r>
        <w:rPr>
          <w:rFonts w:hint="eastAsia"/>
          <w:kern w:val="0"/>
          <w:sz w:val="24"/>
        </w:rPr>
        <w:t xml:space="preserve"> the prominent </w:t>
      </w:r>
      <w:r>
        <w:rPr>
          <w:kern w:val="0"/>
          <w:sz w:val="24"/>
        </w:rPr>
        <w:t>contradictions</w:t>
      </w:r>
      <w:r>
        <w:rPr>
          <w:rFonts w:hint="eastAsia"/>
          <w:kern w:val="0"/>
          <w:sz w:val="24"/>
        </w:rPr>
        <w:t xml:space="preserve"> and problems in the economy and </w:t>
      </w:r>
      <w:r>
        <w:rPr>
          <w:kern w:val="0"/>
          <w:sz w:val="24"/>
        </w:rPr>
        <w:t>follow</w:t>
      </w:r>
      <w:r>
        <w:rPr>
          <w:rFonts w:hint="eastAsia"/>
          <w:kern w:val="0"/>
          <w:sz w:val="24"/>
        </w:rPr>
        <w:t>ing</w:t>
      </w:r>
      <w:r>
        <w:rPr>
          <w:sz w:val="24"/>
        </w:rPr>
        <w:t xml:space="preserve"> the arrangements of the CPC Central Committee and the State Council, </w:t>
      </w:r>
      <w:r>
        <w:rPr>
          <w:rFonts w:eastAsia="楷体_GB2312"/>
          <w:sz w:val="24"/>
        </w:rPr>
        <w:t>the PBC continued</w:t>
      </w:r>
      <w:r>
        <w:rPr>
          <w:sz w:val="24"/>
        </w:rPr>
        <w:t xml:space="preserve"> to implement a sound and neutral monetary policy</w:t>
      </w:r>
      <w:r>
        <w:rPr>
          <w:rFonts w:hint="eastAsia"/>
          <w:sz w:val="24"/>
        </w:rPr>
        <w:t xml:space="preserve">, further improved the </w:t>
      </w:r>
      <w:r>
        <w:rPr>
          <w:sz w:val="24"/>
        </w:rPr>
        <w:t xml:space="preserve">monetary-policy </w:t>
      </w:r>
      <w:r>
        <w:rPr>
          <w:rFonts w:hint="eastAsia"/>
          <w:sz w:val="24"/>
        </w:rPr>
        <w:t>transmission channel, continuously strengthened policy coordination, adopted a series of effective measures in a preemptive manner, beefed up financial support to the real economy, especially to small and micro enterprises and the private sector, thus creating</w:t>
      </w:r>
      <w:r>
        <w:rPr>
          <w:sz w:val="24"/>
        </w:rPr>
        <w:t xml:space="preserve"> a favorable monetary and financial environment for supply-side structural reforms and high-quality development. First, medium- and long-term liquidity supply was increased to such an extent that overall liquidity remained reasonable and adequate. Targeted cuts were made to the reserve requirement ratios (RRR) in July</w:t>
      </w:r>
      <w:r>
        <w:rPr>
          <w:rFonts w:hint="eastAsia"/>
          <w:sz w:val="24"/>
        </w:rPr>
        <w:t xml:space="preserve"> and October</w:t>
      </w:r>
      <w:r>
        <w:rPr>
          <w:sz w:val="24"/>
        </w:rPr>
        <w:t xml:space="preserve"> respectively, and instruments such as the Medium-term Lending Facility (MLF) and the Pledged Supplementary Lending (PSL) were employed to inject medium- and long-term liquidity. Second,</w:t>
      </w:r>
      <w:r>
        <w:rPr>
          <w:rFonts w:hint="eastAsia"/>
          <w:sz w:val="24"/>
        </w:rPr>
        <w:t xml:space="preserve"> financial support to priority areas and weak links in the economy</w:t>
      </w:r>
      <w:r>
        <w:rPr>
          <w:sz w:val="24"/>
        </w:rPr>
        <w:t>, including</w:t>
      </w:r>
      <w:r>
        <w:rPr>
          <w:rFonts w:hint="eastAsia"/>
          <w:sz w:val="24"/>
        </w:rPr>
        <w:t xml:space="preserve"> the private sector</w:t>
      </w:r>
      <w:r>
        <w:rPr>
          <w:sz w:val="24"/>
        </w:rPr>
        <w:t xml:space="preserve"> and</w:t>
      </w:r>
      <w:r>
        <w:rPr>
          <w:rFonts w:hint="eastAsia"/>
          <w:sz w:val="24"/>
        </w:rPr>
        <w:t xml:space="preserve"> small and micro enterprises</w:t>
      </w:r>
      <w:r>
        <w:rPr>
          <w:sz w:val="24"/>
        </w:rPr>
        <w:t>,</w:t>
      </w:r>
      <w:r>
        <w:rPr>
          <w:rFonts w:hint="eastAsia"/>
          <w:sz w:val="24"/>
        </w:rPr>
        <w:t xml:space="preserve"> was deepened.</w:t>
      </w:r>
      <w:r>
        <w:rPr>
          <w:sz w:val="24"/>
        </w:rPr>
        <w:t xml:space="preserve"> Through </w:t>
      </w:r>
      <w:r>
        <w:rPr>
          <w:rFonts w:hint="eastAsia"/>
          <w:sz w:val="24"/>
        </w:rPr>
        <w:t xml:space="preserve">measures such as </w:t>
      </w:r>
      <w:r>
        <w:rPr>
          <w:sz w:val="24"/>
        </w:rPr>
        <w:t>targeted RRR cuts,</w:t>
      </w:r>
      <w:r>
        <w:rPr>
          <w:rFonts w:hint="eastAsia"/>
          <w:sz w:val="24"/>
        </w:rPr>
        <w:t xml:space="preserve"> raising </w:t>
      </w:r>
      <w:r>
        <w:rPr>
          <w:sz w:val="24"/>
        </w:rPr>
        <w:t xml:space="preserve">the quotas on central-bank lending, central-bank discounts, and </w:t>
      </w:r>
      <w:r>
        <w:rPr>
          <w:rFonts w:hint="eastAsia"/>
          <w:sz w:val="24"/>
        </w:rPr>
        <w:t xml:space="preserve">credit policies, </w:t>
      </w:r>
      <w:r>
        <w:rPr>
          <w:sz w:val="24"/>
        </w:rPr>
        <w:lastRenderedPageBreak/>
        <w:t xml:space="preserve">financial institutions were encouraged to </w:t>
      </w:r>
      <w:r>
        <w:rPr>
          <w:rFonts w:hint="eastAsia"/>
          <w:sz w:val="24"/>
        </w:rPr>
        <w:t>inject cash into small and micro enterprises, private enterprises</w:t>
      </w:r>
      <w:r>
        <w:rPr>
          <w:sz w:val="24"/>
        </w:rPr>
        <w:t>,</w:t>
      </w:r>
      <w:r>
        <w:rPr>
          <w:rFonts w:hint="eastAsia"/>
          <w:sz w:val="24"/>
        </w:rPr>
        <w:t xml:space="preserve"> and innovative enterprises. </w:t>
      </w:r>
      <w:r>
        <w:rPr>
          <w:sz w:val="24"/>
        </w:rPr>
        <w:t>The f</w:t>
      </w:r>
      <w:r>
        <w:rPr>
          <w:rFonts w:hint="eastAsia"/>
          <w:sz w:val="24"/>
        </w:rPr>
        <w:t xml:space="preserve">inancing of small and micro enterprises was included in the </w:t>
      </w:r>
      <w:r>
        <w:rPr>
          <w:sz w:val="24"/>
        </w:rPr>
        <w:t>indices evaluating the</w:t>
      </w:r>
      <w:r>
        <w:rPr>
          <w:rFonts w:hint="eastAsia"/>
          <w:sz w:val="24"/>
        </w:rPr>
        <w:t xml:space="preserve"> macro-prudential assessment (MPA). </w:t>
      </w:r>
      <w:r>
        <w:rPr>
          <w:sz w:val="24"/>
        </w:rPr>
        <w:t>I</w:t>
      </w:r>
      <w:r>
        <w:rPr>
          <w:rFonts w:hint="eastAsia"/>
          <w:sz w:val="24"/>
        </w:rPr>
        <w:t xml:space="preserve">mplementation of instruments supporting bond financing for private enterprises was promoted, providing credit-enhancing support for private enterprises that </w:t>
      </w:r>
      <w:r>
        <w:rPr>
          <w:sz w:val="24"/>
        </w:rPr>
        <w:t xml:space="preserve">faced difficulties in issuing bonds. </w:t>
      </w:r>
      <w:r>
        <w:rPr>
          <w:rFonts w:hint="eastAsia"/>
          <w:sz w:val="24"/>
        </w:rPr>
        <w:t xml:space="preserve">Third, macro-prudential policies were adjusted and improved in a timely manner. The PBC maintained </w:t>
      </w:r>
      <w:r>
        <w:rPr>
          <w:sz w:val="24"/>
        </w:rPr>
        <w:t xml:space="preserve">a flexible </w:t>
      </w:r>
      <w:r>
        <w:rPr>
          <w:rFonts w:hint="eastAsia"/>
          <w:sz w:val="24"/>
        </w:rPr>
        <w:t xml:space="preserve">RMB exchange rate, put into play the role of macro-prudential policies, increased the reserve requirement for </w:t>
      </w:r>
      <w:r>
        <w:rPr>
          <w:sz w:val="24"/>
        </w:rPr>
        <w:t>foreign-exchange</w:t>
      </w:r>
      <w:r>
        <w:rPr>
          <w:rFonts w:hint="eastAsia"/>
          <w:sz w:val="24"/>
        </w:rPr>
        <w:t xml:space="preserve"> forward transactions from 0 to 20 percent, resumed the use of </w:t>
      </w:r>
      <w:r>
        <w:rPr>
          <w:sz w:val="24"/>
        </w:rPr>
        <w:t>“</w:t>
      </w:r>
      <w:r>
        <w:rPr>
          <w:rFonts w:hint="eastAsia"/>
          <w:sz w:val="24"/>
        </w:rPr>
        <w:t>counter-cyclical factor</w:t>
      </w:r>
      <w:r>
        <w:rPr>
          <w:sz w:val="24"/>
        </w:rPr>
        <w:t>s”</w:t>
      </w:r>
      <w:r>
        <w:rPr>
          <w:rFonts w:hint="eastAsia"/>
          <w:sz w:val="24"/>
        </w:rPr>
        <w:t xml:space="preserve"> in the pricing of the RMB central parity, and issued central</w:t>
      </w:r>
      <w:r>
        <w:rPr>
          <w:sz w:val="24"/>
        </w:rPr>
        <w:t>-</w:t>
      </w:r>
      <w:r>
        <w:rPr>
          <w:rFonts w:hint="eastAsia"/>
          <w:sz w:val="24"/>
        </w:rPr>
        <w:t xml:space="preserve">bank bills in Hong Kong. </w:t>
      </w:r>
      <w:r>
        <w:rPr>
          <w:sz w:val="24"/>
        </w:rPr>
        <w:t xml:space="preserve">The </w:t>
      </w:r>
      <w:r>
        <w:rPr>
          <w:rFonts w:hint="eastAsia"/>
          <w:i/>
          <w:iCs/>
          <w:sz w:val="24"/>
        </w:rPr>
        <w:t>Notice on Further Clarifyin</w:t>
      </w:r>
      <w:r>
        <w:rPr>
          <w:i/>
          <w:iCs/>
          <w:sz w:val="24"/>
        </w:rPr>
        <w:t>g</w:t>
      </w:r>
      <w:r>
        <w:rPr>
          <w:rFonts w:hint="eastAsia"/>
          <w:i/>
          <w:iCs/>
          <w:sz w:val="24"/>
        </w:rPr>
        <w:t xml:space="preserve"> Matters Related to the Guiding Opinions for Regulating</w:t>
      </w:r>
      <w:r>
        <w:rPr>
          <w:i/>
          <w:iCs/>
          <w:sz w:val="24"/>
        </w:rPr>
        <w:t xml:space="preserve"> the</w:t>
      </w:r>
      <w:r>
        <w:rPr>
          <w:rFonts w:hint="eastAsia"/>
          <w:i/>
          <w:iCs/>
          <w:sz w:val="24"/>
        </w:rPr>
        <w:t xml:space="preserve"> Asset Management Business of Financial Institutions</w:t>
      </w:r>
      <w:r>
        <w:rPr>
          <w:rFonts w:hint="eastAsia"/>
          <w:sz w:val="24"/>
        </w:rPr>
        <w:t xml:space="preserve"> was issued, which aimed to promote steady implementation of the new asset management regulations. </w:t>
      </w:r>
      <w:r>
        <w:rPr>
          <w:sz w:val="24"/>
        </w:rPr>
        <w:t xml:space="preserve">By </w:t>
      </w:r>
      <w:r>
        <w:rPr>
          <w:rFonts w:hint="eastAsia"/>
          <w:sz w:val="24"/>
        </w:rPr>
        <w:t xml:space="preserve">optimizing the MPA index structure, financial institutions were encouraged to implement work related </w:t>
      </w:r>
      <w:r>
        <w:rPr>
          <w:sz w:val="24"/>
        </w:rPr>
        <w:t>to</w:t>
      </w:r>
      <w:r>
        <w:rPr>
          <w:rFonts w:hint="eastAsia"/>
          <w:sz w:val="24"/>
        </w:rPr>
        <w:t xml:space="preserve"> the new asset management regulations and </w:t>
      </w:r>
      <w:r>
        <w:rPr>
          <w:sz w:val="24"/>
        </w:rPr>
        <w:t xml:space="preserve">the </w:t>
      </w:r>
      <w:r>
        <w:rPr>
          <w:rFonts w:hint="eastAsia"/>
          <w:sz w:val="24"/>
        </w:rPr>
        <w:t>debt-to-equity swap</w:t>
      </w:r>
      <w:r>
        <w:rPr>
          <w:sz w:val="24"/>
        </w:rPr>
        <w:t>s</w:t>
      </w:r>
      <w:r>
        <w:rPr>
          <w:rFonts w:hint="eastAsia"/>
          <w:sz w:val="24"/>
        </w:rPr>
        <w:t>.</w:t>
      </w:r>
    </w:p>
    <w:p w:rsidR="00E86627" w:rsidRDefault="00E86627" w:rsidP="00E86627">
      <w:pPr>
        <w:spacing w:line="360" w:lineRule="auto"/>
        <w:rPr>
          <w:sz w:val="24"/>
        </w:rPr>
      </w:pPr>
    </w:p>
    <w:p w:rsidR="00E86627" w:rsidRDefault="00E86627" w:rsidP="00E86627">
      <w:pPr>
        <w:spacing w:line="391" w:lineRule="auto"/>
        <w:rPr>
          <w:kern w:val="0"/>
          <w:sz w:val="24"/>
        </w:rPr>
      </w:pPr>
      <w:r>
        <w:rPr>
          <w:rFonts w:hint="eastAsia"/>
          <w:kern w:val="0"/>
          <w:sz w:val="24"/>
        </w:rPr>
        <w:t>T</w:t>
      </w:r>
      <w:r>
        <w:rPr>
          <w:sz w:val="24"/>
        </w:rPr>
        <w:t>he sound and neutral monetary policy produced fairly good results. Liquidity in the banking system</w:t>
      </w:r>
      <w:r>
        <w:rPr>
          <w:rFonts w:hint="eastAsia"/>
          <w:sz w:val="24"/>
        </w:rPr>
        <w:t xml:space="preserve"> remained</w:t>
      </w:r>
      <w:r>
        <w:rPr>
          <w:sz w:val="24"/>
        </w:rPr>
        <w:t xml:space="preserve"> reasonable and adequate,</w:t>
      </w:r>
      <w:r>
        <w:rPr>
          <w:rFonts w:hint="eastAsia"/>
          <w:sz w:val="24"/>
        </w:rPr>
        <w:t xml:space="preserve"> the liquidity structure of commercial banks and the financial market was optimized, and</w:t>
      </w:r>
      <w:r>
        <w:rPr>
          <w:sz w:val="24"/>
        </w:rPr>
        <w:t xml:space="preserve"> as a whole the terminal interest rate</w:t>
      </w:r>
      <w:r>
        <w:rPr>
          <w:rFonts w:hint="eastAsia"/>
          <w:sz w:val="24"/>
        </w:rPr>
        <w:t xml:space="preserve"> of the money market</w:t>
      </w:r>
      <w:r>
        <w:rPr>
          <w:sz w:val="24"/>
        </w:rPr>
        <w:t xml:space="preserve"> declined. </w:t>
      </w:r>
      <w:r>
        <w:rPr>
          <w:rFonts w:hint="eastAsia"/>
          <w:sz w:val="24"/>
        </w:rPr>
        <w:t xml:space="preserve">Financial support to the real economy, </w:t>
      </w:r>
      <w:r>
        <w:rPr>
          <w:sz w:val="24"/>
        </w:rPr>
        <w:t>especially</w:t>
      </w:r>
      <w:r>
        <w:rPr>
          <w:rFonts w:hint="eastAsia"/>
          <w:sz w:val="24"/>
        </w:rPr>
        <w:t xml:space="preserve"> to the private sector and small and micro </w:t>
      </w:r>
      <w:r>
        <w:rPr>
          <w:sz w:val="24"/>
        </w:rPr>
        <w:t>enterprises,</w:t>
      </w:r>
      <w:r>
        <w:rPr>
          <w:rFonts w:hint="eastAsia"/>
          <w:sz w:val="24"/>
        </w:rPr>
        <w:t xml:space="preserve"> remained rather stable. Loans </w:t>
      </w:r>
      <w:r>
        <w:rPr>
          <w:sz w:val="24"/>
        </w:rPr>
        <w:t>by</w:t>
      </w:r>
      <w:r>
        <w:rPr>
          <w:rFonts w:hint="eastAsia"/>
          <w:sz w:val="24"/>
        </w:rPr>
        <w:t xml:space="preserve"> financial institutions grew at a relatively fast pace and the credit structure continued to improve. </w:t>
      </w:r>
      <w:r>
        <w:rPr>
          <w:sz w:val="24"/>
        </w:rPr>
        <w:t>Money</w:t>
      </w:r>
      <w:r>
        <w:rPr>
          <w:rFonts w:hint="eastAsia"/>
          <w:sz w:val="24"/>
        </w:rPr>
        <w:t xml:space="preserve"> supply </w:t>
      </w:r>
      <w:r>
        <w:rPr>
          <w:sz w:val="24"/>
        </w:rPr>
        <w:t>and all-system financing aggregate</w:t>
      </w:r>
      <w:r>
        <w:rPr>
          <w:rFonts w:hint="eastAsia"/>
          <w:sz w:val="24"/>
        </w:rPr>
        <w:t>s steadily increased. T</w:t>
      </w:r>
      <w:r>
        <w:rPr>
          <w:sz w:val="24"/>
        </w:rPr>
        <w:t xml:space="preserve">he </w:t>
      </w:r>
      <w:r>
        <w:rPr>
          <w:rFonts w:hint="eastAsia"/>
          <w:sz w:val="24"/>
        </w:rPr>
        <w:t xml:space="preserve">RMB </w:t>
      </w:r>
      <w:r>
        <w:rPr>
          <w:sz w:val="24"/>
        </w:rPr>
        <w:t xml:space="preserve">exchange rate </w:t>
      </w:r>
      <w:r>
        <w:rPr>
          <w:rFonts w:hint="eastAsia"/>
          <w:sz w:val="24"/>
        </w:rPr>
        <w:t xml:space="preserve">remained basically </w:t>
      </w:r>
      <w:r>
        <w:rPr>
          <w:sz w:val="24"/>
        </w:rPr>
        <w:t>stab</w:t>
      </w:r>
      <w:r>
        <w:rPr>
          <w:rFonts w:hint="eastAsia"/>
          <w:sz w:val="24"/>
        </w:rPr>
        <w:t>le</w:t>
      </w:r>
      <w:r>
        <w:rPr>
          <w:sz w:val="24"/>
        </w:rPr>
        <w:t xml:space="preserve"> at an appropriate and equilibrium level</w:t>
      </w:r>
      <w:r>
        <w:rPr>
          <w:rFonts w:hint="eastAsia"/>
          <w:sz w:val="24"/>
        </w:rPr>
        <w:t>. Good resul</w:t>
      </w:r>
      <w:r>
        <w:rPr>
          <w:sz w:val="24"/>
        </w:rPr>
        <w:t>ts were</w:t>
      </w:r>
      <w:r>
        <w:rPr>
          <w:rFonts w:hint="eastAsia"/>
          <w:sz w:val="24"/>
        </w:rPr>
        <w:t xml:space="preserve"> achieved </w:t>
      </w:r>
      <w:r>
        <w:rPr>
          <w:sz w:val="24"/>
        </w:rPr>
        <w:t>to prevent</w:t>
      </w:r>
      <w:r>
        <w:rPr>
          <w:rFonts w:hint="eastAsia"/>
          <w:sz w:val="24"/>
        </w:rPr>
        <w:t xml:space="preserve"> financial risks. </w:t>
      </w:r>
      <w:r>
        <w:rPr>
          <w:sz w:val="24"/>
        </w:rPr>
        <w:t>In general, t</w:t>
      </w:r>
      <w:r>
        <w:rPr>
          <w:rFonts w:hint="eastAsia"/>
          <w:sz w:val="24"/>
        </w:rPr>
        <w:t xml:space="preserve">he financial market performed well, the macro leverage ratio </w:t>
      </w:r>
      <w:r>
        <w:rPr>
          <w:rFonts w:hint="eastAsia"/>
          <w:sz w:val="24"/>
        </w:rPr>
        <w:lastRenderedPageBreak/>
        <w:t>gradually stabilized, and market confidence</w:t>
      </w:r>
      <w:r>
        <w:rPr>
          <w:sz w:val="24"/>
        </w:rPr>
        <w:t xml:space="preserve"> was</w:t>
      </w:r>
      <w:r>
        <w:rPr>
          <w:rFonts w:hint="eastAsia"/>
          <w:sz w:val="24"/>
        </w:rPr>
        <w:t xml:space="preserve"> strengthened. </w:t>
      </w:r>
      <w:r>
        <w:rPr>
          <w:sz w:val="24"/>
        </w:rPr>
        <w:t xml:space="preserve">Beginning in 2018, growth of </w:t>
      </w:r>
      <w:r>
        <w:rPr>
          <w:rFonts w:hint="eastAsia"/>
          <w:sz w:val="24"/>
        </w:rPr>
        <w:t xml:space="preserve">broad money </w:t>
      </w:r>
      <w:r>
        <w:rPr>
          <w:sz w:val="24"/>
        </w:rPr>
        <w:t>M2 remained above 8 percent. At end-</w:t>
      </w:r>
      <w:r>
        <w:rPr>
          <w:rFonts w:hint="eastAsia"/>
          <w:sz w:val="24"/>
        </w:rPr>
        <w:t>September</w:t>
      </w:r>
      <w:r>
        <w:rPr>
          <w:sz w:val="24"/>
        </w:rPr>
        <w:t>, outsta</w:t>
      </w:r>
      <w:r>
        <w:rPr>
          <w:rFonts w:hint="eastAsia"/>
          <w:sz w:val="24"/>
        </w:rPr>
        <w:t>n</w:t>
      </w:r>
      <w:r>
        <w:rPr>
          <w:sz w:val="24"/>
        </w:rPr>
        <w:t>ding M2 was growing by 8.</w:t>
      </w:r>
      <w:r>
        <w:rPr>
          <w:rFonts w:hint="eastAsia"/>
          <w:sz w:val="24"/>
        </w:rPr>
        <w:t>3</w:t>
      </w:r>
      <w:r>
        <w:rPr>
          <w:sz w:val="24"/>
        </w:rPr>
        <w:t xml:space="preserve"> percent year on year. The outstanding volume of RMB loans was up 1</w:t>
      </w:r>
      <w:r>
        <w:rPr>
          <w:rFonts w:hint="eastAsia"/>
          <w:sz w:val="24"/>
        </w:rPr>
        <w:t>3</w:t>
      </w:r>
      <w:r>
        <w:rPr>
          <w:sz w:val="24"/>
        </w:rPr>
        <w:t>.</w:t>
      </w:r>
      <w:r>
        <w:rPr>
          <w:rFonts w:hint="eastAsia"/>
          <w:sz w:val="24"/>
        </w:rPr>
        <w:t>2</w:t>
      </w:r>
      <w:r>
        <w:rPr>
          <w:sz w:val="24"/>
        </w:rPr>
        <w:t xml:space="preserve"> percent year on year, representing an increase of RMB </w:t>
      </w:r>
      <w:r>
        <w:rPr>
          <w:rFonts w:hint="eastAsia"/>
          <w:sz w:val="24"/>
        </w:rPr>
        <w:t>13.1</w:t>
      </w:r>
      <w:r>
        <w:rPr>
          <w:sz w:val="24"/>
        </w:rPr>
        <w:t xml:space="preserve"> trillion from the beginning of the year and a</w:t>
      </w:r>
      <w:r>
        <w:rPr>
          <w:rFonts w:hint="eastAsia"/>
          <w:sz w:val="24"/>
        </w:rPr>
        <w:t>n</w:t>
      </w:r>
      <w:r>
        <w:rPr>
          <w:sz w:val="24"/>
        </w:rPr>
        <w:t xml:space="preserve"> acceleration of RMB </w:t>
      </w:r>
      <w:r>
        <w:rPr>
          <w:rFonts w:hint="eastAsia"/>
          <w:sz w:val="24"/>
        </w:rPr>
        <w:t xml:space="preserve">2.0 </w:t>
      </w:r>
      <w:r>
        <w:rPr>
          <w:sz w:val="24"/>
        </w:rPr>
        <w:t>trillion</w:t>
      </w:r>
      <w:r>
        <w:rPr>
          <w:rFonts w:hint="eastAsia"/>
          <w:sz w:val="24"/>
        </w:rPr>
        <w:t xml:space="preserve"> compared with that in the previous year</w:t>
      </w:r>
      <w:r>
        <w:rPr>
          <w:sz w:val="24"/>
        </w:rPr>
        <w:t xml:space="preserve"> </w:t>
      </w:r>
      <w:r>
        <w:rPr>
          <w:rFonts w:hint="eastAsia"/>
          <w:sz w:val="24"/>
        </w:rPr>
        <w:t xml:space="preserve">and a substantial rise compared with the </w:t>
      </w:r>
      <w:r>
        <w:rPr>
          <w:sz w:val="24"/>
        </w:rPr>
        <w:t>acceleration</w:t>
      </w:r>
      <w:r>
        <w:rPr>
          <w:rFonts w:hint="eastAsia"/>
          <w:sz w:val="24"/>
        </w:rPr>
        <w:t xml:space="preserve"> of RMB 878.2 billion in 2017. </w:t>
      </w:r>
      <w:r>
        <w:rPr>
          <w:sz w:val="24"/>
        </w:rPr>
        <w:t xml:space="preserve">The stock of all-system financing aggregates grew by </w:t>
      </w:r>
      <w:r>
        <w:rPr>
          <w:rFonts w:hint="eastAsia"/>
          <w:sz w:val="24"/>
        </w:rPr>
        <w:t>10.6</w:t>
      </w:r>
      <w:r>
        <w:rPr>
          <w:sz w:val="24"/>
        </w:rPr>
        <w:t xml:space="preserve"> percent year on year. In </w:t>
      </w:r>
      <w:r>
        <w:rPr>
          <w:rFonts w:hint="eastAsia"/>
          <w:sz w:val="24"/>
        </w:rPr>
        <w:t>September</w:t>
      </w:r>
      <w:r>
        <w:rPr>
          <w:sz w:val="24"/>
        </w:rPr>
        <w:t>, the weighted average interest rate on loans to non-financial enterprises and other sectors was 5.9</w:t>
      </w:r>
      <w:r>
        <w:rPr>
          <w:rFonts w:hint="eastAsia"/>
          <w:sz w:val="24"/>
        </w:rPr>
        <w:t>4</w:t>
      </w:r>
      <w:r>
        <w:rPr>
          <w:sz w:val="24"/>
        </w:rPr>
        <w:t xml:space="preserve"> percent. </w:t>
      </w:r>
      <w:r>
        <w:rPr>
          <w:rFonts w:eastAsia="楷体_GB2312"/>
          <w:kern w:val="0"/>
          <w:sz w:val="24"/>
        </w:rPr>
        <w:t>At end-</w:t>
      </w:r>
      <w:r>
        <w:rPr>
          <w:rFonts w:hint="eastAsia"/>
          <w:kern w:val="0"/>
          <w:sz w:val="24"/>
        </w:rPr>
        <w:t>September</w:t>
      </w:r>
      <w:r>
        <w:rPr>
          <w:rFonts w:eastAsia="楷体_GB2312"/>
          <w:kern w:val="0"/>
          <w:sz w:val="24"/>
        </w:rPr>
        <w:t xml:space="preserve">, the CFETS RMB exchange-rate index was </w:t>
      </w:r>
      <w:r>
        <w:rPr>
          <w:kern w:val="0"/>
          <w:sz w:val="24"/>
        </w:rPr>
        <w:t>9</w:t>
      </w:r>
      <w:r>
        <w:rPr>
          <w:rFonts w:hint="eastAsia"/>
          <w:kern w:val="0"/>
          <w:sz w:val="24"/>
        </w:rPr>
        <w:t>2.35</w:t>
      </w:r>
      <w:r>
        <w:rPr>
          <w:kern w:val="0"/>
          <w:sz w:val="24"/>
        </w:rPr>
        <w:t xml:space="preserve">, and </w:t>
      </w:r>
      <w:r>
        <w:rPr>
          <w:rFonts w:eastAsia="楷体_GB2312"/>
          <w:kern w:val="0"/>
          <w:sz w:val="24"/>
        </w:rPr>
        <w:t>the central parity of the RMB against the USD was RMB 6.</w:t>
      </w:r>
      <w:r>
        <w:rPr>
          <w:rFonts w:eastAsia="楷体_GB2312" w:hint="eastAsia"/>
          <w:kern w:val="0"/>
          <w:sz w:val="24"/>
        </w:rPr>
        <w:t>8792</w:t>
      </w:r>
      <w:r>
        <w:rPr>
          <w:kern w:val="0"/>
          <w:sz w:val="24"/>
        </w:rPr>
        <w:t xml:space="preserve"> per USD</w:t>
      </w:r>
      <w:r>
        <w:rPr>
          <w:rFonts w:eastAsia="楷体_GB2312"/>
          <w:kern w:val="0"/>
          <w:sz w:val="24"/>
        </w:rPr>
        <w:t>.</w:t>
      </w:r>
      <w:r>
        <w:rPr>
          <w:kern w:val="0"/>
          <w:sz w:val="24"/>
        </w:rPr>
        <w:t xml:space="preserve"> </w:t>
      </w:r>
      <w:r>
        <w:rPr>
          <w:rFonts w:hint="eastAsia"/>
          <w:kern w:val="0"/>
          <w:sz w:val="24"/>
        </w:rPr>
        <w:t>During</w:t>
      </w:r>
      <w:r>
        <w:rPr>
          <w:kern w:val="0"/>
          <w:sz w:val="24"/>
        </w:rPr>
        <w:t xml:space="preserve"> the first </w:t>
      </w:r>
      <w:r>
        <w:rPr>
          <w:rFonts w:hint="eastAsia"/>
          <w:kern w:val="0"/>
          <w:sz w:val="24"/>
        </w:rPr>
        <w:t>three quarters</w:t>
      </w:r>
      <w:r>
        <w:rPr>
          <w:kern w:val="0"/>
          <w:sz w:val="24"/>
        </w:rPr>
        <w:t xml:space="preserve"> of 2018, </w:t>
      </w:r>
      <w:r>
        <w:rPr>
          <w:rFonts w:eastAsia="楷体_GB2312"/>
          <w:kern w:val="0"/>
          <w:sz w:val="24"/>
        </w:rPr>
        <w:t>the central parity of the RMB against the USD</w:t>
      </w:r>
      <w:r>
        <w:rPr>
          <w:kern w:val="0"/>
          <w:sz w:val="24"/>
        </w:rPr>
        <w:t xml:space="preserve"> witnessed an annualized fluctuation of 4.</w:t>
      </w:r>
      <w:r>
        <w:rPr>
          <w:rFonts w:hint="eastAsia"/>
          <w:kern w:val="0"/>
          <w:sz w:val="24"/>
        </w:rPr>
        <w:t>2</w:t>
      </w:r>
      <w:r>
        <w:rPr>
          <w:kern w:val="0"/>
          <w:sz w:val="24"/>
        </w:rPr>
        <w:t xml:space="preserve"> percent. </w:t>
      </w:r>
    </w:p>
    <w:p w:rsidR="00E86627" w:rsidRDefault="00E86627" w:rsidP="00E86627">
      <w:pPr>
        <w:spacing w:line="360" w:lineRule="auto"/>
        <w:rPr>
          <w:kern w:val="0"/>
          <w:sz w:val="24"/>
        </w:rPr>
      </w:pPr>
    </w:p>
    <w:p w:rsidR="00E86627" w:rsidRDefault="00E86627" w:rsidP="00E86627">
      <w:pPr>
        <w:spacing w:line="360" w:lineRule="auto"/>
        <w:rPr>
          <w:sz w:val="24"/>
        </w:rPr>
      </w:pPr>
      <w:r>
        <w:rPr>
          <w:rFonts w:hint="eastAsia"/>
          <w:sz w:val="24"/>
        </w:rPr>
        <w:t xml:space="preserve">At the current juncture, </w:t>
      </w:r>
      <w:r>
        <w:rPr>
          <w:sz w:val="24"/>
        </w:rPr>
        <w:t>the</w:t>
      </w:r>
      <w:r>
        <w:rPr>
          <w:rFonts w:hint="eastAsia"/>
          <w:sz w:val="24"/>
        </w:rPr>
        <w:t xml:space="preserve"> Chinese</w:t>
      </w:r>
      <w:r>
        <w:rPr>
          <w:sz w:val="24"/>
        </w:rPr>
        <w:t xml:space="preserve"> economy has </w:t>
      </w:r>
      <w:r>
        <w:rPr>
          <w:rFonts w:hint="eastAsia"/>
          <w:sz w:val="24"/>
        </w:rPr>
        <w:t xml:space="preserve">been transitioning from a high-speed </w:t>
      </w:r>
      <w:r>
        <w:rPr>
          <w:sz w:val="24"/>
        </w:rPr>
        <w:t>g</w:t>
      </w:r>
      <w:r>
        <w:rPr>
          <w:rFonts w:hint="eastAsia"/>
          <w:sz w:val="24"/>
        </w:rPr>
        <w:t xml:space="preserve">rowth </w:t>
      </w:r>
      <w:r>
        <w:rPr>
          <w:sz w:val="24"/>
        </w:rPr>
        <w:t xml:space="preserve">stage </w:t>
      </w:r>
      <w:r>
        <w:rPr>
          <w:rFonts w:hint="eastAsia"/>
          <w:sz w:val="24"/>
        </w:rPr>
        <w:t xml:space="preserve">to </w:t>
      </w:r>
      <w:r>
        <w:rPr>
          <w:sz w:val="24"/>
        </w:rPr>
        <w:t xml:space="preserve">a </w:t>
      </w:r>
      <w:r>
        <w:rPr>
          <w:rFonts w:hint="eastAsia"/>
          <w:sz w:val="24"/>
        </w:rPr>
        <w:t>high-quality development</w:t>
      </w:r>
      <w:r>
        <w:rPr>
          <w:sz w:val="24"/>
        </w:rPr>
        <w:t xml:space="preserve"> stage</w:t>
      </w:r>
      <w:r>
        <w:rPr>
          <w:rFonts w:hint="eastAsia"/>
          <w:sz w:val="24"/>
        </w:rPr>
        <w:t xml:space="preserve">, </w:t>
      </w:r>
      <w:r>
        <w:rPr>
          <w:sz w:val="24"/>
        </w:rPr>
        <w:t>while the</w:t>
      </w:r>
      <w:r>
        <w:rPr>
          <w:rFonts w:hint="eastAsia"/>
          <w:sz w:val="24"/>
        </w:rPr>
        <w:t xml:space="preserve"> external environment has also undergone profound changes. </w:t>
      </w:r>
      <w:r>
        <w:rPr>
          <w:sz w:val="24"/>
        </w:rPr>
        <w:t>In general, t</w:t>
      </w:r>
      <w:r>
        <w:rPr>
          <w:rFonts w:hint="eastAsia"/>
          <w:sz w:val="24"/>
        </w:rPr>
        <w:t>he global economy</w:t>
      </w:r>
      <w:r>
        <w:rPr>
          <w:sz w:val="24"/>
        </w:rPr>
        <w:t xml:space="preserve"> continued its recovery</w:t>
      </w:r>
      <w:r>
        <w:rPr>
          <w:rFonts w:hint="eastAsia"/>
          <w:sz w:val="24"/>
        </w:rPr>
        <w:t xml:space="preserve"> momentum. However, </w:t>
      </w:r>
      <w:r>
        <w:rPr>
          <w:sz w:val="24"/>
        </w:rPr>
        <w:t xml:space="preserve">differences existed in the </w:t>
      </w:r>
      <w:r>
        <w:rPr>
          <w:rFonts w:hint="eastAsia"/>
          <w:sz w:val="24"/>
        </w:rPr>
        <w:t xml:space="preserve">growth </w:t>
      </w:r>
      <w:r>
        <w:rPr>
          <w:sz w:val="24"/>
        </w:rPr>
        <w:t>of the various economies.</w:t>
      </w:r>
      <w:r>
        <w:rPr>
          <w:rFonts w:hint="eastAsia"/>
          <w:sz w:val="24"/>
        </w:rPr>
        <w:t xml:space="preserve"> As a result, global economic growth </w:t>
      </w:r>
      <w:r>
        <w:rPr>
          <w:sz w:val="24"/>
        </w:rPr>
        <w:t>became</w:t>
      </w:r>
      <w:r>
        <w:rPr>
          <w:rFonts w:hint="eastAsia"/>
          <w:sz w:val="24"/>
        </w:rPr>
        <w:t xml:space="preserve"> less synchronized and more vulnerable to financial instabilit</w:t>
      </w:r>
      <w:r>
        <w:rPr>
          <w:sz w:val="24"/>
        </w:rPr>
        <w:t>ies</w:t>
      </w:r>
      <w:r>
        <w:rPr>
          <w:rFonts w:hint="eastAsia"/>
          <w:sz w:val="24"/>
        </w:rPr>
        <w:t xml:space="preserve">. The Chinese economy has undergone some changes while maintaining stability. Positive changes have occurred in </w:t>
      </w:r>
      <w:r>
        <w:rPr>
          <w:sz w:val="24"/>
        </w:rPr>
        <w:t xml:space="preserve">terms of economic and financial </w:t>
      </w:r>
      <w:r>
        <w:rPr>
          <w:rFonts w:hint="eastAsia"/>
          <w:sz w:val="24"/>
        </w:rPr>
        <w:t>structural adjustment</w:t>
      </w:r>
      <w:r>
        <w:rPr>
          <w:sz w:val="24"/>
        </w:rPr>
        <w:t xml:space="preserve">s, </w:t>
      </w:r>
      <w:r>
        <w:rPr>
          <w:rFonts w:hint="eastAsia"/>
          <w:sz w:val="24"/>
        </w:rPr>
        <w:t xml:space="preserve">and market players have become more resilient. </w:t>
      </w:r>
      <w:r>
        <w:rPr>
          <w:sz w:val="24"/>
        </w:rPr>
        <w:t xml:space="preserve">However, </w:t>
      </w:r>
      <w:r>
        <w:rPr>
          <w:rFonts w:hint="eastAsia"/>
          <w:sz w:val="24"/>
        </w:rPr>
        <w:t xml:space="preserve">some enterprises still face many </w:t>
      </w:r>
      <w:r>
        <w:rPr>
          <w:sz w:val="24"/>
        </w:rPr>
        <w:t xml:space="preserve">operational </w:t>
      </w:r>
      <w:r>
        <w:rPr>
          <w:rFonts w:hint="eastAsia"/>
          <w:sz w:val="24"/>
        </w:rPr>
        <w:t>difficulties, some of the long-accumulat</w:t>
      </w:r>
      <w:r>
        <w:rPr>
          <w:sz w:val="24"/>
        </w:rPr>
        <w:t>ing</w:t>
      </w:r>
      <w:r>
        <w:rPr>
          <w:rFonts w:hint="eastAsia"/>
          <w:sz w:val="24"/>
        </w:rPr>
        <w:t xml:space="preserve"> potential risks have </w:t>
      </w:r>
      <w:r>
        <w:rPr>
          <w:sz w:val="24"/>
        </w:rPr>
        <w:t>become more obvious,</w:t>
      </w:r>
      <w:r>
        <w:rPr>
          <w:rFonts w:hint="eastAsia"/>
          <w:sz w:val="24"/>
        </w:rPr>
        <w:t xml:space="preserve"> downward pressures have built up, and the transmission of monetary policy still face</w:t>
      </w:r>
      <w:r>
        <w:rPr>
          <w:sz w:val="24"/>
        </w:rPr>
        <w:t>s</w:t>
      </w:r>
      <w:r>
        <w:rPr>
          <w:rFonts w:hint="eastAsia"/>
          <w:sz w:val="24"/>
        </w:rPr>
        <w:t xml:space="preserve"> some constraints. </w:t>
      </w:r>
    </w:p>
    <w:p w:rsidR="00E86627" w:rsidRDefault="00E86627" w:rsidP="00E86627">
      <w:pPr>
        <w:spacing w:line="360" w:lineRule="auto"/>
        <w:rPr>
          <w:sz w:val="24"/>
        </w:rPr>
      </w:pPr>
    </w:p>
    <w:p w:rsidR="00E86627" w:rsidRDefault="00E86627" w:rsidP="00E86627">
      <w:pPr>
        <w:spacing w:line="360" w:lineRule="auto"/>
        <w:rPr>
          <w:sz w:val="24"/>
        </w:rPr>
      </w:pPr>
      <w:r>
        <w:rPr>
          <w:sz w:val="24"/>
        </w:rPr>
        <w:t xml:space="preserve">Going forward, the PBC will continue to follow the overall arrangements of the CPC </w:t>
      </w:r>
      <w:r>
        <w:rPr>
          <w:sz w:val="24"/>
        </w:rPr>
        <w:lastRenderedPageBreak/>
        <w:t>Central Committee</w:t>
      </w:r>
      <w:r>
        <w:rPr>
          <w:rFonts w:hint="eastAsia"/>
          <w:sz w:val="24"/>
        </w:rPr>
        <w:t xml:space="preserve"> and</w:t>
      </w:r>
      <w:r>
        <w:rPr>
          <w:sz w:val="24"/>
        </w:rPr>
        <w:t xml:space="preserve"> the State Council,</w:t>
      </w:r>
      <w:r>
        <w:rPr>
          <w:rFonts w:hint="eastAsia"/>
          <w:sz w:val="24"/>
        </w:rPr>
        <w:t xml:space="preserve"> </w:t>
      </w:r>
      <w:r>
        <w:rPr>
          <w:sz w:val="24"/>
        </w:rPr>
        <w:t xml:space="preserve">pursue the overall principle of seeking progress while maintaining stability, implement the concept of new development, </w:t>
      </w:r>
      <w:r>
        <w:rPr>
          <w:rFonts w:hint="eastAsia"/>
          <w:sz w:val="24"/>
        </w:rPr>
        <w:t xml:space="preserve">grasp the major contradictions, closely </w:t>
      </w:r>
      <w:r>
        <w:rPr>
          <w:sz w:val="24"/>
        </w:rPr>
        <w:t xml:space="preserve">focus on </w:t>
      </w:r>
      <w:r>
        <w:rPr>
          <w:rFonts w:hint="eastAsia"/>
          <w:sz w:val="24"/>
        </w:rPr>
        <w:t xml:space="preserve">the </w:t>
      </w:r>
      <w:r>
        <w:rPr>
          <w:sz w:val="24"/>
        </w:rPr>
        <w:t>three tasks of serving the real economy, guarding against financial risks, and deepening financial reform,</w:t>
      </w:r>
      <w:r>
        <w:rPr>
          <w:rFonts w:hint="eastAsia"/>
          <w:sz w:val="24"/>
        </w:rPr>
        <w:t xml:space="preserve"> </w:t>
      </w:r>
      <w:r>
        <w:rPr>
          <w:sz w:val="24"/>
        </w:rPr>
        <w:t xml:space="preserve">maintain </w:t>
      </w:r>
      <w:r>
        <w:rPr>
          <w:rFonts w:hint="eastAsia"/>
          <w:sz w:val="24"/>
        </w:rPr>
        <w:t xml:space="preserve">a good balance among stabilizing growth, adjusting </w:t>
      </w:r>
      <w:r>
        <w:rPr>
          <w:sz w:val="24"/>
        </w:rPr>
        <w:t xml:space="preserve">the </w:t>
      </w:r>
      <w:r>
        <w:rPr>
          <w:rFonts w:hint="eastAsia"/>
          <w:sz w:val="24"/>
        </w:rPr>
        <w:t>structure</w:t>
      </w:r>
      <w:r>
        <w:rPr>
          <w:sz w:val="24"/>
        </w:rPr>
        <w:t>,</w:t>
      </w:r>
      <w:r>
        <w:rPr>
          <w:rFonts w:hint="eastAsia"/>
          <w:sz w:val="24"/>
        </w:rPr>
        <w:t xml:space="preserve"> and preventing risks, and </w:t>
      </w:r>
      <w:r>
        <w:rPr>
          <w:sz w:val="24"/>
        </w:rPr>
        <w:t>it will adopt innovative approaches to improve financial macro controls</w:t>
      </w:r>
      <w:r>
        <w:rPr>
          <w:rFonts w:hint="eastAsia"/>
          <w:sz w:val="24"/>
        </w:rPr>
        <w:t>. It will</w:t>
      </w:r>
      <w:r>
        <w:rPr>
          <w:sz w:val="24"/>
        </w:rPr>
        <w:t xml:space="preserve"> maintain policy consistency and stability, and it will introduce more </w:t>
      </w:r>
      <w:r>
        <w:rPr>
          <w:rFonts w:hint="eastAsia"/>
          <w:sz w:val="24"/>
        </w:rPr>
        <w:t>preemptive</w:t>
      </w:r>
      <w:r>
        <w:rPr>
          <w:sz w:val="24"/>
        </w:rPr>
        <w:t xml:space="preserve">, flexible, and </w:t>
      </w:r>
      <w:r>
        <w:rPr>
          <w:rFonts w:hint="eastAsia"/>
          <w:sz w:val="24"/>
        </w:rPr>
        <w:t>targeted</w:t>
      </w:r>
      <w:r>
        <w:rPr>
          <w:sz w:val="24"/>
        </w:rPr>
        <w:t xml:space="preserve"> policies. </w:t>
      </w:r>
      <w:r>
        <w:rPr>
          <w:rFonts w:hint="eastAsia"/>
          <w:sz w:val="24"/>
        </w:rPr>
        <w:t>It</w:t>
      </w:r>
      <w:r>
        <w:rPr>
          <w:sz w:val="24"/>
        </w:rPr>
        <w:t xml:space="preserve"> will improve</w:t>
      </w:r>
      <w:r>
        <w:rPr>
          <w:rFonts w:hint="eastAsia"/>
          <w:sz w:val="24"/>
        </w:rPr>
        <w:t xml:space="preserve"> </w:t>
      </w:r>
      <w:r>
        <w:rPr>
          <w:sz w:val="24"/>
        </w:rPr>
        <w:t>the two-pillar framework underpinned by monetary and macro-prudential policies</w:t>
      </w:r>
      <w:r>
        <w:rPr>
          <w:rFonts w:eastAsia="仿宋_GB2312"/>
          <w:sz w:val="24"/>
        </w:rPr>
        <w:t>,</w:t>
      </w:r>
      <w:r>
        <w:rPr>
          <w:rFonts w:eastAsia="仿宋_GB2312" w:hint="eastAsia"/>
          <w:sz w:val="24"/>
        </w:rPr>
        <w:t xml:space="preserve"> </w:t>
      </w:r>
      <w:r>
        <w:rPr>
          <w:sz w:val="24"/>
        </w:rPr>
        <w:t>maintain neutrality</w:t>
      </w:r>
      <w:r>
        <w:rPr>
          <w:rFonts w:hint="eastAsia"/>
          <w:sz w:val="24"/>
        </w:rPr>
        <w:t xml:space="preserve"> and</w:t>
      </w:r>
      <w:r>
        <w:rPr>
          <w:sz w:val="24"/>
        </w:rPr>
        <w:t xml:space="preserve"> the </w:t>
      </w:r>
      <w:r>
        <w:rPr>
          <w:rFonts w:hint="eastAsia"/>
          <w:sz w:val="24"/>
        </w:rPr>
        <w:t xml:space="preserve">appropriateness </w:t>
      </w:r>
      <w:r>
        <w:rPr>
          <w:sz w:val="24"/>
        </w:rPr>
        <w:t>of a sound monetary policy,</w:t>
      </w:r>
      <w:r>
        <w:rPr>
          <w:rFonts w:hint="eastAsia"/>
          <w:sz w:val="24"/>
        </w:rPr>
        <w:t xml:space="preserve"> </w:t>
      </w:r>
      <w:r>
        <w:rPr>
          <w:sz w:val="24"/>
        </w:rPr>
        <w:t xml:space="preserve">effectively </w:t>
      </w:r>
      <w:r>
        <w:rPr>
          <w:rFonts w:hint="eastAsia"/>
          <w:sz w:val="24"/>
        </w:rPr>
        <w:t>manage</w:t>
      </w:r>
      <w:r>
        <w:rPr>
          <w:sz w:val="24"/>
        </w:rPr>
        <w:t xml:space="preserve"> the money supply, achieve </w:t>
      </w:r>
      <w:r>
        <w:rPr>
          <w:rFonts w:hint="eastAsia"/>
          <w:sz w:val="24"/>
        </w:rPr>
        <w:t xml:space="preserve">a comprehensive balance among multiple targets, and </w:t>
      </w:r>
      <w:r>
        <w:rPr>
          <w:sz w:val="24"/>
        </w:rPr>
        <w:t>make preemptive adjustments and fine-tunings in line with market conditions</w:t>
      </w:r>
      <w:r>
        <w:rPr>
          <w:rFonts w:hint="eastAsia"/>
          <w:sz w:val="24"/>
        </w:rPr>
        <w:t>. It will further strengthen policy coordination</w:t>
      </w:r>
      <w:r>
        <w:rPr>
          <w:sz w:val="24"/>
        </w:rPr>
        <w:t xml:space="preserve"> </w:t>
      </w:r>
      <w:r>
        <w:rPr>
          <w:rFonts w:hint="eastAsia"/>
          <w:sz w:val="24"/>
        </w:rPr>
        <w:t xml:space="preserve">and </w:t>
      </w:r>
      <w:r>
        <w:rPr>
          <w:sz w:val="24"/>
        </w:rPr>
        <w:t xml:space="preserve">it will </w:t>
      </w:r>
      <w:r>
        <w:rPr>
          <w:rFonts w:hint="eastAsia"/>
          <w:sz w:val="24"/>
        </w:rPr>
        <w:t xml:space="preserve">improve the </w:t>
      </w:r>
      <w:r>
        <w:rPr>
          <w:sz w:val="24"/>
        </w:rPr>
        <w:t xml:space="preserve">monetary-policy </w:t>
      </w:r>
      <w:r>
        <w:rPr>
          <w:rFonts w:hint="eastAsia"/>
          <w:sz w:val="24"/>
        </w:rPr>
        <w:t xml:space="preserve">transmission channels. It will </w:t>
      </w:r>
      <w:r>
        <w:rPr>
          <w:rFonts w:eastAsia="仿宋_GB2312"/>
          <w:sz w:val="24"/>
        </w:rPr>
        <w:t xml:space="preserve">deepen </w:t>
      </w:r>
      <w:r>
        <w:rPr>
          <w:sz w:val="24"/>
        </w:rPr>
        <w:t xml:space="preserve">the </w:t>
      </w:r>
      <w:r>
        <w:rPr>
          <w:rFonts w:eastAsia="仿宋_GB2312"/>
          <w:sz w:val="24"/>
        </w:rPr>
        <w:t xml:space="preserve">market-based interest rate and the exchange-rate reforms, actively promote the opening-up of the financial sector in an orderly manner, introduce innovative monetary-policy </w:t>
      </w:r>
      <w:r>
        <w:rPr>
          <w:rFonts w:eastAsia="仿宋_GB2312" w:hint="eastAsia"/>
          <w:sz w:val="24"/>
        </w:rPr>
        <w:t>tools and mechanism</w:t>
      </w:r>
      <w:r>
        <w:rPr>
          <w:rFonts w:eastAsia="仿宋_GB2312"/>
          <w:sz w:val="24"/>
        </w:rPr>
        <w:t>s,</w:t>
      </w:r>
      <w:r>
        <w:rPr>
          <w:rFonts w:eastAsia="仿宋_GB2312" w:hint="eastAsia"/>
          <w:sz w:val="24"/>
        </w:rPr>
        <w:t xml:space="preserve"> and enhance </w:t>
      </w:r>
      <w:r>
        <w:rPr>
          <w:sz w:val="24"/>
        </w:rPr>
        <w:t>the ability and willingness of the financial system to serve the real economy</w:t>
      </w:r>
      <w:r>
        <w:rPr>
          <w:rFonts w:eastAsia="仿宋_GB2312"/>
          <w:sz w:val="24"/>
        </w:rPr>
        <w:t>.</w:t>
      </w:r>
      <w:r>
        <w:rPr>
          <w:rFonts w:eastAsia="仿宋_GB2312" w:hint="eastAsia"/>
          <w:sz w:val="24"/>
        </w:rPr>
        <w:t xml:space="preserve"> It will strike a good balance </w:t>
      </w:r>
      <w:r>
        <w:rPr>
          <w:rFonts w:eastAsia="仿宋_GB2312"/>
          <w:sz w:val="24"/>
        </w:rPr>
        <w:t>among</w:t>
      </w:r>
      <w:r>
        <w:rPr>
          <w:rFonts w:eastAsia="仿宋_GB2312" w:hint="eastAsia"/>
          <w:sz w:val="24"/>
        </w:rPr>
        <w:t xml:space="preserve"> stabilizing growth, deleveraging and tightened regulation, </w:t>
      </w:r>
      <w:r>
        <w:rPr>
          <w:sz w:val="24"/>
        </w:rPr>
        <w:t xml:space="preserve">win </w:t>
      </w:r>
      <w:r>
        <w:rPr>
          <w:kern w:val="0"/>
          <w:sz w:val="24"/>
        </w:rPr>
        <w:t>the uphill battle of preventing and resolving major financial risks, and s</w:t>
      </w:r>
      <w:r>
        <w:rPr>
          <w:sz w:val="24"/>
        </w:rPr>
        <w:t>afeguard the bottom line to prevent systemic financial risks</w:t>
      </w:r>
      <w:r>
        <w:rPr>
          <w:rFonts w:hint="eastAsia"/>
          <w:sz w:val="24"/>
        </w:rPr>
        <w:t xml:space="preserve">. It will focus on further deepening supply-side structural reforms, </w:t>
      </w:r>
      <w:r>
        <w:rPr>
          <w:sz w:val="24"/>
        </w:rPr>
        <w:t>allow for the</w:t>
      </w:r>
      <w:r>
        <w:rPr>
          <w:rFonts w:hint="eastAsia"/>
          <w:sz w:val="24"/>
        </w:rPr>
        <w:t xml:space="preserve"> </w:t>
      </w:r>
      <w:r>
        <w:rPr>
          <w:sz w:val="24"/>
        </w:rPr>
        <w:t xml:space="preserve">following </w:t>
      </w:r>
      <w:r>
        <w:rPr>
          <w:rFonts w:hint="eastAsia"/>
          <w:sz w:val="24"/>
        </w:rPr>
        <w:t xml:space="preserve">three undertakings </w:t>
      </w:r>
      <w:r>
        <w:rPr>
          <w:sz w:val="24"/>
        </w:rPr>
        <w:t xml:space="preserve">to be </w:t>
      </w:r>
      <w:r>
        <w:rPr>
          <w:rFonts w:hint="eastAsia"/>
          <w:sz w:val="24"/>
        </w:rPr>
        <w:t>mutually reinforc</w:t>
      </w:r>
      <w:r>
        <w:rPr>
          <w:sz w:val="24"/>
        </w:rPr>
        <w:t>ing,</w:t>
      </w:r>
      <w:r>
        <w:rPr>
          <w:rFonts w:hint="eastAsia"/>
          <w:sz w:val="24"/>
        </w:rPr>
        <w:t xml:space="preserve"> namely implementing a sound and neutral monetary policy, enhancing the vitality of micro entities</w:t>
      </w:r>
      <w:r>
        <w:rPr>
          <w:sz w:val="24"/>
        </w:rPr>
        <w:t>,</w:t>
      </w:r>
      <w:r>
        <w:rPr>
          <w:rFonts w:hint="eastAsia"/>
          <w:sz w:val="24"/>
        </w:rPr>
        <w:t xml:space="preserve"> and giving </w:t>
      </w:r>
      <w:r>
        <w:rPr>
          <w:sz w:val="24"/>
        </w:rPr>
        <w:t xml:space="preserve">full </w:t>
      </w:r>
      <w:r>
        <w:rPr>
          <w:rFonts w:hint="eastAsia"/>
          <w:sz w:val="24"/>
        </w:rPr>
        <w:t xml:space="preserve">play to the role of the capital market, </w:t>
      </w:r>
      <w:r>
        <w:rPr>
          <w:sz w:val="24"/>
        </w:rPr>
        <w:t>thereby</w:t>
      </w:r>
      <w:r>
        <w:rPr>
          <w:rFonts w:hint="eastAsia"/>
          <w:sz w:val="24"/>
        </w:rPr>
        <w:t xml:space="preserve"> </w:t>
      </w:r>
      <w:r>
        <w:rPr>
          <w:sz w:val="24"/>
        </w:rPr>
        <w:t xml:space="preserve">on the whole </w:t>
      </w:r>
      <w:r>
        <w:rPr>
          <w:rFonts w:hint="eastAsia"/>
          <w:sz w:val="24"/>
        </w:rPr>
        <w:t xml:space="preserve">promoting a virtuous circle </w:t>
      </w:r>
      <w:r>
        <w:rPr>
          <w:sz w:val="24"/>
        </w:rPr>
        <w:t>in</w:t>
      </w:r>
      <w:r>
        <w:rPr>
          <w:rFonts w:hint="eastAsia"/>
          <w:sz w:val="24"/>
        </w:rPr>
        <w:t xml:space="preserve"> the national economy</w:t>
      </w:r>
      <w:r>
        <w:rPr>
          <w:sz w:val="24"/>
        </w:rPr>
        <w:t>.</w:t>
      </w:r>
    </w:p>
    <w:p w:rsidR="00E86627" w:rsidRPr="005A32B7" w:rsidRDefault="00E86627" w:rsidP="00E86627">
      <w:bookmarkStart w:id="2" w:name="_GoBack"/>
      <w:bookmarkEnd w:id="2"/>
    </w:p>
    <w:p w:rsidR="00E86627" w:rsidRPr="00E86627" w:rsidRDefault="00E86627" w:rsidP="00E86627">
      <w:pPr>
        <w:spacing w:line="360" w:lineRule="auto"/>
        <w:rPr>
          <w:sz w:val="24"/>
        </w:rPr>
      </w:pPr>
    </w:p>
    <w:p w:rsidR="00E86627" w:rsidRDefault="00E86627" w:rsidP="00E86627">
      <w:pPr>
        <w:spacing w:line="360" w:lineRule="auto"/>
        <w:rPr>
          <w:sz w:val="24"/>
        </w:rPr>
      </w:pPr>
    </w:p>
    <w:p w:rsidR="00E86627" w:rsidRDefault="00E86627" w:rsidP="00E86627">
      <w:pPr>
        <w:spacing w:line="360" w:lineRule="auto"/>
        <w:rPr>
          <w:sz w:val="24"/>
        </w:rPr>
      </w:pPr>
    </w:p>
    <w:p w:rsidR="00E86627" w:rsidRDefault="00E86627" w:rsidP="00E86627">
      <w:pPr>
        <w:spacing w:line="360" w:lineRule="auto"/>
        <w:rPr>
          <w:sz w:val="24"/>
        </w:rPr>
      </w:pPr>
    </w:p>
    <w:p w:rsidR="00E86627" w:rsidRDefault="00E86627" w:rsidP="00E86627">
      <w:pPr>
        <w:spacing w:line="360" w:lineRule="auto"/>
        <w:rPr>
          <w:sz w:val="24"/>
        </w:rPr>
      </w:pPr>
    </w:p>
    <w:p w:rsidR="00566343" w:rsidRPr="009674D4" w:rsidRDefault="00E86627" w:rsidP="00145EBD">
      <w:pPr>
        <w:adjustRightInd w:val="0"/>
        <w:snapToGrid w:val="0"/>
        <w:spacing w:line="360" w:lineRule="auto"/>
        <w:ind w:firstLineChars="950" w:firstLine="3433"/>
        <w:rPr>
          <w:rStyle w:val="a9"/>
          <w:rFonts w:eastAsia="SimSun"/>
          <w:sz w:val="24"/>
          <w:szCs w:val="36"/>
        </w:rPr>
      </w:pPr>
      <w:bookmarkStart w:id="3" w:name="_Toc532201075"/>
      <w:r w:rsidRPr="00566343">
        <w:rPr>
          <w:rFonts w:eastAsia="黑体"/>
          <w:b/>
          <w:i/>
          <w:color w:val="000000"/>
          <w:kern w:val="0"/>
          <w:sz w:val="36"/>
        </w:rPr>
        <w:lastRenderedPageBreak/>
        <w:t>Contents</w:t>
      </w:r>
      <w:bookmarkEnd w:id="3"/>
      <w:r w:rsidR="002447A7" w:rsidRPr="002447A7">
        <w:rPr>
          <w:rFonts w:eastAsia="黑体"/>
          <w:b/>
          <w:i/>
          <w:color w:val="000000"/>
          <w:sz w:val="36"/>
        </w:rPr>
        <w:fldChar w:fldCharType="begin"/>
      </w:r>
      <w:r w:rsidRPr="00566343">
        <w:rPr>
          <w:rFonts w:eastAsia="黑体"/>
          <w:b/>
          <w:i/>
          <w:color w:val="000000"/>
          <w:kern w:val="0"/>
          <w:sz w:val="36"/>
        </w:rPr>
        <w:instrText xml:space="preserve"> TOC \o "1-2" \h \z \u </w:instrText>
      </w:r>
      <w:r w:rsidR="002447A7" w:rsidRPr="002447A7">
        <w:rPr>
          <w:rFonts w:eastAsia="黑体"/>
          <w:b/>
          <w:i/>
          <w:color w:val="000000"/>
          <w:sz w:val="36"/>
        </w:rPr>
        <w:fldChar w:fldCharType="separate"/>
      </w:r>
    </w:p>
    <w:p w:rsidR="00566343" w:rsidRPr="002E3175" w:rsidRDefault="002447A7" w:rsidP="00145EBD">
      <w:pPr>
        <w:pStyle w:val="1"/>
        <w:jc w:val="both"/>
        <w:rPr>
          <w:rStyle w:val="a9"/>
          <w:rFonts w:ascii="Times New Roman" w:eastAsia="SimSun"/>
          <w:b/>
          <w:sz w:val="24"/>
        </w:rPr>
      </w:pPr>
      <w:hyperlink w:anchor="_Toc532201076" w:history="1">
        <w:r w:rsidR="00566343" w:rsidRPr="002E3175">
          <w:rPr>
            <w:rStyle w:val="a9"/>
            <w:rFonts w:ascii="Times New Roman" w:eastAsia="SimSun"/>
            <w:b/>
            <w:sz w:val="24"/>
          </w:rPr>
          <w:t>Part 1. Money and Credit Analysis</w:t>
        </w:r>
        <w:r w:rsidR="00566343" w:rsidRPr="002E3175">
          <w:rPr>
            <w:rStyle w:val="a9"/>
            <w:rFonts w:ascii="Times New Roman" w:eastAsia="SimSun"/>
            <w:b/>
            <w:webHidden/>
            <w:sz w:val="24"/>
          </w:rPr>
          <w:tab/>
        </w:r>
        <w:r w:rsidRPr="002E3175">
          <w:rPr>
            <w:rStyle w:val="a9"/>
            <w:rFonts w:ascii="Times New Roman" w:eastAsia="SimSun"/>
            <w:b/>
            <w:webHidden/>
            <w:sz w:val="24"/>
          </w:rPr>
          <w:fldChar w:fldCharType="begin"/>
        </w:r>
        <w:r w:rsidR="00566343" w:rsidRPr="002E3175">
          <w:rPr>
            <w:rStyle w:val="a9"/>
            <w:rFonts w:ascii="Times New Roman" w:eastAsia="SimSun"/>
            <w:b/>
            <w:webHidden/>
            <w:sz w:val="24"/>
          </w:rPr>
          <w:instrText xml:space="preserve"> PAGEREF _Toc532201076 \h </w:instrText>
        </w:r>
        <w:r w:rsidRPr="002E3175">
          <w:rPr>
            <w:rStyle w:val="a9"/>
            <w:rFonts w:ascii="Times New Roman" w:eastAsia="SimSun"/>
            <w:b/>
            <w:webHidden/>
            <w:sz w:val="24"/>
          </w:rPr>
        </w:r>
        <w:r w:rsidRPr="002E3175">
          <w:rPr>
            <w:rStyle w:val="a9"/>
            <w:rFonts w:ascii="Times New Roman" w:eastAsia="SimSun"/>
            <w:b/>
            <w:webHidden/>
            <w:sz w:val="24"/>
          </w:rPr>
          <w:fldChar w:fldCharType="separate"/>
        </w:r>
        <w:r w:rsidR="00EC1136">
          <w:rPr>
            <w:rStyle w:val="a9"/>
            <w:rFonts w:ascii="Times New Roman" w:eastAsia="SimSun"/>
            <w:b/>
            <w:noProof/>
            <w:webHidden/>
            <w:sz w:val="24"/>
          </w:rPr>
          <w:t>8</w:t>
        </w:r>
        <w:r w:rsidRPr="002E3175">
          <w:rPr>
            <w:rStyle w:val="a9"/>
            <w:rFonts w:ascii="Times New Roman" w:eastAsia="SimSun"/>
            <w:b/>
            <w:webHidden/>
            <w:sz w:val="24"/>
          </w:rPr>
          <w:fldChar w:fldCharType="end"/>
        </w:r>
      </w:hyperlink>
    </w:p>
    <w:p w:rsidR="00566343" w:rsidRPr="00566343" w:rsidRDefault="002447A7" w:rsidP="00145EBD">
      <w:pPr>
        <w:pStyle w:val="21"/>
        <w:jc w:val="both"/>
        <w:rPr>
          <w:rStyle w:val="a9"/>
          <w:rFonts w:ascii="Times New Roman" w:eastAsia="SimSun"/>
        </w:rPr>
      </w:pPr>
      <w:hyperlink w:anchor="_Toc532201077" w:history="1">
        <w:r w:rsidR="00566343" w:rsidRPr="00566343">
          <w:rPr>
            <w:rStyle w:val="a9"/>
            <w:rFonts w:ascii="Times New Roman" w:eastAsia="SimSun"/>
          </w:rPr>
          <w:t>I. Liquidity was ample and appropriate, and money-market rates generally declined</w:t>
        </w:r>
        <w:r w:rsidR="00566343" w:rsidRPr="00566343">
          <w:rPr>
            <w:rStyle w:val="a9"/>
            <w:rFonts w:ascii="Times New Roman" w:eastAsia="SimSun"/>
            <w:webHidden/>
          </w:rPr>
          <w:tab/>
        </w:r>
        <w:r w:rsidRPr="00566343">
          <w:rPr>
            <w:rStyle w:val="a9"/>
            <w:rFonts w:ascii="Times New Roman" w:eastAsia="SimSun"/>
            <w:webHidden/>
          </w:rPr>
          <w:fldChar w:fldCharType="begin"/>
        </w:r>
        <w:r w:rsidR="00566343" w:rsidRPr="00566343">
          <w:rPr>
            <w:rStyle w:val="a9"/>
            <w:rFonts w:ascii="Times New Roman" w:eastAsia="SimSun"/>
            <w:webHidden/>
          </w:rPr>
          <w:instrText xml:space="preserve"> PAGEREF _Toc532201077 \h </w:instrText>
        </w:r>
        <w:r w:rsidRPr="00566343">
          <w:rPr>
            <w:rStyle w:val="a9"/>
            <w:rFonts w:ascii="Times New Roman" w:eastAsia="SimSun"/>
            <w:webHidden/>
          </w:rPr>
        </w:r>
        <w:r w:rsidRPr="00566343">
          <w:rPr>
            <w:rStyle w:val="a9"/>
            <w:rFonts w:ascii="Times New Roman" w:eastAsia="SimSun"/>
            <w:webHidden/>
          </w:rPr>
          <w:fldChar w:fldCharType="separate"/>
        </w:r>
        <w:r w:rsidR="00EC1136">
          <w:rPr>
            <w:rStyle w:val="a9"/>
            <w:rFonts w:ascii="Times New Roman" w:eastAsia="SimSun"/>
            <w:noProof/>
            <w:webHidden/>
          </w:rPr>
          <w:t>8</w:t>
        </w:r>
        <w:r w:rsidRPr="00566343">
          <w:rPr>
            <w:rStyle w:val="a9"/>
            <w:rFonts w:ascii="Times New Roman" w:eastAsia="SimSun"/>
            <w:webHidden/>
          </w:rPr>
          <w:fldChar w:fldCharType="end"/>
        </w:r>
      </w:hyperlink>
    </w:p>
    <w:p w:rsidR="00566343" w:rsidRPr="00566343" w:rsidRDefault="002447A7" w:rsidP="00145EBD">
      <w:pPr>
        <w:pStyle w:val="21"/>
        <w:jc w:val="both"/>
        <w:rPr>
          <w:rStyle w:val="a9"/>
          <w:rFonts w:ascii="Times New Roman" w:eastAsia="SimSun"/>
        </w:rPr>
      </w:pPr>
      <w:hyperlink w:anchor="_Toc532201078" w:history="1">
        <w:r w:rsidR="00566343" w:rsidRPr="00566343">
          <w:rPr>
            <w:rStyle w:val="a9"/>
            <w:rFonts w:ascii="Times New Roman" w:eastAsia="SimSun"/>
          </w:rPr>
          <w:t>II. Lending by financial institutions grew rapidly and lending rates were generally stable</w:t>
        </w:r>
        <w:r w:rsidR="00566343" w:rsidRPr="00566343">
          <w:rPr>
            <w:rStyle w:val="a9"/>
            <w:rFonts w:ascii="Times New Roman" w:eastAsia="SimSun"/>
            <w:webHidden/>
          </w:rPr>
          <w:tab/>
        </w:r>
        <w:r w:rsidRPr="00566343">
          <w:rPr>
            <w:rStyle w:val="a9"/>
            <w:rFonts w:ascii="Times New Roman" w:eastAsia="SimSun"/>
            <w:webHidden/>
          </w:rPr>
          <w:fldChar w:fldCharType="begin"/>
        </w:r>
        <w:r w:rsidR="00566343" w:rsidRPr="00566343">
          <w:rPr>
            <w:rStyle w:val="a9"/>
            <w:rFonts w:ascii="Times New Roman" w:eastAsia="SimSun"/>
            <w:webHidden/>
          </w:rPr>
          <w:instrText xml:space="preserve"> PAGEREF _Toc532201078 \h </w:instrText>
        </w:r>
        <w:r w:rsidRPr="00566343">
          <w:rPr>
            <w:rStyle w:val="a9"/>
            <w:rFonts w:ascii="Times New Roman" w:eastAsia="SimSun"/>
            <w:webHidden/>
          </w:rPr>
        </w:r>
        <w:r w:rsidRPr="00566343">
          <w:rPr>
            <w:rStyle w:val="a9"/>
            <w:rFonts w:ascii="Times New Roman" w:eastAsia="SimSun"/>
            <w:webHidden/>
          </w:rPr>
          <w:fldChar w:fldCharType="separate"/>
        </w:r>
        <w:r w:rsidR="00EC1136">
          <w:rPr>
            <w:rStyle w:val="a9"/>
            <w:rFonts w:ascii="Times New Roman" w:eastAsia="SimSun"/>
            <w:noProof/>
            <w:webHidden/>
          </w:rPr>
          <w:t>13</w:t>
        </w:r>
        <w:r w:rsidRPr="00566343">
          <w:rPr>
            <w:rStyle w:val="a9"/>
            <w:rFonts w:ascii="Times New Roman" w:eastAsia="SimSun"/>
            <w:webHidden/>
          </w:rPr>
          <w:fldChar w:fldCharType="end"/>
        </w:r>
      </w:hyperlink>
    </w:p>
    <w:p w:rsidR="00566343" w:rsidRPr="00566343" w:rsidRDefault="002447A7" w:rsidP="00145EBD">
      <w:pPr>
        <w:pStyle w:val="21"/>
        <w:jc w:val="both"/>
        <w:rPr>
          <w:rStyle w:val="a9"/>
          <w:rFonts w:ascii="Times New Roman" w:eastAsia="SimSun"/>
        </w:rPr>
      </w:pPr>
      <w:hyperlink w:anchor="_Toc532201079" w:history="1">
        <w:r w:rsidR="00566343" w:rsidRPr="00566343">
          <w:rPr>
            <w:rStyle w:val="a9"/>
            <w:rFonts w:ascii="Times New Roman" w:eastAsia="SimSun"/>
          </w:rPr>
          <w:t>III. The Money supply and all-system financing aggregates increased moderately</w:t>
        </w:r>
        <w:r w:rsidR="00566343" w:rsidRPr="00566343">
          <w:rPr>
            <w:rStyle w:val="a9"/>
            <w:rFonts w:ascii="Times New Roman" w:eastAsia="SimSun"/>
            <w:webHidden/>
          </w:rPr>
          <w:tab/>
        </w:r>
        <w:r w:rsidRPr="00566343">
          <w:rPr>
            <w:rStyle w:val="a9"/>
            <w:rFonts w:ascii="Times New Roman" w:eastAsia="SimSun"/>
            <w:webHidden/>
          </w:rPr>
          <w:fldChar w:fldCharType="begin"/>
        </w:r>
        <w:r w:rsidR="00566343" w:rsidRPr="00566343">
          <w:rPr>
            <w:rStyle w:val="a9"/>
            <w:rFonts w:ascii="Times New Roman" w:eastAsia="SimSun"/>
            <w:webHidden/>
          </w:rPr>
          <w:instrText xml:space="preserve"> PAGEREF _Toc532201079 \h </w:instrText>
        </w:r>
        <w:r w:rsidRPr="00566343">
          <w:rPr>
            <w:rStyle w:val="a9"/>
            <w:rFonts w:ascii="Times New Roman" w:eastAsia="SimSun"/>
            <w:webHidden/>
          </w:rPr>
        </w:r>
        <w:r w:rsidRPr="00566343">
          <w:rPr>
            <w:rStyle w:val="a9"/>
            <w:rFonts w:ascii="Times New Roman" w:eastAsia="SimSun"/>
            <w:webHidden/>
          </w:rPr>
          <w:fldChar w:fldCharType="separate"/>
        </w:r>
        <w:r w:rsidR="00EC1136">
          <w:rPr>
            <w:rStyle w:val="a9"/>
            <w:rFonts w:ascii="Times New Roman" w:eastAsia="SimSun"/>
            <w:noProof/>
            <w:webHidden/>
          </w:rPr>
          <w:t>19</w:t>
        </w:r>
        <w:r w:rsidRPr="00566343">
          <w:rPr>
            <w:rStyle w:val="a9"/>
            <w:rFonts w:ascii="Times New Roman" w:eastAsia="SimSun"/>
            <w:webHidden/>
          </w:rPr>
          <w:fldChar w:fldCharType="end"/>
        </w:r>
      </w:hyperlink>
    </w:p>
    <w:p w:rsidR="00566343" w:rsidRPr="00566343" w:rsidRDefault="002447A7" w:rsidP="00145EBD">
      <w:pPr>
        <w:pStyle w:val="21"/>
        <w:jc w:val="both"/>
        <w:rPr>
          <w:rStyle w:val="a9"/>
          <w:rFonts w:ascii="Times New Roman" w:eastAsia="SimSun"/>
        </w:rPr>
      </w:pPr>
      <w:hyperlink w:anchor="_Toc532201080" w:history="1">
        <w:r w:rsidR="00566343" w:rsidRPr="00566343">
          <w:rPr>
            <w:rStyle w:val="a9"/>
            <w:rFonts w:ascii="Times New Roman" w:eastAsia="SimSun"/>
          </w:rPr>
          <w:t>IV. The RMB exchange rate was basically stable and more flexible in terms of two-way fluctuations, and cross-border RMB businesses saw rapid growth</w:t>
        </w:r>
        <w:r w:rsidR="00566343" w:rsidRPr="00566343">
          <w:rPr>
            <w:rStyle w:val="a9"/>
            <w:rFonts w:ascii="Times New Roman" w:eastAsia="SimSun"/>
            <w:webHidden/>
          </w:rPr>
          <w:tab/>
        </w:r>
        <w:r w:rsidRPr="00566343">
          <w:rPr>
            <w:rStyle w:val="a9"/>
            <w:rFonts w:ascii="Times New Roman" w:eastAsia="SimSun"/>
            <w:webHidden/>
          </w:rPr>
          <w:fldChar w:fldCharType="begin"/>
        </w:r>
        <w:r w:rsidR="00566343" w:rsidRPr="00566343">
          <w:rPr>
            <w:rStyle w:val="a9"/>
            <w:rFonts w:ascii="Times New Roman" w:eastAsia="SimSun"/>
            <w:webHidden/>
          </w:rPr>
          <w:instrText xml:space="preserve"> PAGEREF _Toc532201080 \h </w:instrText>
        </w:r>
        <w:r w:rsidRPr="00566343">
          <w:rPr>
            <w:rStyle w:val="a9"/>
            <w:rFonts w:ascii="Times New Roman" w:eastAsia="SimSun"/>
            <w:webHidden/>
          </w:rPr>
        </w:r>
        <w:r w:rsidRPr="00566343">
          <w:rPr>
            <w:rStyle w:val="a9"/>
            <w:rFonts w:ascii="Times New Roman" w:eastAsia="SimSun"/>
            <w:webHidden/>
          </w:rPr>
          <w:fldChar w:fldCharType="separate"/>
        </w:r>
        <w:r w:rsidR="00EC1136">
          <w:rPr>
            <w:rStyle w:val="a9"/>
            <w:rFonts w:ascii="Times New Roman" w:eastAsia="SimSun"/>
            <w:noProof/>
            <w:webHidden/>
          </w:rPr>
          <w:t>21</w:t>
        </w:r>
        <w:r w:rsidRPr="00566343">
          <w:rPr>
            <w:rStyle w:val="a9"/>
            <w:rFonts w:ascii="Times New Roman" w:eastAsia="SimSun"/>
            <w:webHidden/>
          </w:rPr>
          <w:fldChar w:fldCharType="end"/>
        </w:r>
      </w:hyperlink>
    </w:p>
    <w:p w:rsidR="00566343" w:rsidRPr="002E3175" w:rsidRDefault="002447A7" w:rsidP="00145EBD">
      <w:pPr>
        <w:pStyle w:val="1"/>
        <w:jc w:val="both"/>
        <w:rPr>
          <w:rStyle w:val="a9"/>
          <w:rFonts w:ascii="Times New Roman" w:eastAsia="SimSun"/>
          <w:b/>
          <w:sz w:val="24"/>
        </w:rPr>
      </w:pPr>
      <w:hyperlink w:anchor="_Toc532201081" w:history="1">
        <w:r w:rsidR="00566343" w:rsidRPr="002E3175">
          <w:rPr>
            <w:rStyle w:val="a9"/>
            <w:rFonts w:ascii="Times New Roman" w:eastAsia="SimSun"/>
            <w:b/>
            <w:sz w:val="24"/>
          </w:rPr>
          <w:t>Part 2. Monetary-Policy Operations</w:t>
        </w:r>
        <w:r w:rsidR="00566343" w:rsidRPr="002E3175">
          <w:rPr>
            <w:rStyle w:val="a9"/>
            <w:rFonts w:ascii="Times New Roman" w:eastAsia="SimSun"/>
            <w:b/>
            <w:webHidden/>
            <w:sz w:val="24"/>
          </w:rPr>
          <w:tab/>
        </w:r>
        <w:r w:rsidRPr="002E3175">
          <w:rPr>
            <w:rStyle w:val="a9"/>
            <w:rFonts w:ascii="Times New Roman" w:eastAsia="SimSun"/>
            <w:b/>
            <w:webHidden/>
            <w:sz w:val="24"/>
          </w:rPr>
          <w:fldChar w:fldCharType="begin"/>
        </w:r>
        <w:r w:rsidR="00566343" w:rsidRPr="002E3175">
          <w:rPr>
            <w:rStyle w:val="a9"/>
            <w:rFonts w:ascii="Times New Roman" w:eastAsia="SimSun"/>
            <w:b/>
            <w:webHidden/>
            <w:sz w:val="24"/>
          </w:rPr>
          <w:instrText xml:space="preserve"> PAGEREF _Toc532201081 \h </w:instrText>
        </w:r>
        <w:r w:rsidRPr="002E3175">
          <w:rPr>
            <w:rStyle w:val="a9"/>
            <w:rFonts w:ascii="Times New Roman" w:eastAsia="SimSun"/>
            <w:b/>
            <w:webHidden/>
            <w:sz w:val="24"/>
          </w:rPr>
        </w:r>
        <w:r w:rsidRPr="002E3175">
          <w:rPr>
            <w:rStyle w:val="a9"/>
            <w:rFonts w:ascii="Times New Roman" w:eastAsia="SimSun"/>
            <w:b/>
            <w:webHidden/>
            <w:sz w:val="24"/>
          </w:rPr>
          <w:fldChar w:fldCharType="separate"/>
        </w:r>
        <w:r w:rsidR="00EC1136">
          <w:rPr>
            <w:rStyle w:val="a9"/>
            <w:rFonts w:ascii="Times New Roman" w:eastAsia="SimSun"/>
            <w:b/>
            <w:noProof/>
            <w:webHidden/>
            <w:sz w:val="24"/>
          </w:rPr>
          <w:t>23</w:t>
        </w:r>
        <w:r w:rsidRPr="002E3175">
          <w:rPr>
            <w:rStyle w:val="a9"/>
            <w:rFonts w:ascii="Times New Roman" w:eastAsia="SimSun"/>
            <w:b/>
            <w:webHidden/>
            <w:sz w:val="24"/>
          </w:rPr>
          <w:fldChar w:fldCharType="end"/>
        </w:r>
      </w:hyperlink>
    </w:p>
    <w:p w:rsidR="00566343" w:rsidRPr="009674D4" w:rsidRDefault="002447A7" w:rsidP="00145EBD">
      <w:pPr>
        <w:pStyle w:val="21"/>
        <w:jc w:val="both"/>
        <w:rPr>
          <w:rStyle w:val="a9"/>
          <w:rFonts w:ascii="Times New Roman" w:eastAsia="SimSun"/>
        </w:rPr>
      </w:pPr>
      <w:hyperlink w:anchor="_Toc532201082" w:history="1">
        <w:r w:rsidR="00566343" w:rsidRPr="00566343">
          <w:rPr>
            <w:rStyle w:val="a9"/>
            <w:rFonts w:ascii="Times New Roman" w:eastAsia="SimSun"/>
          </w:rPr>
          <w:t>I. Conducting Open Market Operations (OMOs) in a flexible manner</w:t>
        </w:r>
        <w:r w:rsidR="00566343" w:rsidRPr="009674D4">
          <w:rPr>
            <w:rStyle w:val="a9"/>
            <w:rFonts w:ascii="Times New Roman" w:eastAsia="SimSun"/>
            <w:webHidden/>
          </w:rPr>
          <w:tab/>
        </w:r>
        <w:r w:rsidRPr="009674D4">
          <w:rPr>
            <w:rStyle w:val="a9"/>
            <w:rFonts w:ascii="Times New Roman" w:eastAsia="SimSun"/>
            <w:webHidden/>
          </w:rPr>
          <w:fldChar w:fldCharType="begin"/>
        </w:r>
        <w:r w:rsidR="00566343" w:rsidRPr="009674D4">
          <w:rPr>
            <w:rStyle w:val="a9"/>
            <w:rFonts w:ascii="Times New Roman" w:eastAsia="SimSun"/>
            <w:webHidden/>
          </w:rPr>
          <w:instrText xml:space="preserve"> PAGEREF _Toc532201082 \h </w:instrText>
        </w:r>
        <w:r w:rsidRPr="009674D4">
          <w:rPr>
            <w:rStyle w:val="a9"/>
            <w:rFonts w:ascii="Times New Roman" w:eastAsia="SimSun"/>
            <w:webHidden/>
          </w:rPr>
        </w:r>
        <w:r w:rsidRPr="009674D4">
          <w:rPr>
            <w:rStyle w:val="a9"/>
            <w:rFonts w:ascii="Times New Roman" w:eastAsia="SimSun"/>
            <w:webHidden/>
          </w:rPr>
          <w:fldChar w:fldCharType="separate"/>
        </w:r>
        <w:r w:rsidR="00EC1136">
          <w:rPr>
            <w:rStyle w:val="a9"/>
            <w:rFonts w:ascii="Times New Roman" w:eastAsia="SimSun"/>
            <w:noProof/>
            <w:webHidden/>
          </w:rPr>
          <w:t>23</w:t>
        </w:r>
        <w:r w:rsidRPr="009674D4">
          <w:rPr>
            <w:rStyle w:val="a9"/>
            <w:rFonts w:ascii="Times New Roman" w:eastAsia="SimSun"/>
            <w:webHidden/>
          </w:rPr>
          <w:fldChar w:fldCharType="end"/>
        </w:r>
      </w:hyperlink>
    </w:p>
    <w:p w:rsidR="00566343" w:rsidRPr="009674D4" w:rsidRDefault="002447A7" w:rsidP="00145EBD">
      <w:pPr>
        <w:pStyle w:val="21"/>
        <w:jc w:val="both"/>
        <w:rPr>
          <w:rStyle w:val="a9"/>
          <w:rFonts w:ascii="Times New Roman" w:eastAsia="SimSun"/>
        </w:rPr>
      </w:pPr>
      <w:hyperlink w:anchor="_Toc532201083" w:history="1">
        <w:r w:rsidR="00566343" w:rsidRPr="00566343">
          <w:rPr>
            <w:rStyle w:val="a9"/>
            <w:rFonts w:ascii="Times New Roman" w:eastAsia="SimSun"/>
          </w:rPr>
          <w:t>II. Conducting MLF operations and the Standing Lending Facility (SLF)</w:t>
        </w:r>
        <w:r w:rsidR="00566343" w:rsidRPr="009674D4">
          <w:rPr>
            <w:rStyle w:val="a9"/>
            <w:rFonts w:ascii="Times New Roman" w:eastAsia="SimSun"/>
            <w:webHidden/>
          </w:rPr>
          <w:tab/>
        </w:r>
        <w:r w:rsidRPr="009674D4">
          <w:rPr>
            <w:rStyle w:val="a9"/>
            <w:rFonts w:ascii="Times New Roman" w:eastAsia="SimSun"/>
            <w:webHidden/>
          </w:rPr>
          <w:fldChar w:fldCharType="begin"/>
        </w:r>
        <w:r w:rsidR="00566343" w:rsidRPr="009674D4">
          <w:rPr>
            <w:rStyle w:val="a9"/>
            <w:rFonts w:ascii="Times New Roman" w:eastAsia="SimSun"/>
            <w:webHidden/>
          </w:rPr>
          <w:instrText xml:space="preserve"> PAGEREF _Toc532201083 \h </w:instrText>
        </w:r>
        <w:r w:rsidRPr="009674D4">
          <w:rPr>
            <w:rStyle w:val="a9"/>
            <w:rFonts w:ascii="Times New Roman" w:eastAsia="SimSun"/>
            <w:webHidden/>
          </w:rPr>
        </w:r>
        <w:r w:rsidRPr="009674D4">
          <w:rPr>
            <w:rStyle w:val="a9"/>
            <w:rFonts w:ascii="Times New Roman" w:eastAsia="SimSun"/>
            <w:webHidden/>
          </w:rPr>
          <w:fldChar w:fldCharType="separate"/>
        </w:r>
        <w:r w:rsidR="00EC1136">
          <w:rPr>
            <w:rStyle w:val="a9"/>
            <w:rFonts w:ascii="Times New Roman" w:eastAsia="SimSun"/>
            <w:noProof/>
            <w:webHidden/>
          </w:rPr>
          <w:t>25</w:t>
        </w:r>
        <w:r w:rsidRPr="009674D4">
          <w:rPr>
            <w:rStyle w:val="a9"/>
            <w:rFonts w:ascii="Times New Roman" w:eastAsia="SimSun"/>
            <w:webHidden/>
          </w:rPr>
          <w:fldChar w:fldCharType="end"/>
        </w:r>
      </w:hyperlink>
    </w:p>
    <w:p w:rsidR="00566343" w:rsidRPr="009674D4" w:rsidRDefault="002447A7" w:rsidP="00145EBD">
      <w:pPr>
        <w:pStyle w:val="21"/>
        <w:jc w:val="both"/>
        <w:rPr>
          <w:rStyle w:val="a9"/>
          <w:rFonts w:ascii="Times New Roman" w:eastAsia="SimSun"/>
        </w:rPr>
      </w:pPr>
      <w:hyperlink w:anchor="_Toc532201084" w:history="1">
        <w:r w:rsidR="00566343" w:rsidRPr="00566343">
          <w:rPr>
            <w:rStyle w:val="a9"/>
            <w:rFonts w:ascii="Times New Roman" w:eastAsia="SimSun"/>
          </w:rPr>
          <w:t>III. Cutting the RRRs of some financial institutions</w:t>
        </w:r>
        <w:r w:rsidR="00566343" w:rsidRPr="009674D4">
          <w:rPr>
            <w:rStyle w:val="a9"/>
            <w:rFonts w:ascii="Times New Roman" w:eastAsia="SimSun"/>
            <w:webHidden/>
          </w:rPr>
          <w:tab/>
        </w:r>
        <w:r w:rsidRPr="009674D4">
          <w:rPr>
            <w:rStyle w:val="a9"/>
            <w:rFonts w:ascii="Times New Roman" w:eastAsia="SimSun"/>
            <w:webHidden/>
          </w:rPr>
          <w:fldChar w:fldCharType="begin"/>
        </w:r>
        <w:r w:rsidR="00566343" w:rsidRPr="009674D4">
          <w:rPr>
            <w:rStyle w:val="a9"/>
            <w:rFonts w:ascii="Times New Roman" w:eastAsia="SimSun"/>
            <w:webHidden/>
          </w:rPr>
          <w:instrText xml:space="preserve"> PAGEREF _Toc532201084 \h </w:instrText>
        </w:r>
        <w:r w:rsidRPr="009674D4">
          <w:rPr>
            <w:rStyle w:val="a9"/>
            <w:rFonts w:ascii="Times New Roman" w:eastAsia="SimSun"/>
            <w:webHidden/>
          </w:rPr>
        </w:r>
        <w:r w:rsidRPr="009674D4">
          <w:rPr>
            <w:rStyle w:val="a9"/>
            <w:rFonts w:ascii="Times New Roman" w:eastAsia="SimSun"/>
            <w:webHidden/>
          </w:rPr>
          <w:fldChar w:fldCharType="separate"/>
        </w:r>
        <w:r w:rsidR="00EC1136">
          <w:rPr>
            <w:rStyle w:val="a9"/>
            <w:rFonts w:ascii="Times New Roman" w:eastAsia="SimSun"/>
            <w:noProof/>
            <w:webHidden/>
          </w:rPr>
          <w:t>25</w:t>
        </w:r>
        <w:r w:rsidRPr="009674D4">
          <w:rPr>
            <w:rStyle w:val="a9"/>
            <w:rFonts w:ascii="Times New Roman" w:eastAsia="SimSun"/>
            <w:webHidden/>
          </w:rPr>
          <w:fldChar w:fldCharType="end"/>
        </w:r>
      </w:hyperlink>
    </w:p>
    <w:p w:rsidR="00566343" w:rsidRPr="009674D4" w:rsidRDefault="002447A7" w:rsidP="00145EBD">
      <w:pPr>
        <w:pStyle w:val="21"/>
        <w:jc w:val="both"/>
        <w:rPr>
          <w:rStyle w:val="a9"/>
          <w:rFonts w:ascii="Times New Roman" w:eastAsia="SimSun"/>
        </w:rPr>
      </w:pPr>
      <w:hyperlink w:anchor="_Toc532201085" w:history="1">
        <w:r w:rsidR="00566343" w:rsidRPr="00566343">
          <w:rPr>
            <w:rStyle w:val="a9"/>
            <w:rFonts w:ascii="Times New Roman" w:eastAsia="SimSun"/>
          </w:rPr>
          <w:t>IV. Further improving the framework for macro-prudential policies</w:t>
        </w:r>
        <w:r w:rsidR="00566343" w:rsidRPr="009674D4">
          <w:rPr>
            <w:rStyle w:val="a9"/>
            <w:rFonts w:ascii="Times New Roman" w:eastAsia="SimSun"/>
            <w:webHidden/>
          </w:rPr>
          <w:tab/>
        </w:r>
        <w:r w:rsidRPr="009674D4">
          <w:rPr>
            <w:rStyle w:val="a9"/>
            <w:rFonts w:ascii="Times New Roman" w:eastAsia="SimSun"/>
            <w:webHidden/>
          </w:rPr>
          <w:fldChar w:fldCharType="begin"/>
        </w:r>
        <w:r w:rsidR="00566343" w:rsidRPr="009674D4">
          <w:rPr>
            <w:rStyle w:val="a9"/>
            <w:rFonts w:ascii="Times New Roman" w:eastAsia="SimSun"/>
            <w:webHidden/>
          </w:rPr>
          <w:instrText xml:space="preserve"> PAGEREF _Toc532201085 \h </w:instrText>
        </w:r>
        <w:r w:rsidRPr="009674D4">
          <w:rPr>
            <w:rStyle w:val="a9"/>
            <w:rFonts w:ascii="Times New Roman" w:eastAsia="SimSun"/>
            <w:webHidden/>
          </w:rPr>
        </w:r>
        <w:r w:rsidRPr="009674D4">
          <w:rPr>
            <w:rStyle w:val="a9"/>
            <w:rFonts w:ascii="Times New Roman" w:eastAsia="SimSun"/>
            <w:webHidden/>
          </w:rPr>
          <w:fldChar w:fldCharType="separate"/>
        </w:r>
        <w:r w:rsidR="00EC1136">
          <w:rPr>
            <w:rStyle w:val="a9"/>
            <w:rFonts w:ascii="Times New Roman" w:eastAsia="SimSun"/>
            <w:noProof/>
            <w:webHidden/>
          </w:rPr>
          <w:t>26</w:t>
        </w:r>
        <w:r w:rsidRPr="009674D4">
          <w:rPr>
            <w:rStyle w:val="a9"/>
            <w:rFonts w:ascii="Times New Roman" w:eastAsia="SimSun"/>
            <w:webHidden/>
          </w:rPr>
          <w:fldChar w:fldCharType="end"/>
        </w:r>
      </w:hyperlink>
    </w:p>
    <w:p w:rsidR="00566343" w:rsidRPr="009674D4" w:rsidRDefault="002447A7" w:rsidP="00145EBD">
      <w:pPr>
        <w:pStyle w:val="21"/>
        <w:jc w:val="both"/>
        <w:rPr>
          <w:rStyle w:val="a9"/>
          <w:rFonts w:ascii="Times New Roman" w:eastAsia="SimSun"/>
        </w:rPr>
      </w:pPr>
      <w:hyperlink w:anchor="_Toc532201086" w:history="1">
        <w:r w:rsidR="00566343" w:rsidRPr="00566343">
          <w:rPr>
            <w:rStyle w:val="a9"/>
            <w:rFonts w:ascii="Times New Roman" w:eastAsia="SimSun"/>
          </w:rPr>
          <w:t>V. Supporting and increased credit supply for key areas and weak sectors, such as small and micro businesses and private enterprises</w:t>
        </w:r>
        <w:r w:rsidR="00566343" w:rsidRPr="009674D4">
          <w:rPr>
            <w:rStyle w:val="a9"/>
            <w:rFonts w:ascii="Times New Roman" w:eastAsia="SimSun"/>
            <w:webHidden/>
          </w:rPr>
          <w:tab/>
        </w:r>
        <w:r w:rsidRPr="009674D4">
          <w:rPr>
            <w:rStyle w:val="a9"/>
            <w:rFonts w:ascii="Times New Roman" w:eastAsia="SimSun"/>
            <w:webHidden/>
          </w:rPr>
          <w:fldChar w:fldCharType="begin"/>
        </w:r>
        <w:r w:rsidR="00566343" w:rsidRPr="009674D4">
          <w:rPr>
            <w:rStyle w:val="a9"/>
            <w:rFonts w:ascii="Times New Roman" w:eastAsia="SimSun"/>
            <w:webHidden/>
          </w:rPr>
          <w:instrText xml:space="preserve"> PAGEREF _Toc532201086 \h </w:instrText>
        </w:r>
        <w:r w:rsidRPr="009674D4">
          <w:rPr>
            <w:rStyle w:val="a9"/>
            <w:rFonts w:ascii="Times New Roman" w:eastAsia="SimSun"/>
            <w:webHidden/>
          </w:rPr>
        </w:r>
        <w:r w:rsidRPr="009674D4">
          <w:rPr>
            <w:rStyle w:val="a9"/>
            <w:rFonts w:ascii="Times New Roman" w:eastAsia="SimSun"/>
            <w:webHidden/>
          </w:rPr>
          <w:fldChar w:fldCharType="separate"/>
        </w:r>
        <w:r w:rsidR="00EC1136">
          <w:rPr>
            <w:rStyle w:val="a9"/>
            <w:rFonts w:ascii="Times New Roman" w:eastAsia="SimSun"/>
            <w:noProof/>
            <w:webHidden/>
          </w:rPr>
          <w:t>28</w:t>
        </w:r>
        <w:r w:rsidRPr="009674D4">
          <w:rPr>
            <w:rStyle w:val="a9"/>
            <w:rFonts w:ascii="Times New Roman" w:eastAsia="SimSun"/>
            <w:webHidden/>
          </w:rPr>
          <w:fldChar w:fldCharType="end"/>
        </w:r>
      </w:hyperlink>
    </w:p>
    <w:p w:rsidR="00566343" w:rsidRPr="009674D4" w:rsidRDefault="002447A7" w:rsidP="00145EBD">
      <w:pPr>
        <w:pStyle w:val="21"/>
        <w:jc w:val="both"/>
        <w:rPr>
          <w:rStyle w:val="a9"/>
          <w:rFonts w:ascii="Times New Roman" w:eastAsia="SimSun"/>
        </w:rPr>
      </w:pPr>
      <w:hyperlink w:anchor="_Toc532201087" w:history="1">
        <w:r w:rsidR="00566343" w:rsidRPr="00566343">
          <w:rPr>
            <w:rStyle w:val="a9"/>
            <w:rFonts w:ascii="Times New Roman" w:eastAsia="SimSun"/>
          </w:rPr>
          <w:t>VI. Window guidance and credit policies for structural guidance</w:t>
        </w:r>
        <w:r w:rsidR="00566343" w:rsidRPr="009674D4">
          <w:rPr>
            <w:rStyle w:val="a9"/>
            <w:rFonts w:ascii="Times New Roman" w:eastAsia="SimSun"/>
            <w:webHidden/>
          </w:rPr>
          <w:tab/>
        </w:r>
        <w:r w:rsidRPr="009674D4">
          <w:rPr>
            <w:rStyle w:val="a9"/>
            <w:rFonts w:ascii="Times New Roman" w:eastAsia="SimSun"/>
            <w:webHidden/>
          </w:rPr>
          <w:fldChar w:fldCharType="begin"/>
        </w:r>
        <w:r w:rsidR="00566343" w:rsidRPr="009674D4">
          <w:rPr>
            <w:rStyle w:val="a9"/>
            <w:rFonts w:ascii="Times New Roman" w:eastAsia="SimSun"/>
            <w:webHidden/>
          </w:rPr>
          <w:instrText xml:space="preserve"> PAGEREF _Toc532201087 \h </w:instrText>
        </w:r>
        <w:r w:rsidRPr="009674D4">
          <w:rPr>
            <w:rStyle w:val="a9"/>
            <w:rFonts w:ascii="Times New Roman" w:eastAsia="SimSun"/>
            <w:webHidden/>
          </w:rPr>
        </w:r>
        <w:r w:rsidRPr="009674D4">
          <w:rPr>
            <w:rStyle w:val="a9"/>
            <w:rFonts w:ascii="Times New Roman" w:eastAsia="SimSun"/>
            <w:webHidden/>
          </w:rPr>
          <w:fldChar w:fldCharType="separate"/>
        </w:r>
        <w:r w:rsidR="00EC1136">
          <w:rPr>
            <w:rStyle w:val="a9"/>
            <w:rFonts w:ascii="Times New Roman" w:eastAsia="SimSun"/>
            <w:noProof/>
            <w:webHidden/>
          </w:rPr>
          <w:t>29</w:t>
        </w:r>
        <w:r w:rsidRPr="009674D4">
          <w:rPr>
            <w:rStyle w:val="a9"/>
            <w:rFonts w:ascii="Times New Roman" w:eastAsia="SimSun"/>
            <w:webHidden/>
          </w:rPr>
          <w:fldChar w:fldCharType="end"/>
        </w:r>
      </w:hyperlink>
    </w:p>
    <w:p w:rsidR="00566343" w:rsidRPr="009674D4" w:rsidRDefault="002447A7" w:rsidP="00145EBD">
      <w:pPr>
        <w:pStyle w:val="21"/>
        <w:jc w:val="both"/>
        <w:rPr>
          <w:rStyle w:val="a9"/>
          <w:rFonts w:ascii="Times New Roman" w:eastAsia="SimSun"/>
        </w:rPr>
      </w:pPr>
      <w:hyperlink w:anchor="_Toc532201088" w:history="1">
        <w:r w:rsidR="00566343" w:rsidRPr="00566343">
          <w:rPr>
            <w:rStyle w:val="a9"/>
            <w:rFonts w:ascii="Times New Roman" w:eastAsia="SimSun"/>
          </w:rPr>
          <w:t>VII</w:t>
        </w:r>
        <w:r w:rsidR="00566343" w:rsidRPr="009674D4">
          <w:rPr>
            <w:rStyle w:val="a9"/>
            <w:rFonts w:ascii="Times New Roman" w:eastAsia="SimSun" w:hint="eastAsia"/>
          </w:rPr>
          <w:t>．</w:t>
        </w:r>
        <w:r w:rsidR="00566343" w:rsidRPr="00566343">
          <w:rPr>
            <w:rStyle w:val="a9"/>
            <w:rFonts w:ascii="Times New Roman" w:eastAsia="SimSun"/>
          </w:rPr>
          <w:t>Deepening the market-based interest-rate reform</w:t>
        </w:r>
        <w:r w:rsidR="00566343" w:rsidRPr="009674D4">
          <w:rPr>
            <w:rStyle w:val="a9"/>
            <w:rFonts w:ascii="Times New Roman" w:eastAsia="SimSun"/>
            <w:webHidden/>
          </w:rPr>
          <w:tab/>
        </w:r>
        <w:r w:rsidRPr="009674D4">
          <w:rPr>
            <w:rStyle w:val="a9"/>
            <w:rFonts w:ascii="Times New Roman" w:eastAsia="SimSun"/>
            <w:webHidden/>
          </w:rPr>
          <w:fldChar w:fldCharType="begin"/>
        </w:r>
        <w:r w:rsidR="00566343" w:rsidRPr="009674D4">
          <w:rPr>
            <w:rStyle w:val="a9"/>
            <w:rFonts w:ascii="Times New Roman" w:eastAsia="SimSun"/>
            <w:webHidden/>
          </w:rPr>
          <w:instrText xml:space="preserve"> PAGEREF _Toc532201088 \h </w:instrText>
        </w:r>
        <w:r w:rsidRPr="009674D4">
          <w:rPr>
            <w:rStyle w:val="a9"/>
            <w:rFonts w:ascii="Times New Roman" w:eastAsia="SimSun"/>
            <w:webHidden/>
          </w:rPr>
        </w:r>
        <w:r w:rsidRPr="009674D4">
          <w:rPr>
            <w:rStyle w:val="a9"/>
            <w:rFonts w:ascii="Times New Roman" w:eastAsia="SimSun"/>
            <w:webHidden/>
          </w:rPr>
          <w:fldChar w:fldCharType="separate"/>
        </w:r>
        <w:r w:rsidR="00EC1136">
          <w:rPr>
            <w:rStyle w:val="a9"/>
            <w:rFonts w:ascii="Times New Roman" w:eastAsia="SimSun"/>
            <w:noProof/>
            <w:webHidden/>
          </w:rPr>
          <w:t>36</w:t>
        </w:r>
        <w:r w:rsidRPr="009674D4">
          <w:rPr>
            <w:rStyle w:val="a9"/>
            <w:rFonts w:ascii="Times New Roman" w:eastAsia="SimSun"/>
            <w:webHidden/>
          </w:rPr>
          <w:fldChar w:fldCharType="end"/>
        </w:r>
      </w:hyperlink>
    </w:p>
    <w:p w:rsidR="00566343" w:rsidRPr="009674D4" w:rsidRDefault="002447A7" w:rsidP="00145EBD">
      <w:pPr>
        <w:pStyle w:val="21"/>
        <w:jc w:val="both"/>
        <w:rPr>
          <w:rStyle w:val="a9"/>
          <w:rFonts w:ascii="Times New Roman" w:eastAsia="SimSun"/>
        </w:rPr>
      </w:pPr>
      <w:hyperlink w:anchor="_Toc532201089" w:history="1">
        <w:r w:rsidR="00566343" w:rsidRPr="00566343">
          <w:rPr>
            <w:rStyle w:val="a9"/>
            <w:rFonts w:ascii="Times New Roman" w:eastAsia="SimSun"/>
          </w:rPr>
          <w:t>VIII. Improving the market-based RMB exchange-rate regime</w:t>
        </w:r>
        <w:r w:rsidR="00566343" w:rsidRPr="009674D4">
          <w:rPr>
            <w:rStyle w:val="a9"/>
            <w:rFonts w:ascii="Times New Roman" w:eastAsia="SimSun"/>
            <w:webHidden/>
          </w:rPr>
          <w:tab/>
        </w:r>
        <w:r w:rsidRPr="009674D4">
          <w:rPr>
            <w:rStyle w:val="a9"/>
            <w:rFonts w:ascii="Times New Roman" w:eastAsia="SimSun"/>
            <w:webHidden/>
          </w:rPr>
          <w:fldChar w:fldCharType="begin"/>
        </w:r>
        <w:r w:rsidR="00566343" w:rsidRPr="009674D4">
          <w:rPr>
            <w:rStyle w:val="a9"/>
            <w:rFonts w:ascii="Times New Roman" w:eastAsia="SimSun"/>
            <w:webHidden/>
          </w:rPr>
          <w:instrText xml:space="preserve"> PAGEREF _Toc532201089 \h </w:instrText>
        </w:r>
        <w:r w:rsidRPr="009674D4">
          <w:rPr>
            <w:rStyle w:val="a9"/>
            <w:rFonts w:ascii="Times New Roman" w:eastAsia="SimSun"/>
            <w:webHidden/>
          </w:rPr>
        </w:r>
        <w:r w:rsidRPr="009674D4">
          <w:rPr>
            <w:rStyle w:val="a9"/>
            <w:rFonts w:ascii="Times New Roman" w:eastAsia="SimSun"/>
            <w:webHidden/>
          </w:rPr>
          <w:fldChar w:fldCharType="separate"/>
        </w:r>
        <w:r w:rsidR="00EC1136">
          <w:rPr>
            <w:rStyle w:val="a9"/>
            <w:rFonts w:ascii="Times New Roman" w:eastAsia="SimSun"/>
            <w:noProof/>
            <w:webHidden/>
          </w:rPr>
          <w:t>36</w:t>
        </w:r>
        <w:r w:rsidRPr="009674D4">
          <w:rPr>
            <w:rStyle w:val="a9"/>
            <w:rFonts w:ascii="Times New Roman" w:eastAsia="SimSun"/>
            <w:webHidden/>
          </w:rPr>
          <w:fldChar w:fldCharType="end"/>
        </w:r>
      </w:hyperlink>
    </w:p>
    <w:p w:rsidR="00566343" w:rsidRPr="009674D4" w:rsidRDefault="002447A7" w:rsidP="00145EBD">
      <w:pPr>
        <w:pStyle w:val="21"/>
        <w:jc w:val="both"/>
        <w:rPr>
          <w:rStyle w:val="a9"/>
          <w:rFonts w:ascii="Times New Roman" w:eastAsia="SimSun"/>
        </w:rPr>
      </w:pPr>
      <w:hyperlink w:anchor="_Toc532201090" w:history="1">
        <w:r w:rsidR="00566343" w:rsidRPr="00566343">
          <w:rPr>
            <w:rStyle w:val="a9"/>
            <w:rFonts w:ascii="Times New Roman" w:eastAsia="SimSun"/>
          </w:rPr>
          <w:t>IX. Deepening reform of foreign-exchange administration</w:t>
        </w:r>
        <w:r w:rsidR="00566343" w:rsidRPr="009674D4">
          <w:rPr>
            <w:rStyle w:val="a9"/>
            <w:rFonts w:ascii="Times New Roman" w:eastAsia="SimSun"/>
            <w:webHidden/>
          </w:rPr>
          <w:tab/>
        </w:r>
        <w:r w:rsidRPr="009674D4">
          <w:rPr>
            <w:rStyle w:val="a9"/>
            <w:rFonts w:ascii="Times New Roman" w:eastAsia="SimSun"/>
            <w:webHidden/>
          </w:rPr>
          <w:fldChar w:fldCharType="begin"/>
        </w:r>
        <w:r w:rsidR="00566343" w:rsidRPr="009674D4">
          <w:rPr>
            <w:rStyle w:val="a9"/>
            <w:rFonts w:ascii="Times New Roman" w:eastAsia="SimSun"/>
            <w:webHidden/>
          </w:rPr>
          <w:instrText xml:space="preserve"> PAGEREF _Toc532201090 \h </w:instrText>
        </w:r>
        <w:r w:rsidRPr="009674D4">
          <w:rPr>
            <w:rStyle w:val="a9"/>
            <w:rFonts w:ascii="Times New Roman" w:eastAsia="SimSun"/>
            <w:webHidden/>
          </w:rPr>
        </w:r>
        <w:r w:rsidRPr="009674D4">
          <w:rPr>
            <w:rStyle w:val="a9"/>
            <w:rFonts w:ascii="Times New Roman" w:eastAsia="SimSun"/>
            <w:webHidden/>
          </w:rPr>
          <w:fldChar w:fldCharType="separate"/>
        </w:r>
        <w:r w:rsidR="00EC1136">
          <w:rPr>
            <w:rStyle w:val="a9"/>
            <w:rFonts w:ascii="Times New Roman" w:eastAsia="SimSun"/>
            <w:noProof/>
            <w:webHidden/>
          </w:rPr>
          <w:t>41</w:t>
        </w:r>
        <w:r w:rsidRPr="009674D4">
          <w:rPr>
            <w:rStyle w:val="a9"/>
            <w:rFonts w:ascii="Times New Roman" w:eastAsia="SimSun"/>
            <w:webHidden/>
          </w:rPr>
          <w:fldChar w:fldCharType="end"/>
        </w:r>
      </w:hyperlink>
    </w:p>
    <w:p w:rsidR="00566343" w:rsidRPr="009674D4" w:rsidRDefault="002447A7" w:rsidP="00145EBD">
      <w:pPr>
        <w:pStyle w:val="1"/>
        <w:jc w:val="both"/>
        <w:rPr>
          <w:rStyle w:val="a9"/>
          <w:rFonts w:ascii="Times New Roman" w:eastAsia="SimSun"/>
          <w:b/>
          <w:sz w:val="24"/>
        </w:rPr>
      </w:pPr>
      <w:hyperlink w:anchor="_Toc532201091" w:history="1">
        <w:r w:rsidR="00566343" w:rsidRPr="009674D4">
          <w:rPr>
            <w:rStyle w:val="a9"/>
            <w:rFonts w:ascii="Times New Roman" w:eastAsia="SimSun"/>
            <w:b/>
            <w:sz w:val="24"/>
          </w:rPr>
          <w:t>Part 3 Analysis of the Financial Market</w:t>
        </w:r>
        <w:r w:rsidR="00566343" w:rsidRPr="009674D4">
          <w:rPr>
            <w:rStyle w:val="a9"/>
            <w:rFonts w:ascii="Times New Roman" w:eastAsia="SimSun"/>
            <w:b/>
            <w:webHidden/>
            <w:sz w:val="24"/>
          </w:rPr>
          <w:tab/>
        </w:r>
        <w:r w:rsidRPr="009674D4">
          <w:rPr>
            <w:rStyle w:val="a9"/>
            <w:rFonts w:ascii="Times New Roman" w:eastAsia="SimSun"/>
            <w:b/>
            <w:webHidden/>
            <w:sz w:val="24"/>
          </w:rPr>
          <w:fldChar w:fldCharType="begin"/>
        </w:r>
        <w:r w:rsidR="00566343" w:rsidRPr="009674D4">
          <w:rPr>
            <w:rStyle w:val="a9"/>
            <w:rFonts w:ascii="Times New Roman" w:eastAsia="SimSun"/>
            <w:b/>
            <w:webHidden/>
            <w:sz w:val="24"/>
          </w:rPr>
          <w:instrText xml:space="preserve"> PAGEREF _Toc532201091 \h </w:instrText>
        </w:r>
        <w:r w:rsidRPr="009674D4">
          <w:rPr>
            <w:rStyle w:val="a9"/>
            <w:rFonts w:ascii="Times New Roman" w:eastAsia="SimSun"/>
            <w:b/>
            <w:webHidden/>
            <w:sz w:val="24"/>
          </w:rPr>
        </w:r>
        <w:r w:rsidRPr="009674D4">
          <w:rPr>
            <w:rStyle w:val="a9"/>
            <w:rFonts w:ascii="Times New Roman" w:eastAsia="SimSun"/>
            <w:b/>
            <w:webHidden/>
            <w:sz w:val="24"/>
          </w:rPr>
          <w:fldChar w:fldCharType="separate"/>
        </w:r>
        <w:r w:rsidR="00EC1136">
          <w:rPr>
            <w:rStyle w:val="a9"/>
            <w:rFonts w:ascii="Times New Roman" w:eastAsia="SimSun"/>
            <w:b/>
            <w:noProof/>
            <w:webHidden/>
            <w:sz w:val="24"/>
          </w:rPr>
          <w:t>42</w:t>
        </w:r>
        <w:r w:rsidRPr="009674D4">
          <w:rPr>
            <w:rStyle w:val="a9"/>
            <w:rFonts w:ascii="Times New Roman" w:eastAsia="SimSun"/>
            <w:b/>
            <w:webHidden/>
            <w:sz w:val="24"/>
          </w:rPr>
          <w:fldChar w:fldCharType="end"/>
        </w:r>
      </w:hyperlink>
    </w:p>
    <w:p w:rsidR="00566343" w:rsidRPr="009674D4" w:rsidRDefault="002447A7">
      <w:pPr>
        <w:pStyle w:val="21"/>
        <w:rPr>
          <w:rStyle w:val="a9"/>
          <w:rFonts w:ascii="Times New Roman" w:eastAsia="SimSun"/>
        </w:rPr>
      </w:pPr>
      <w:hyperlink w:anchor="_Toc532201092" w:history="1">
        <w:r w:rsidR="00566343" w:rsidRPr="009674D4">
          <w:rPr>
            <w:rStyle w:val="a9"/>
            <w:rFonts w:ascii="Times New Roman" w:eastAsia="SimSun"/>
          </w:rPr>
          <w:t>I. Analysis of the financial market</w:t>
        </w:r>
        <w:r w:rsidR="00566343" w:rsidRPr="009674D4">
          <w:rPr>
            <w:rStyle w:val="a9"/>
            <w:rFonts w:ascii="Times New Roman" w:eastAsia="SimSun"/>
            <w:webHidden/>
          </w:rPr>
          <w:tab/>
        </w:r>
        <w:r w:rsidRPr="009674D4">
          <w:rPr>
            <w:rStyle w:val="a9"/>
            <w:rFonts w:ascii="Times New Roman" w:eastAsia="SimSun"/>
            <w:webHidden/>
          </w:rPr>
          <w:fldChar w:fldCharType="begin"/>
        </w:r>
        <w:r w:rsidR="00566343" w:rsidRPr="009674D4">
          <w:rPr>
            <w:rStyle w:val="a9"/>
            <w:rFonts w:ascii="Times New Roman" w:eastAsia="SimSun"/>
            <w:webHidden/>
          </w:rPr>
          <w:instrText xml:space="preserve"> PAGEREF _Toc532201092 \h </w:instrText>
        </w:r>
        <w:r w:rsidRPr="009674D4">
          <w:rPr>
            <w:rStyle w:val="a9"/>
            <w:rFonts w:ascii="Times New Roman" w:eastAsia="SimSun"/>
            <w:webHidden/>
          </w:rPr>
        </w:r>
        <w:r w:rsidRPr="009674D4">
          <w:rPr>
            <w:rStyle w:val="a9"/>
            <w:rFonts w:ascii="Times New Roman" w:eastAsia="SimSun"/>
            <w:webHidden/>
          </w:rPr>
          <w:fldChar w:fldCharType="separate"/>
        </w:r>
        <w:r w:rsidR="00EC1136">
          <w:rPr>
            <w:rStyle w:val="a9"/>
            <w:rFonts w:ascii="Times New Roman" w:eastAsia="SimSun"/>
            <w:noProof/>
            <w:webHidden/>
          </w:rPr>
          <w:t>42</w:t>
        </w:r>
        <w:r w:rsidRPr="009674D4">
          <w:rPr>
            <w:rStyle w:val="a9"/>
            <w:rFonts w:ascii="Times New Roman" w:eastAsia="SimSun"/>
            <w:webHidden/>
          </w:rPr>
          <w:fldChar w:fldCharType="end"/>
        </w:r>
      </w:hyperlink>
    </w:p>
    <w:p w:rsidR="00566343" w:rsidRPr="00566343" w:rsidRDefault="002447A7">
      <w:pPr>
        <w:pStyle w:val="21"/>
        <w:rPr>
          <w:rFonts w:asciiTheme="minorHAnsi" w:eastAsiaTheme="minorEastAsia" w:hAnsiTheme="minorHAnsi" w:cstheme="minorBidi"/>
          <w:noProof/>
          <w:color w:val="auto"/>
          <w:kern w:val="2"/>
          <w:sz w:val="21"/>
          <w:szCs w:val="22"/>
        </w:rPr>
      </w:pPr>
      <w:hyperlink w:anchor="_Toc532201093" w:history="1">
        <w:r w:rsidR="00566343" w:rsidRPr="009674D4">
          <w:rPr>
            <w:rStyle w:val="a9"/>
            <w:rFonts w:ascii="Times New Roman" w:eastAsia="SimSun"/>
          </w:rPr>
          <w:t>II. The development of institutional arrangements in the financial markets</w:t>
        </w:r>
        <w:r w:rsidR="00566343" w:rsidRPr="009674D4">
          <w:rPr>
            <w:rStyle w:val="a9"/>
            <w:rFonts w:ascii="Times New Roman" w:eastAsia="SimSun"/>
            <w:webHidden/>
          </w:rPr>
          <w:tab/>
        </w:r>
        <w:r w:rsidRPr="009674D4">
          <w:rPr>
            <w:rStyle w:val="a9"/>
            <w:rFonts w:ascii="Times New Roman" w:eastAsia="SimSun"/>
            <w:webHidden/>
          </w:rPr>
          <w:fldChar w:fldCharType="begin"/>
        </w:r>
        <w:r w:rsidR="00566343" w:rsidRPr="009674D4">
          <w:rPr>
            <w:rStyle w:val="a9"/>
            <w:rFonts w:ascii="Times New Roman" w:eastAsia="SimSun"/>
            <w:webHidden/>
          </w:rPr>
          <w:instrText xml:space="preserve"> PAGEREF _Toc532201093 \h </w:instrText>
        </w:r>
        <w:r w:rsidRPr="009674D4">
          <w:rPr>
            <w:rStyle w:val="a9"/>
            <w:rFonts w:ascii="Times New Roman" w:eastAsia="SimSun"/>
            <w:webHidden/>
          </w:rPr>
        </w:r>
        <w:r w:rsidRPr="009674D4">
          <w:rPr>
            <w:rStyle w:val="a9"/>
            <w:rFonts w:ascii="Times New Roman" w:eastAsia="SimSun"/>
            <w:webHidden/>
          </w:rPr>
          <w:fldChar w:fldCharType="separate"/>
        </w:r>
        <w:r w:rsidR="00EC1136">
          <w:rPr>
            <w:rStyle w:val="a9"/>
            <w:rFonts w:ascii="Times New Roman" w:eastAsia="SimSun"/>
            <w:noProof/>
            <w:webHidden/>
          </w:rPr>
          <w:t>54</w:t>
        </w:r>
        <w:r w:rsidRPr="009674D4">
          <w:rPr>
            <w:rStyle w:val="a9"/>
            <w:rFonts w:ascii="Times New Roman" w:eastAsia="SimSun"/>
            <w:webHidden/>
          </w:rPr>
          <w:fldChar w:fldCharType="end"/>
        </w:r>
      </w:hyperlink>
    </w:p>
    <w:p w:rsidR="00566343" w:rsidRPr="00145EBD" w:rsidRDefault="002447A7" w:rsidP="00145EBD">
      <w:pPr>
        <w:pStyle w:val="1"/>
        <w:jc w:val="both"/>
        <w:rPr>
          <w:rStyle w:val="a9"/>
          <w:rFonts w:ascii="Times New Roman" w:eastAsia="宋体"/>
          <w:b/>
          <w:sz w:val="24"/>
        </w:rPr>
      </w:pPr>
      <w:hyperlink w:anchor="_Toc532201094" w:history="1">
        <w:r w:rsidR="00566343" w:rsidRPr="00145EBD">
          <w:rPr>
            <w:rStyle w:val="a9"/>
            <w:rFonts w:ascii="Times New Roman" w:eastAsia="宋体"/>
            <w:b/>
            <w:noProof/>
            <w:sz w:val="24"/>
          </w:rPr>
          <w:t>Part 4.  Macroeconomic Overview</w:t>
        </w:r>
        <w:r w:rsidR="00566343" w:rsidRPr="00145EBD">
          <w:rPr>
            <w:rStyle w:val="a9"/>
            <w:rFonts w:ascii="Times New Roman" w:eastAsia="宋体"/>
            <w:b/>
            <w:webHidden/>
            <w:sz w:val="24"/>
          </w:rPr>
          <w:tab/>
        </w:r>
        <w:r w:rsidRPr="00145EBD">
          <w:rPr>
            <w:rStyle w:val="a9"/>
            <w:rFonts w:ascii="Times New Roman" w:eastAsia="宋体"/>
            <w:b/>
            <w:webHidden/>
            <w:sz w:val="24"/>
          </w:rPr>
          <w:fldChar w:fldCharType="begin"/>
        </w:r>
        <w:r w:rsidR="00566343" w:rsidRPr="00145EBD">
          <w:rPr>
            <w:rStyle w:val="a9"/>
            <w:rFonts w:ascii="Times New Roman" w:eastAsia="宋体"/>
            <w:b/>
            <w:webHidden/>
            <w:sz w:val="24"/>
          </w:rPr>
          <w:instrText xml:space="preserve"> PAGEREF _Toc532201094 \h </w:instrText>
        </w:r>
        <w:r w:rsidRPr="00145EBD">
          <w:rPr>
            <w:rStyle w:val="a9"/>
            <w:rFonts w:ascii="Times New Roman" w:eastAsia="宋体"/>
            <w:b/>
            <w:webHidden/>
            <w:sz w:val="24"/>
          </w:rPr>
        </w:r>
        <w:r w:rsidRPr="00145EBD">
          <w:rPr>
            <w:rStyle w:val="a9"/>
            <w:rFonts w:ascii="Times New Roman" w:eastAsia="宋体"/>
            <w:b/>
            <w:webHidden/>
            <w:sz w:val="24"/>
          </w:rPr>
          <w:fldChar w:fldCharType="separate"/>
        </w:r>
        <w:r w:rsidR="00EC1136">
          <w:rPr>
            <w:rStyle w:val="a9"/>
            <w:rFonts w:ascii="Times New Roman" w:eastAsia="宋体"/>
            <w:b/>
            <w:noProof/>
            <w:webHidden/>
            <w:sz w:val="24"/>
          </w:rPr>
          <w:t>57</w:t>
        </w:r>
        <w:r w:rsidRPr="00145EBD">
          <w:rPr>
            <w:rStyle w:val="a9"/>
            <w:rFonts w:ascii="Times New Roman" w:eastAsia="宋体"/>
            <w:b/>
            <w:webHidden/>
            <w:sz w:val="24"/>
          </w:rPr>
          <w:fldChar w:fldCharType="end"/>
        </w:r>
      </w:hyperlink>
    </w:p>
    <w:p w:rsidR="00566343" w:rsidRPr="009674D4" w:rsidRDefault="002447A7">
      <w:pPr>
        <w:pStyle w:val="21"/>
        <w:rPr>
          <w:rStyle w:val="a9"/>
          <w:rFonts w:ascii="Times New Roman" w:eastAsia="SimSun"/>
        </w:rPr>
      </w:pPr>
      <w:hyperlink w:anchor="_Toc532201095" w:history="1">
        <w:r w:rsidR="00566343" w:rsidRPr="009674D4">
          <w:rPr>
            <w:rStyle w:val="a9"/>
            <w:rFonts w:ascii="Times New Roman" w:eastAsia="SimSun"/>
          </w:rPr>
          <w:t>I. Global economic and financial developments</w:t>
        </w:r>
        <w:r w:rsidR="00566343" w:rsidRPr="009674D4">
          <w:rPr>
            <w:rStyle w:val="a9"/>
            <w:rFonts w:ascii="Times New Roman" w:eastAsia="SimSun"/>
            <w:webHidden/>
          </w:rPr>
          <w:tab/>
        </w:r>
        <w:r w:rsidRPr="009674D4">
          <w:rPr>
            <w:rStyle w:val="a9"/>
            <w:rFonts w:ascii="Times New Roman" w:eastAsia="SimSun"/>
            <w:webHidden/>
          </w:rPr>
          <w:fldChar w:fldCharType="begin"/>
        </w:r>
        <w:r w:rsidR="00566343" w:rsidRPr="009674D4">
          <w:rPr>
            <w:rStyle w:val="a9"/>
            <w:rFonts w:ascii="Times New Roman" w:eastAsia="SimSun"/>
            <w:webHidden/>
          </w:rPr>
          <w:instrText xml:space="preserve"> PAGEREF _Toc532201095 \h </w:instrText>
        </w:r>
        <w:r w:rsidRPr="009674D4">
          <w:rPr>
            <w:rStyle w:val="a9"/>
            <w:rFonts w:ascii="Times New Roman" w:eastAsia="SimSun"/>
            <w:webHidden/>
          </w:rPr>
        </w:r>
        <w:r w:rsidRPr="009674D4">
          <w:rPr>
            <w:rStyle w:val="a9"/>
            <w:rFonts w:ascii="Times New Roman" w:eastAsia="SimSun"/>
            <w:webHidden/>
          </w:rPr>
          <w:fldChar w:fldCharType="separate"/>
        </w:r>
        <w:r w:rsidR="00EC1136">
          <w:rPr>
            <w:rStyle w:val="a9"/>
            <w:rFonts w:ascii="Times New Roman" w:eastAsia="SimSun"/>
            <w:noProof/>
            <w:webHidden/>
          </w:rPr>
          <w:t>57</w:t>
        </w:r>
        <w:r w:rsidRPr="009674D4">
          <w:rPr>
            <w:rStyle w:val="a9"/>
            <w:rFonts w:ascii="Times New Roman" w:eastAsia="SimSun"/>
            <w:webHidden/>
          </w:rPr>
          <w:fldChar w:fldCharType="end"/>
        </w:r>
      </w:hyperlink>
    </w:p>
    <w:p w:rsidR="00566343" w:rsidRPr="009674D4" w:rsidRDefault="002447A7">
      <w:pPr>
        <w:pStyle w:val="21"/>
        <w:rPr>
          <w:rStyle w:val="a9"/>
          <w:rFonts w:ascii="Times New Roman" w:eastAsia="SimSun"/>
        </w:rPr>
      </w:pPr>
      <w:hyperlink w:anchor="_Toc532201096" w:history="1">
        <w:r w:rsidR="00566343" w:rsidRPr="009674D4">
          <w:rPr>
            <w:rStyle w:val="a9"/>
            <w:rFonts w:ascii="Times New Roman" w:eastAsia="SimSun"/>
          </w:rPr>
          <w:t>II. Macroeconomic developments in China</w:t>
        </w:r>
        <w:r w:rsidR="00566343" w:rsidRPr="009674D4">
          <w:rPr>
            <w:rStyle w:val="a9"/>
            <w:rFonts w:ascii="Times New Roman" w:eastAsia="SimSun"/>
            <w:webHidden/>
          </w:rPr>
          <w:tab/>
        </w:r>
        <w:r w:rsidRPr="009674D4">
          <w:rPr>
            <w:rStyle w:val="a9"/>
            <w:rFonts w:ascii="Times New Roman" w:eastAsia="SimSun"/>
            <w:webHidden/>
          </w:rPr>
          <w:fldChar w:fldCharType="begin"/>
        </w:r>
        <w:r w:rsidR="00566343" w:rsidRPr="009674D4">
          <w:rPr>
            <w:rStyle w:val="a9"/>
            <w:rFonts w:ascii="Times New Roman" w:eastAsia="SimSun"/>
            <w:webHidden/>
          </w:rPr>
          <w:instrText xml:space="preserve"> PAGEREF _Toc532201096 \h </w:instrText>
        </w:r>
        <w:r w:rsidRPr="009674D4">
          <w:rPr>
            <w:rStyle w:val="a9"/>
            <w:rFonts w:ascii="Times New Roman" w:eastAsia="SimSun"/>
            <w:webHidden/>
          </w:rPr>
        </w:r>
        <w:r w:rsidRPr="009674D4">
          <w:rPr>
            <w:rStyle w:val="a9"/>
            <w:rFonts w:ascii="Times New Roman" w:eastAsia="SimSun"/>
            <w:webHidden/>
          </w:rPr>
          <w:fldChar w:fldCharType="separate"/>
        </w:r>
        <w:r w:rsidR="00EC1136">
          <w:rPr>
            <w:rStyle w:val="a9"/>
            <w:rFonts w:ascii="Times New Roman" w:eastAsia="SimSun"/>
            <w:noProof/>
            <w:webHidden/>
          </w:rPr>
          <w:t>66</w:t>
        </w:r>
        <w:r w:rsidRPr="009674D4">
          <w:rPr>
            <w:rStyle w:val="a9"/>
            <w:rFonts w:ascii="Times New Roman" w:eastAsia="SimSun"/>
            <w:webHidden/>
          </w:rPr>
          <w:fldChar w:fldCharType="end"/>
        </w:r>
      </w:hyperlink>
    </w:p>
    <w:p w:rsidR="00566343" w:rsidRPr="00145EBD" w:rsidRDefault="002447A7">
      <w:pPr>
        <w:pStyle w:val="1"/>
        <w:rPr>
          <w:rStyle w:val="a9"/>
          <w:rFonts w:ascii="Times New Roman" w:eastAsia="宋体"/>
          <w:b/>
          <w:sz w:val="24"/>
        </w:rPr>
      </w:pPr>
      <w:hyperlink w:anchor="_Toc532201097" w:history="1">
        <w:r w:rsidR="00566343" w:rsidRPr="00145EBD">
          <w:rPr>
            <w:rStyle w:val="a9"/>
            <w:rFonts w:ascii="Times New Roman" w:eastAsia="宋体"/>
            <w:b/>
            <w:noProof/>
            <w:sz w:val="24"/>
          </w:rPr>
          <w:t>Part 5. Monetary-Policy Stance to be Adopted during the Next Stage</w:t>
        </w:r>
        <w:r w:rsidR="00566343" w:rsidRPr="00145EBD">
          <w:rPr>
            <w:rStyle w:val="a9"/>
            <w:rFonts w:ascii="Times New Roman" w:eastAsia="宋体"/>
            <w:b/>
            <w:webHidden/>
            <w:sz w:val="24"/>
          </w:rPr>
          <w:tab/>
        </w:r>
        <w:r w:rsidRPr="00145EBD">
          <w:rPr>
            <w:rStyle w:val="a9"/>
            <w:rFonts w:ascii="Times New Roman" w:eastAsia="宋体"/>
            <w:b/>
            <w:webHidden/>
            <w:sz w:val="24"/>
          </w:rPr>
          <w:fldChar w:fldCharType="begin"/>
        </w:r>
        <w:r w:rsidR="00566343" w:rsidRPr="00145EBD">
          <w:rPr>
            <w:rStyle w:val="a9"/>
            <w:rFonts w:ascii="Times New Roman" w:eastAsia="宋体"/>
            <w:b/>
            <w:webHidden/>
            <w:sz w:val="24"/>
          </w:rPr>
          <w:instrText xml:space="preserve"> PAGEREF _Toc532201097 \h </w:instrText>
        </w:r>
        <w:r w:rsidRPr="00145EBD">
          <w:rPr>
            <w:rStyle w:val="a9"/>
            <w:rFonts w:ascii="Times New Roman" w:eastAsia="宋体"/>
            <w:b/>
            <w:webHidden/>
            <w:sz w:val="24"/>
          </w:rPr>
        </w:r>
        <w:r w:rsidRPr="00145EBD">
          <w:rPr>
            <w:rStyle w:val="a9"/>
            <w:rFonts w:ascii="Times New Roman" w:eastAsia="宋体"/>
            <w:b/>
            <w:webHidden/>
            <w:sz w:val="24"/>
          </w:rPr>
          <w:fldChar w:fldCharType="separate"/>
        </w:r>
        <w:r w:rsidR="00EC1136">
          <w:rPr>
            <w:rStyle w:val="a9"/>
            <w:rFonts w:ascii="Times New Roman" w:eastAsia="宋体"/>
            <w:b/>
            <w:noProof/>
            <w:webHidden/>
            <w:sz w:val="24"/>
          </w:rPr>
          <w:t>80</w:t>
        </w:r>
        <w:r w:rsidRPr="00145EBD">
          <w:rPr>
            <w:rStyle w:val="a9"/>
            <w:rFonts w:ascii="Times New Roman" w:eastAsia="宋体"/>
            <w:b/>
            <w:webHidden/>
            <w:sz w:val="24"/>
          </w:rPr>
          <w:fldChar w:fldCharType="end"/>
        </w:r>
      </w:hyperlink>
    </w:p>
    <w:p w:rsidR="00566343" w:rsidRPr="00566343" w:rsidRDefault="002447A7">
      <w:pPr>
        <w:pStyle w:val="21"/>
        <w:rPr>
          <w:rStyle w:val="a9"/>
          <w:rFonts w:ascii="Times New Roman" w:eastAsia="宋体"/>
        </w:rPr>
      </w:pPr>
      <w:hyperlink w:anchor="_Toc532201098" w:history="1">
        <w:r w:rsidR="00566343" w:rsidRPr="00566343">
          <w:rPr>
            <w:rStyle w:val="a9"/>
            <w:rFonts w:ascii="Times New Roman" w:eastAsia="宋体"/>
            <w:noProof/>
          </w:rPr>
          <w:t>I.</w:t>
        </w:r>
        <w:r w:rsidR="00EE3C76">
          <w:rPr>
            <w:rStyle w:val="a9"/>
            <w:rFonts w:ascii="Times New Roman" w:eastAsia="宋体" w:hint="eastAsia"/>
            <w:noProof/>
          </w:rPr>
          <w:t xml:space="preserve"> </w:t>
        </w:r>
        <w:r w:rsidR="00566343" w:rsidRPr="00566343">
          <w:rPr>
            <w:rStyle w:val="a9"/>
            <w:rFonts w:ascii="Times New Roman" w:eastAsia="宋体"/>
            <w:noProof/>
          </w:rPr>
          <w:t>Outlook for the Chinese economy</w:t>
        </w:r>
        <w:r w:rsidR="00566343" w:rsidRPr="00566343">
          <w:rPr>
            <w:rStyle w:val="a9"/>
            <w:rFonts w:ascii="Times New Roman" w:eastAsia="宋体"/>
            <w:webHidden/>
          </w:rPr>
          <w:tab/>
        </w:r>
        <w:r w:rsidRPr="00566343">
          <w:rPr>
            <w:rStyle w:val="a9"/>
            <w:rFonts w:ascii="Times New Roman" w:eastAsia="宋体"/>
            <w:webHidden/>
          </w:rPr>
          <w:fldChar w:fldCharType="begin"/>
        </w:r>
        <w:r w:rsidR="00566343" w:rsidRPr="00566343">
          <w:rPr>
            <w:rStyle w:val="a9"/>
            <w:rFonts w:ascii="Times New Roman" w:eastAsia="宋体"/>
            <w:webHidden/>
          </w:rPr>
          <w:instrText xml:space="preserve"> PAGEREF _Toc532201098 \h </w:instrText>
        </w:r>
        <w:r w:rsidRPr="00566343">
          <w:rPr>
            <w:rStyle w:val="a9"/>
            <w:rFonts w:ascii="Times New Roman" w:eastAsia="宋体"/>
            <w:webHidden/>
          </w:rPr>
        </w:r>
        <w:r w:rsidRPr="00566343">
          <w:rPr>
            <w:rStyle w:val="a9"/>
            <w:rFonts w:ascii="Times New Roman" w:eastAsia="宋体"/>
            <w:webHidden/>
          </w:rPr>
          <w:fldChar w:fldCharType="separate"/>
        </w:r>
        <w:r w:rsidR="00EC1136">
          <w:rPr>
            <w:rStyle w:val="a9"/>
            <w:rFonts w:ascii="Times New Roman" w:eastAsia="宋体"/>
            <w:noProof/>
            <w:webHidden/>
          </w:rPr>
          <w:t>80</w:t>
        </w:r>
        <w:r w:rsidRPr="00566343">
          <w:rPr>
            <w:rStyle w:val="a9"/>
            <w:rFonts w:ascii="Times New Roman" w:eastAsia="宋体"/>
            <w:webHidden/>
          </w:rPr>
          <w:fldChar w:fldCharType="end"/>
        </w:r>
      </w:hyperlink>
    </w:p>
    <w:p w:rsidR="00566343" w:rsidRPr="00566343" w:rsidRDefault="002447A7">
      <w:pPr>
        <w:pStyle w:val="21"/>
        <w:rPr>
          <w:rStyle w:val="a9"/>
          <w:rFonts w:ascii="Times New Roman" w:eastAsia="宋体"/>
        </w:rPr>
      </w:pPr>
      <w:hyperlink w:anchor="_Toc532201099" w:history="1">
        <w:r w:rsidR="00566343" w:rsidRPr="00566343">
          <w:rPr>
            <w:rStyle w:val="a9"/>
            <w:rFonts w:ascii="Times New Roman" w:eastAsia="宋体"/>
            <w:noProof/>
          </w:rPr>
          <w:t>II. Monetary policy during the next stage</w:t>
        </w:r>
        <w:r w:rsidR="00566343" w:rsidRPr="00566343">
          <w:rPr>
            <w:rStyle w:val="a9"/>
            <w:rFonts w:ascii="Times New Roman" w:eastAsia="宋体"/>
            <w:webHidden/>
          </w:rPr>
          <w:tab/>
        </w:r>
        <w:r w:rsidRPr="00566343">
          <w:rPr>
            <w:rStyle w:val="a9"/>
            <w:rFonts w:ascii="Times New Roman" w:eastAsia="宋体"/>
            <w:webHidden/>
          </w:rPr>
          <w:fldChar w:fldCharType="begin"/>
        </w:r>
        <w:r w:rsidR="00566343" w:rsidRPr="00566343">
          <w:rPr>
            <w:rStyle w:val="a9"/>
            <w:rFonts w:ascii="Times New Roman" w:eastAsia="宋体"/>
            <w:webHidden/>
          </w:rPr>
          <w:instrText xml:space="preserve"> PAGEREF _Toc532201099 \h </w:instrText>
        </w:r>
        <w:r w:rsidRPr="00566343">
          <w:rPr>
            <w:rStyle w:val="a9"/>
            <w:rFonts w:ascii="Times New Roman" w:eastAsia="宋体"/>
            <w:webHidden/>
          </w:rPr>
        </w:r>
        <w:r w:rsidRPr="00566343">
          <w:rPr>
            <w:rStyle w:val="a9"/>
            <w:rFonts w:ascii="Times New Roman" w:eastAsia="宋体"/>
            <w:webHidden/>
          </w:rPr>
          <w:fldChar w:fldCharType="separate"/>
        </w:r>
        <w:r w:rsidR="00EC1136">
          <w:rPr>
            <w:rStyle w:val="a9"/>
            <w:rFonts w:ascii="Times New Roman" w:eastAsia="宋体"/>
            <w:noProof/>
            <w:webHidden/>
          </w:rPr>
          <w:t>82</w:t>
        </w:r>
        <w:r w:rsidRPr="00566343">
          <w:rPr>
            <w:rStyle w:val="a9"/>
            <w:rFonts w:ascii="Times New Roman" w:eastAsia="宋体"/>
            <w:webHidden/>
          </w:rPr>
          <w:fldChar w:fldCharType="end"/>
        </w:r>
      </w:hyperlink>
    </w:p>
    <w:p w:rsidR="00E86627" w:rsidRPr="009674D4" w:rsidRDefault="002447A7" w:rsidP="005A0958">
      <w:pPr>
        <w:pStyle w:val="21"/>
        <w:spacing w:line="360" w:lineRule="auto"/>
        <w:jc w:val="both"/>
        <w:rPr>
          <w:rStyle w:val="a9"/>
          <w:rFonts w:ascii="Times New Roman" w:eastAsia="SimSun"/>
        </w:rPr>
      </w:pPr>
      <w:r w:rsidRPr="00566343">
        <w:rPr>
          <w:rStyle w:val="a9"/>
          <w:rFonts w:ascii="Times New Roman" w:eastAsia="宋体"/>
          <w:noProof/>
        </w:rPr>
        <w:fldChar w:fldCharType="end"/>
      </w:r>
    </w:p>
    <w:p w:rsidR="005A0958" w:rsidRPr="009674D4" w:rsidRDefault="005A0958" w:rsidP="005A0958">
      <w:pPr>
        <w:rPr>
          <w:rStyle w:val="a9"/>
          <w:rFonts w:eastAsia="SimSun"/>
          <w:kern w:val="0"/>
          <w:sz w:val="24"/>
          <w:szCs w:val="36"/>
        </w:rPr>
      </w:pPr>
    </w:p>
    <w:p w:rsidR="005A0958" w:rsidRDefault="005A0958" w:rsidP="005A0958"/>
    <w:p w:rsidR="005A0958" w:rsidRDefault="005A0958" w:rsidP="005A0958"/>
    <w:p w:rsidR="005A0958" w:rsidRDefault="005A0958" w:rsidP="005A0958"/>
    <w:p w:rsidR="005A0958" w:rsidRDefault="005A0958" w:rsidP="005A0958"/>
    <w:p w:rsidR="00A60151" w:rsidRPr="005A0958" w:rsidRDefault="00A60151" w:rsidP="005A0958"/>
    <w:p w:rsidR="00E86627" w:rsidRPr="002E7312" w:rsidRDefault="00E86627" w:rsidP="00E86627">
      <w:pPr>
        <w:tabs>
          <w:tab w:val="right" w:leader="dot" w:pos="8296"/>
        </w:tabs>
        <w:spacing w:line="360" w:lineRule="auto"/>
        <w:ind w:leftChars="-7" w:left="-15" w:firstLineChars="5" w:firstLine="11"/>
        <w:rPr>
          <w:rStyle w:val="a9"/>
          <w:b/>
          <w:noProof/>
          <w:color w:val="auto"/>
          <w:u w:val="none"/>
        </w:rPr>
      </w:pPr>
      <w:r w:rsidRPr="002E7312">
        <w:rPr>
          <w:rStyle w:val="a9"/>
          <w:b/>
          <w:noProof/>
          <w:color w:val="auto"/>
          <w:u w:val="none"/>
        </w:rPr>
        <w:lastRenderedPageBreak/>
        <w:t>Boxes</w:t>
      </w:r>
    </w:p>
    <w:p w:rsidR="00D34149" w:rsidRPr="002E3175" w:rsidRDefault="002447A7" w:rsidP="002E3175">
      <w:pPr>
        <w:pStyle w:val="aa"/>
        <w:tabs>
          <w:tab w:val="right" w:leader="dot" w:pos="8296"/>
        </w:tabs>
        <w:rPr>
          <w:rFonts w:asciiTheme="minorHAnsi" w:eastAsiaTheme="minorEastAsia" w:hAnsiTheme="minorHAnsi" w:cstheme="minorBidi"/>
          <w:noProof/>
          <w:szCs w:val="22"/>
        </w:rPr>
      </w:pPr>
      <w:r w:rsidRPr="002E3175">
        <w:rPr>
          <w:rStyle w:val="a9"/>
          <w:noProof/>
        </w:rPr>
        <w:fldChar w:fldCharType="begin"/>
      </w:r>
      <w:r w:rsidR="00E86627" w:rsidRPr="002E3175">
        <w:rPr>
          <w:rStyle w:val="a9"/>
          <w:noProof/>
        </w:rPr>
        <w:instrText xml:space="preserve"> TOC \c "Box" </w:instrText>
      </w:r>
      <w:r w:rsidRPr="002E3175">
        <w:rPr>
          <w:rStyle w:val="a9"/>
          <w:noProof/>
        </w:rPr>
        <w:fldChar w:fldCharType="separate"/>
      </w:r>
      <w:r w:rsidR="00D34149" w:rsidRPr="002E3175">
        <w:rPr>
          <w:noProof/>
        </w:rPr>
        <w:t>Box 1 The Excess Reserve Ratio and Monetary-Policy Transmission</w:t>
      </w:r>
      <w:r w:rsidR="00D34149" w:rsidRPr="002E3175">
        <w:rPr>
          <w:noProof/>
        </w:rPr>
        <w:tab/>
      </w:r>
      <w:r w:rsidRPr="002E3175">
        <w:rPr>
          <w:noProof/>
        </w:rPr>
        <w:fldChar w:fldCharType="begin"/>
      </w:r>
      <w:r w:rsidR="00D34149" w:rsidRPr="002E3175">
        <w:rPr>
          <w:noProof/>
        </w:rPr>
        <w:instrText xml:space="preserve"> PAGEREF _Toc532201920 \h </w:instrText>
      </w:r>
      <w:r w:rsidRPr="002E3175">
        <w:rPr>
          <w:noProof/>
        </w:rPr>
      </w:r>
      <w:r w:rsidRPr="002E3175">
        <w:rPr>
          <w:noProof/>
        </w:rPr>
        <w:fldChar w:fldCharType="separate"/>
      </w:r>
      <w:r w:rsidR="00EC1136">
        <w:rPr>
          <w:noProof/>
        </w:rPr>
        <w:t>9</w:t>
      </w:r>
      <w:r w:rsidRPr="002E3175">
        <w:rPr>
          <w:noProof/>
        </w:rPr>
        <w:fldChar w:fldCharType="end"/>
      </w:r>
    </w:p>
    <w:p w:rsidR="00D34149" w:rsidRPr="002E3175" w:rsidRDefault="00D34149" w:rsidP="002E3175">
      <w:pPr>
        <w:pStyle w:val="aa"/>
        <w:tabs>
          <w:tab w:val="right" w:leader="dot" w:pos="8296"/>
        </w:tabs>
        <w:rPr>
          <w:rFonts w:asciiTheme="minorHAnsi" w:eastAsiaTheme="minorEastAsia" w:hAnsiTheme="minorHAnsi" w:cstheme="minorBidi"/>
          <w:noProof/>
          <w:szCs w:val="22"/>
        </w:rPr>
      </w:pPr>
      <w:r w:rsidRPr="002E3175">
        <w:rPr>
          <w:noProof/>
        </w:rPr>
        <w:t>Box 2 The Private Economy and Financial Support</w:t>
      </w:r>
      <w:r w:rsidRPr="002E3175">
        <w:rPr>
          <w:noProof/>
        </w:rPr>
        <w:tab/>
      </w:r>
      <w:r w:rsidR="002447A7" w:rsidRPr="002E3175">
        <w:rPr>
          <w:noProof/>
        </w:rPr>
        <w:fldChar w:fldCharType="begin"/>
      </w:r>
      <w:r w:rsidRPr="002E3175">
        <w:rPr>
          <w:noProof/>
        </w:rPr>
        <w:instrText xml:space="preserve"> PAGEREF _Toc532201921 \h </w:instrText>
      </w:r>
      <w:r w:rsidR="002447A7" w:rsidRPr="002E3175">
        <w:rPr>
          <w:noProof/>
        </w:rPr>
      </w:r>
      <w:r w:rsidR="002447A7" w:rsidRPr="002E3175">
        <w:rPr>
          <w:noProof/>
        </w:rPr>
        <w:fldChar w:fldCharType="separate"/>
      </w:r>
      <w:r w:rsidR="00EC1136">
        <w:rPr>
          <w:noProof/>
        </w:rPr>
        <w:t>31</w:t>
      </w:r>
      <w:r w:rsidR="002447A7" w:rsidRPr="002E3175">
        <w:rPr>
          <w:noProof/>
        </w:rPr>
        <w:fldChar w:fldCharType="end"/>
      </w:r>
    </w:p>
    <w:p w:rsidR="00D34149" w:rsidRPr="002E3175" w:rsidRDefault="00D34149" w:rsidP="00EC1136">
      <w:pPr>
        <w:pStyle w:val="aa"/>
        <w:tabs>
          <w:tab w:val="right" w:leader="dot" w:pos="8296"/>
        </w:tabs>
        <w:ind w:leftChars="199" w:left="422" w:hangingChars="2" w:hanging="4"/>
        <w:jc w:val="distribute"/>
        <w:rPr>
          <w:rFonts w:asciiTheme="minorHAnsi" w:eastAsiaTheme="minorEastAsia" w:hAnsiTheme="minorHAnsi" w:cstheme="minorBidi"/>
          <w:noProof/>
          <w:szCs w:val="22"/>
        </w:rPr>
      </w:pPr>
      <w:r w:rsidRPr="002E3175">
        <w:rPr>
          <w:noProof/>
        </w:rPr>
        <w:t>Box 3 Construction of a Self-Disciplinary Mechanism Tailored to the Development of the Foreign-Exchange Market</w:t>
      </w:r>
      <w:r w:rsidRPr="002E3175">
        <w:rPr>
          <w:noProof/>
        </w:rPr>
        <w:tab/>
      </w:r>
      <w:r w:rsidR="002447A7" w:rsidRPr="002E3175">
        <w:rPr>
          <w:noProof/>
        </w:rPr>
        <w:fldChar w:fldCharType="begin"/>
      </w:r>
      <w:r w:rsidRPr="002E3175">
        <w:rPr>
          <w:noProof/>
        </w:rPr>
        <w:instrText xml:space="preserve"> PAGEREF _Toc532201922 \h </w:instrText>
      </w:r>
      <w:r w:rsidR="002447A7" w:rsidRPr="002E3175">
        <w:rPr>
          <w:noProof/>
        </w:rPr>
      </w:r>
      <w:r w:rsidR="002447A7" w:rsidRPr="002E3175">
        <w:rPr>
          <w:noProof/>
        </w:rPr>
        <w:fldChar w:fldCharType="separate"/>
      </w:r>
      <w:r w:rsidR="00EC1136">
        <w:rPr>
          <w:noProof/>
        </w:rPr>
        <w:t>37</w:t>
      </w:r>
      <w:r w:rsidR="002447A7" w:rsidRPr="002E3175">
        <w:rPr>
          <w:noProof/>
        </w:rPr>
        <w:fldChar w:fldCharType="end"/>
      </w:r>
    </w:p>
    <w:p w:rsidR="00D34149" w:rsidRPr="002E3175" w:rsidRDefault="00D34149" w:rsidP="002E3175">
      <w:pPr>
        <w:pStyle w:val="aa"/>
        <w:tabs>
          <w:tab w:val="right" w:leader="dot" w:pos="8296"/>
        </w:tabs>
        <w:rPr>
          <w:rFonts w:asciiTheme="minorHAnsi" w:eastAsiaTheme="minorEastAsia" w:hAnsiTheme="minorHAnsi" w:cstheme="minorBidi"/>
          <w:noProof/>
          <w:szCs w:val="22"/>
        </w:rPr>
      </w:pPr>
      <w:r w:rsidRPr="002E3175">
        <w:rPr>
          <w:noProof/>
        </w:rPr>
        <w:t>Box 4 Analysis of the Current Price Situation</w:t>
      </w:r>
      <w:r w:rsidRPr="002E3175">
        <w:rPr>
          <w:noProof/>
        </w:rPr>
        <w:tab/>
      </w:r>
      <w:r w:rsidR="002447A7" w:rsidRPr="002E3175">
        <w:rPr>
          <w:noProof/>
        </w:rPr>
        <w:fldChar w:fldCharType="begin"/>
      </w:r>
      <w:r w:rsidRPr="002E3175">
        <w:rPr>
          <w:noProof/>
        </w:rPr>
        <w:instrText xml:space="preserve"> PAGEREF _Toc532201923 \h </w:instrText>
      </w:r>
      <w:r w:rsidR="002447A7" w:rsidRPr="002E3175">
        <w:rPr>
          <w:noProof/>
        </w:rPr>
      </w:r>
      <w:r w:rsidR="002447A7" w:rsidRPr="002E3175">
        <w:rPr>
          <w:noProof/>
        </w:rPr>
        <w:fldChar w:fldCharType="separate"/>
      </w:r>
      <w:r w:rsidR="00EC1136">
        <w:rPr>
          <w:noProof/>
        </w:rPr>
        <w:t>72</w:t>
      </w:r>
      <w:r w:rsidR="002447A7" w:rsidRPr="002E3175">
        <w:rPr>
          <w:noProof/>
        </w:rPr>
        <w:fldChar w:fldCharType="end"/>
      </w:r>
    </w:p>
    <w:p w:rsidR="00E86627" w:rsidRPr="002E3175" w:rsidRDefault="002447A7" w:rsidP="00E86627">
      <w:pPr>
        <w:pStyle w:val="aa"/>
        <w:tabs>
          <w:tab w:val="right" w:leader="dot" w:pos="8296"/>
        </w:tabs>
        <w:spacing w:line="360" w:lineRule="auto"/>
        <w:ind w:leftChars="0" w:left="0" w:firstLineChars="0" w:firstLine="0"/>
        <w:rPr>
          <w:rStyle w:val="a9"/>
          <w:noProof/>
        </w:rPr>
      </w:pPr>
      <w:r w:rsidRPr="002E3175">
        <w:rPr>
          <w:rStyle w:val="a9"/>
          <w:noProof/>
        </w:rPr>
        <w:fldChar w:fldCharType="end"/>
      </w:r>
    </w:p>
    <w:p w:rsidR="00E86627" w:rsidRPr="002E7312" w:rsidRDefault="00E86627" w:rsidP="00E86627">
      <w:pPr>
        <w:tabs>
          <w:tab w:val="right" w:leader="dot" w:pos="8296"/>
        </w:tabs>
        <w:spacing w:line="360" w:lineRule="auto"/>
        <w:ind w:leftChars="-7" w:left="-15" w:firstLineChars="5" w:firstLine="11"/>
        <w:rPr>
          <w:rStyle w:val="a9"/>
          <w:b/>
          <w:noProof/>
          <w:color w:val="auto"/>
          <w:u w:val="none"/>
        </w:rPr>
      </w:pPr>
      <w:r w:rsidRPr="002E7312">
        <w:rPr>
          <w:rStyle w:val="a9"/>
          <w:b/>
          <w:noProof/>
          <w:color w:val="auto"/>
          <w:u w:val="none"/>
        </w:rPr>
        <w:t>Tables</w:t>
      </w:r>
    </w:p>
    <w:p w:rsidR="002E3175" w:rsidRPr="002E3175" w:rsidRDefault="002447A7" w:rsidP="002E3175">
      <w:pPr>
        <w:pStyle w:val="aa"/>
        <w:tabs>
          <w:tab w:val="right" w:leader="dot" w:pos="8296"/>
        </w:tabs>
        <w:ind w:left="842" w:hanging="422"/>
        <w:rPr>
          <w:rFonts w:asciiTheme="minorHAnsi" w:eastAsiaTheme="minorEastAsia" w:hAnsiTheme="minorHAnsi" w:cstheme="minorBidi"/>
          <w:noProof/>
          <w:szCs w:val="22"/>
        </w:rPr>
      </w:pPr>
      <w:r w:rsidRPr="002E3175">
        <w:rPr>
          <w:rStyle w:val="a9"/>
          <w:b/>
          <w:noProof/>
        </w:rPr>
        <w:fldChar w:fldCharType="begin"/>
      </w:r>
      <w:r w:rsidR="00E86627" w:rsidRPr="002E3175">
        <w:rPr>
          <w:rStyle w:val="a9"/>
          <w:b/>
          <w:noProof/>
        </w:rPr>
        <w:instrText xml:space="preserve"> TOC \h \z \c "Table" </w:instrText>
      </w:r>
      <w:r w:rsidRPr="002E3175">
        <w:rPr>
          <w:rStyle w:val="a9"/>
          <w:b/>
          <w:noProof/>
        </w:rPr>
        <w:fldChar w:fldCharType="separate"/>
      </w:r>
      <w:hyperlink w:anchor="_Toc532203064" w:history="1">
        <w:r w:rsidR="002E3175" w:rsidRPr="002E3175">
          <w:rPr>
            <w:rStyle w:val="a9"/>
            <w:noProof/>
          </w:rPr>
          <w:t>Table 1 Structure of RMB Loans during the First Three Quarters of 2018</w:t>
        </w:r>
        <w:r w:rsidR="002E3175" w:rsidRPr="002E3175">
          <w:rPr>
            <w:noProof/>
            <w:webHidden/>
          </w:rPr>
          <w:tab/>
        </w:r>
        <w:r w:rsidRPr="002E3175">
          <w:rPr>
            <w:noProof/>
            <w:webHidden/>
          </w:rPr>
          <w:fldChar w:fldCharType="begin"/>
        </w:r>
        <w:r w:rsidR="002E3175" w:rsidRPr="002E3175">
          <w:rPr>
            <w:noProof/>
            <w:webHidden/>
          </w:rPr>
          <w:instrText xml:space="preserve"> PAGEREF _Toc532203064 \h </w:instrText>
        </w:r>
        <w:r w:rsidRPr="002E3175">
          <w:rPr>
            <w:noProof/>
            <w:webHidden/>
          </w:rPr>
        </w:r>
        <w:r w:rsidRPr="002E3175">
          <w:rPr>
            <w:noProof/>
            <w:webHidden/>
          </w:rPr>
          <w:fldChar w:fldCharType="separate"/>
        </w:r>
        <w:r w:rsidR="00EC1136">
          <w:rPr>
            <w:noProof/>
            <w:webHidden/>
          </w:rPr>
          <w:t>14</w:t>
        </w:r>
        <w:r w:rsidRPr="002E3175">
          <w:rPr>
            <w:noProof/>
            <w:webHidden/>
          </w:rPr>
          <w:fldChar w:fldCharType="end"/>
        </w:r>
      </w:hyperlink>
    </w:p>
    <w:p w:rsidR="002E3175" w:rsidRPr="002E3175" w:rsidRDefault="002447A7" w:rsidP="002E3175">
      <w:pPr>
        <w:pStyle w:val="aa"/>
        <w:tabs>
          <w:tab w:val="right" w:leader="dot" w:pos="8296"/>
        </w:tabs>
        <w:rPr>
          <w:rFonts w:asciiTheme="minorHAnsi" w:eastAsiaTheme="minorEastAsia" w:hAnsiTheme="minorHAnsi" w:cstheme="minorBidi"/>
          <w:noProof/>
          <w:szCs w:val="22"/>
        </w:rPr>
      </w:pPr>
      <w:hyperlink w:anchor="_Toc532203065" w:history="1">
        <w:r w:rsidR="002E3175" w:rsidRPr="002E3175">
          <w:rPr>
            <w:rStyle w:val="a9"/>
            <w:noProof/>
          </w:rPr>
          <w:t>Table 2 New RMB Loans by Financial Institutions during the First Three Quarters of 2018</w:t>
        </w:r>
        <w:r w:rsidR="002E3175" w:rsidRPr="002E3175">
          <w:rPr>
            <w:noProof/>
            <w:webHidden/>
          </w:rPr>
          <w:tab/>
        </w:r>
        <w:r w:rsidRPr="002E3175">
          <w:rPr>
            <w:noProof/>
            <w:webHidden/>
          </w:rPr>
          <w:fldChar w:fldCharType="begin"/>
        </w:r>
        <w:r w:rsidR="002E3175" w:rsidRPr="002E3175">
          <w:rPr>
            <w:noProof/>
            <w:webHidden/>
          </w:rPr>
          <w:instrText xml:space="preserve"> PAGEREF _Toc532203065 \h </w:instrText>
        </w:r>
        <w:r w:rsidRPr="002E3175">
          <w:rPr>
            <w:noProof/>
            <w:webHidden/>
          </w:rPr>
        </w:r>
        <w:r w:rsidRPr="002E3175">
          <w:rPr>
            <w:noProof/>
            <w:webHidden/>
          </w:rPr>
          <w:fldChar w:fldCharType="separate"/>
        </w:r>
        <w:r w:rsidR="00EC1136">
          <w:rPr>
            <w:noProof/>
            <w:webHidden/>
          </w:rPr>
          <w:t>15</w:t>
        </w:r>
        <w:r w:rsidRPr="002E3175">
          <w:rPr>
            <w:noProof/>
            <w:webHidden/>
          </w:rPr>
          <w:fldChar w:fldCharType="end"/>
        </w:r>
      </w:hyperlink>
    </w:p>
    <w:p w:rsidR="002E3175" w:rsidRPr="002E3175" w:rsidRDefault="002447A7" w:rsidP="002E3175">
      <w:pPr>
        <w:pStyle w:val="aa"/>
        <w:tabs>
          <w:tab w:val="right" w:leader="dot" w:pos="8296"/>
        </w:tabs>
        <w:ind w:leftChars="202" w:left="424" w:firstLineChars="0" w:firstLine="0"/>
        <w:rPr>
          <w:rFonts w:asciiTheme="minorHAnsi" w:eastAsiaTheme="minorEastAsia" w:hAnsiTheme="minorHAnsi" w:cstheme="minorBidi"/>
          <w:noProof/>
          <w:szCs w:val="22"/>
        </w:rPr>
      </w:pPr>
      <w:hyperlink w:anchor="_Toc532203066" w:history="1">
        <w:r w:rsidR="002E3175" w:rsidRPr="002E3175">
          <w:rPr>
            <w:rStyle w:val="a9"/>
            <w:noProof/>
          </w:rPr>
          <w:t>Table 3 Shares of RMB Loans with Rates Below, At, or Above the Benchmark Rates, January through September 2018</w:t>
        </w:r>
        <w:r w:rsidR="002E3175" w:rsidRPr="002E3175">
          <w:rPr>
            <w:noProof/>
            <w:webHidden/>
          </w:rPr>
          <w:tab/>
        </w:r>
        <w:r w:rsidRPr="002E3175">
          <w:rPr>
            <w:noProof/>
            <w:webHidden/>
          </w:rPr>
          <w:fldChar w:fldCharType="begin"/>
        </w:r>
        <w:r w:rsidR="002E3175" w:rsidRPr="002E3175">
          <w:rPr>
            <w:noProof/>
            <w:webHidden/>
          </w:rPr>
          <w:instrText xml:space="preserve"> PAGEREF _Toc532203066 \h </w:instrText>
        </w:r>
        <w:r w:rsidRPr="002E3175">
          <w:rPr>
            <w:noProof/>
            <w:webHidden/>
          </w:rPr>
        </w:r>
        <w:r w:rsidRPr="002E3175">
          <w:rPr>
            <w:noProof/>
            <w:webHidden/>
          </w:rPr>
          <w:fldChar w:fldCharType="separate"/>
        </w:r>
        <w:r w:rsidR="00EC1136">
          <w:rPr>
            <w:noProof/>
            <w:webHidden/>
          </w:rPr>
          <w:t>16</w:t>
        </w:r>
        <w:r w:rsidRPr="002E3175">
          <w:rPr>
            <w:noProof/>
            <w:webHidden/>
          </w:rPr>
          <w:fldChar w:fldCharType="end"/>
        </w:r>
      </w:hyperlink>
    </w:p>
    <w:p w:rsidR="002E3175" w:rsidRPr="002E3175" w:rsidRDefault="002447A7" w:rsidP="002E3175">
      <w:pPr>
        <w:pStyle w:val="aa"/>
        <w:tabs>
          <w:tab w:val="right" w:leader="dot" w:pos="8296"/>
        </w:tabs>
        <w:ind w:leftChars="202" w:left="424" w:firstLineChars="0" w:firstLine="0"/>
        <w:rPr>
          <w:rFonts w:asciiTheme="minorHAnsi" w:eastAsiaTheme="minorEastAsia" w:hAnsiTheme="minorHAnsi" w:cstheme="minorBidi"/>
          <w:noProof/>
          <w:szCs w:val="22"/>
        </w:rPr>
      </w:pPr>
      <w:hyperlink w:anchor="_Toc532203067" w:history="1">
        <w:r w:rsidR="002E3175" w:rsidRPr="002E3175">
          <w:rPr>
            <w:rStyle w:val="a9"/>
            <w:noProof/>
          </w:rPr>
          <w:t>Table 4 Average Interest Rates of Large-Value Deposits and Loans in USD, January through September 2018</w:t>
        </w:r>
        <w:r w:rsidR="002E3175" w:rsidRPr="002E3175">
          <w:rPr>
            <w:noProof/>
            <w:webHidden/>
          </w:rPr>
          <w:tab/>
        </w:r>
        <w:r w:rsidRPr="002E3175">
          <w:rPr>
            <w:noProof/>
            <w:webHidden/>
          </w:rPr>
          <w:fldChar w:fldCharType="begin"/>
        </w:r>
        <w:r w:rsidR="002E3175" w:rsidRPr="002E3175">
          <w:rPr>
            <w:noProof/>
            <w:webHidden/>
          </w:rPr>
          <w:instrText xml:space="preserve"> PAGEREF _Toc532203067 \h </w:instrText>
        </w:r>
        <w:r w:rsidRPr="002E3175">
          <w:rPr>
            <w:noProof/>
            <w:webHidden/>
          </w:rPr>
        </w:r>
        <w:r w:rsidRPr="002E3175">
          <w:rPr>
            <w:noProof/>
            <w:webHidden/>
          </w:rPr>
          <w:fldChar w:fldCharType="separate"/>
        </w:r>
        <w:r w:rsidR="00EC1136">
          <w:rPr>
            <w:noProof/>
            <w:webHidden/>
          </w:rPr>
          <w:t>17</w:t>
        </w:r>
        <w:r w:rsidRPr="002E3175">
          <w:rPr>
            <w:noProof/>
            <w:webHidden/>
          </w:rPr>
          <w:fldChar w:fldCharType="end"/>
        </w:r>
      </w:hyperlink>
    </w:p>
    <w:p w:rsidR="002E3175" w:rsidRPr="002E3175" w:rsidRDefault="002447A7" w:rsidP="002E3175">
      <w:pPr>
        <w:pStyle w:val="aa"/>
        <w:tabs>
          <w:tab w:val="right" w:leader="dot" w:pos="8296"/>
        </w:tabs>
        <w:rPr>
          <w:rFonts w:asciiTheme="minorHAnsi" w:eastAsiaTheme="minorEastAsia" w:hAnsiTheme="minorHAnsi" w:cstheme="minorBidi"/>
          <w:noProof/>
          <w:szCs w:val="22"/>
        </w:rPr>
      </w:pPr>
      <w:hyperlink w:anchor="_Toc532203068" w:history="1">
        <w:r w:rsidR="002E3175" w:rsidRPr="002E3175">
          <w:rPr>
            <w:rStyle w:val="a9"/>
            <w:noProof/>
          </w:rPr>
          <w:t>Table 5 The Structure of RMB Deposits during the First Three Quarters of 2018</w:t>
        </w:r>
        <w:r w:rsidR="002E3175" w:rsidRPr="002E3175">
          <w:rPr>
            <w:noProof/>
            <w:webHidden/>
          </w:rPr>
          <w:tab/>
        </w:r>
        <w:r w:rsidRPr="002E3175">
          <w:rPr>
            <w:noProof/>
            <w:webHidden/>
          </w:rPr>
          <w:fldChar w:fldCharType="begin"/>
        </w:r>
        <w:r w:rsidR="002E3175" w:rsidRPr="002E3175">
          <w:rPr>
            <w:noProof/>
            <w:webHidden/>
          </w:rPr>
          <w:instrText xml:space="preserve"> PAGEREF _Toc532203068 \h </w:instrText>
        </w:r>
        <w:r w:rsidRPr="002E3175">
          <w:rPr>
            <w:noProof/>
            <w:webHidden/>
          </w:rPr>
        </w:r>
        <w:r w:rsidRPr="002E3175">
          <w:rPr>
            <w:noProof/>
            <w:webHidden/>
          </w:rPr>
          <w:fldChar w:fldCharType="separate"/>
        </w:r>
        <w:r w:rsidR="00EC1136">
          <w:rPr>
            <w:noProof/>
            <w:webHidden/>
          </w:rPr>
          <w:t>18</w:t>
        </w:r>
        <w:r w:rsidRPr="002E3175">
          <w:rPr>
            <w:noProof/>
            <w:webHidden/>
          </w:rPr>
          <w:fldChar w:fldCharType="end"/>
        </w:r>
      </w:hyperlink>
    </w:p>
    <w:p w:rsidR="002E3175" w:rsidRPr="002E3175" w:rsidRDefault="002447A7" w:rsidP="002E3175">
      <w:pPr>
        <w:pStyle w:val="aa"/>
        <w:tabs>
          <w:tab w:val="right" w:leader="dot" w:pos="8296"/>
        </w:tabs>
        <w:rPr>
          <w:rFonts w:asciiTheme="minorHAnsi" w:eastAsiaTheme="minorEastAsia" w:hAnsiTheme="minorHAnsi" w:cstheme="minorBidi"/>
          <w:noProof/>
          <w:szCs w:val="22"/>
        </w:rPr>
      </w:pPr>
      <w:hyperlink w:anchor="_Toc532203069" w:history="1">
        <w:r w:rsidR="002E3175" w:rsidRPr="002E3175">
          <w:rPr>
            <w:rStyle w:val="a9"/>
            <w:noProof/>
          </w:rPr>
          <w:t>Table 6 All-system Financing Aggregates during the First Three Quarters of 2018</w:t>
        </w:r>
        <w:r w:rsidR="002E3175" w:rsidRPr="002E3175">
          <w:rPr>
            <w:noProof/>
            <w:webHidden/>
          </w:rPr>
          <w:tab/>
        </w:r>
        <w:r w:rsidRPr="002E3175">
          <w:rPr>
            <w:noProof/>
            <w:webHidden/>
          </w:rPr>
          <w:fldChar w:fldCharType="begin"/>
        </w:r>
        <w:r w:rsidR="002E3175" w:rsidRPr="002E3175">
          <w:rPr>
            <w:noProof/>
            <w:webHidden/>
          </w:rPr>
          <w:instrText xml:space="preserve"> PAGEREF _Toc532203069 \h </w:instrText>
        </w:r>
        <w:r w:rsidRPr="002E3175">
          <w:rPr>
            <w:noProof/>
            <w:webHidden/>
          </w:rPr>
        </w:r>
        <w:r w:rsidRPr="002E3175">
          <w:rPr>
            <w:noProof/>
            <w:webHidden/>
          </w:rPr>
          <w:fldChar w:fldCharType="separate"/>
        </w:r>
        <w:r w:rsidR="00EC1136">
          <w:rPr>
            <w:noProof/>
            <w:webHidden/>
          </w:rPr>
          <w:t>20</w:t>
        </w:r>
        <w:r w:rsidRPr="002E3175">
          <w:rPr>
            <w:noProof/>
            <w:webHidden/>
          </w:rPr>
          <w:fldChar w:fldCharType="end"/>
        </w:r>
      </w:hyperlink>
    </w:p>
    <w:p w:rsidR="002E3175" w:rsidRPr="002E3175" w:rsidRDefault="002447A7" w:rsidP="002E3175">
      <w:pPr>
        <w:pStyle w:val="aa"/>
        <w:tabs>
          <w:tab w:val="right" w:leader="dot" w:pos="8296"/>
        </w:tabs>
        <w:ind w:left="420" w:firstLineChars="0" w:firstLine="0"/>
        <w:jc w:val="distribute"/>
        <w:rPr>
          <w:rFonts w:asciiTheme="minorHAnsi" w:eastAsiaTheme="minorEastAsia" w:hAnsiTheme="minorHAnsi" w:cstheme="minorBidi"/>
          <w:noProof/>
          <w:szCs w:val="22"/>
        </w:rPr>
      </w:pPr>
      <w:hyperlink w:anchor="_Toc532203070" w:history="1">
        <w:r w:rsidR="002E3175" w:rsidRPr="002E3175">
          <w:rPr>
            <w:rStyle w:val="a9"/>
            <w:noProof/>
          </w:rPr>
          <w:t>Table 7 Trading Volume of the RMB Against Other Currencies in the Interbank Foreign-Exchange Spot Market, Q3 2018</w:t>
        </w:r>
        <w:r w:rsidR="002E3175" w:rsidRPr="002E3175">
          <w:rPr>
            <w:noProof/>
            <w:webHidden/>
          </w:rPr>
          <w:tab/>
        </w:r>
        <w:r w:rsidRPr="002E3175">
          <w:rPr>
            <w:noProof/>
            <w:webHidden/>
          </w:rPr>
          <w:fldChar w:fldCharType="begin"/>
        </w:r>
        <w:r w:rsidR="002E3175" w:rsidRPr="002E3175">
          <w:rPr>
            <w:noProof/>
            <w:webHidden/>
          </w:rPr>
          <w:instrText xml:space="preserve"> PAGEREF _Toc532203070 \h </w:instrText>
        </w:r>
        <w:r w:rsidRPr="002E3175">
          <w:rPr>
            <w:noProof/>
            <w:webHidden/>
          </w:rPr>
        </w:r>
        <w:r w:rsidRPr="002E3175">
          <w:rPr>
            <w:noProof/>
            <w:webHidden/>
          </w:rPr>
          <w:fldChar w:fldCharType="separate"/>
        </w:r>
        <w:r w:rsidR="00EC1136">
          <w:rPr>
            <w:noProof/>
            <w:webHidden/>
          </w:rPr>
          <w:t>40</w:t>
        </w:r>
        <w:r w:rsidRPr="002E3175">
          <w:rPr>
            <w:noProof/>
            <w:webHidden/>
          </w:rPr>
          <w:fldChar w:fldCharType="end"/>
        </w:r>
      </w:hyperlink>
    </w:p>
    <w:p w:rsidR="002E3175" w:rsidRPr="002E3175" w:rsidRDefault="002447A7" w:rsidP="002E3175">
      <w:pPr>
        <w:pStyle w:val="aa"/>
        <w:tabs>
          <w:tab w:val="right" w:leader="dot" w:pos="8296"/>
        </w:tabs>
        <w:rPr>
          <w:rFonts w:asciiTheme="minorHAnsi" w:eastAsiaTheme="minorEastAsia" w:hAnsiTheme="minorHAnsi" w:cstheme="minorBidi"/>
          <w:noProof/>
          <w:szCs w:val="22"/>
        </w:rPr>
      </w:pPr>
      <w:hyperlink w:anchor="_Toc532203071" w:history="1">
        <w:r w:rsidR="002E3175" w:rsidRPr="002E3175">
          <w:rPr>
            <w:rStyle w:val="a9"/>
            <w:noProof/>
          </w:rPr>
          <w:t>Table 8 Fund Flows among Financial Institutions, Q1–Q3 of 2018</w:t>
        </w:r>
        <w:r w:rsidR="002E3175" w:rsidRPr="002E3175">
          <w:rPr>
            <w:noProof/>
            <w:webHidden/>
          </w:rPr>
          <w:tab/>
        </w:r>
        <w:r w:rsidRPr="002E3175">
          <w:rPr>
            <w:noProof/>
            <w:webHidden/>
          </w:rPr>
          <w:fldChar w:fldCharType="begin"/>
        </w:r>
        <w:r w:rsidR="002E3175" w:rsidRPr="002E3175">
          <w:rPr>
            <w:noProof/>
            <w:webHidden/>
          </w:rPr>
          <w:instrText xml:space="preserve"> PAGEREF _Toc532203071 \h </w:instrText>
        </w:r>
        <w:r w:rsidRPr="002E3175">
          <w:rPr>
            <w:noProof/>
            <w:webHidden/>
          </w:rPr>
        </w:r>
        <w:r w:rsidRPr="002E3175">
          <w:rPr>
            <w:noProof/>
            <w:webHidden/>
          </w:rPr>
          <w:fldChar w:fldCharType="separate"/>
        </w:r>
        <w:r w:rsidR="00EC1136">
          <w:rPr>
            <w:noProof/>
            <w:webHidden/>
          </w:rPr>
          <w:t>44</w:t>
        </w:r>
        <w:r w:rsidRPr="002E3175">
          <w:rPr>
            <w:noProof/>
            <w:webHidden/>
          </w:rPr>
          <w:fldChar w:fldCharType="end"/>
        </w:r>
      </w:hyperlink>
    </w:p>
    <w:p w:rsidR="002E3175" w:rsidRPr="002E3175" w:rsidRDefault="002447A7" w:rsidP="002E3175">
      <w:pPr>
        <w:pStyle w:val="aa"/>
        <w:tabs>
          <w:tab w:val="right" w:leader="dot" w:pos="8296"/>
        </w:tabs>
        <w:rPr>
          <w:rFonts w:asciiTheme="minorHAnsi" w:eastAsiaTheme="minorEastAsia" w:hAnsiTheme="minorHAnsi" w:cstheme="minorBidi"/>
          <w:noProof/>
          <w:szCs w:val="22"/>
        </w:rPr>
      </w:pPr>
      <w:hyperlink w:anchor="_Toc532203072" w:history="1">
        <w:r w:rsidR="002E3175" w:rsidRPr="002E3175">
          <w:rPr>
            <w:rStyle w:val="a9"/>
            <w:noProof/>
          </w:rPr>
          <w:t>Table 9 Interest-Rate Swaps, Q3 2018</w:t>
        </w:r>
        <w:r w:rsidR="002E3175" w:rsidRPr="002E3175">
          <w:rPr>
            <w:noProof/>
            <w:webHidden/>
          </w:rPr>
          <w:tab/>
        </w:r>
        <w:r w:rsidRPr="002E3175">
          <w:rPr>
            <w:noProof/>
            <w:webHidden/>
          </w:rPr>
          <w:fldChar w:fldCharType="begin"/>
        </w:r>
        <w:r w:rsidR="002E3175" w:rsidRPr="002E3175">
          <w:rPr>
            <w:noProof/>
            <w:webHidden/>
          </w:rPr>
          <w:instrText xml:space="preserve"> PAGEREF _Toc532203072 \h </w:instrText>
        </w:r>
        <w:r w:rsidRPr="002E3175">
          <w:rPr>
            <w:noProof/>
            <w:webHidden/>
          </w:rPr>
        </w:r>
        <w:r w:rsidRPr="002E3175">
          <w:rPr>
            <w:noProof/>
            <w:webHidden/>
          </w:rPr>
          <w:fldChar w:fldCharType="separate"/>
        </w:r>
        <w:r w:rsidR="00EC1136">
          <w:rPr>
            <w:noProof/>
            <w:webHidden/>
          </w:rPr>
          <w:t>46</w:t>
        </w:r>
        <w:r w:rsidRPr="002E3175">
          <w:rPr>
            <w:noProof/>
            <w:webHidden/>
          </w:rPr>
          <w:fldChar w:fldCharType="end"/>
        </w:r>
      </w:hyperlink>
    </w:p>
    <w:p w:rsidR="002E3175" w:rsidRPr="002E3175" w:rsidRDefault="002447A7" w:rsidP="002E3175">
      <w:pPr>
        <w:pStyle w:val="aa"/>
        <w:tabs>
          <w:tab w:val="right" w:leader="dot" w:pos="8296"/>
        </w:tabs>
        <w:rPr>
          <w:rFonts w:asciiTheme="minorHAnsi" w:eastAsiaTheme="minorEastAsia" w:hAnsiTheme="minorHAnsi" w:cstheme="minorBidi"/>
          <w:noProof/>
          <w:szCs w:val="22"/>
        </w:rPr>
      </w:pPr>
      <w:hyperlink w:anchor="_Toc532203073" w:history="1">
        <w:r w:rsidR="002E3175" w:rsidRPr="002E3175">
          <w:rPr>
            <w:rStyle w:val="a9"/>
            <w:noProof/>
          </w:rPr>
          <w:t>Table 10 Bond Issuances, Q3 of 2018</w:t>
        </w:r>
        <w:r w:rsidR="002E3175" w:rsidRPr="002E3175">
          <w:rPr>
            <w:noProof/>
            <w:webHidden/>
          </w:rPr>
          <w:tab/>
        </w:r>
        <w:r w:rsidRPr="002E3175">
          <w:rPr>
            <w:noProof/>
            <w:webHidden/>
          </w:rPr>
          <w:fldChar w:fldCharType="begin"/>
        </w:r>
        <w:r w:rsidR="002E3175" w:rsidRPr="002E3175">
          <w:rPr>
            <w:noProof/>
            <w:webHidden/>
          </w:rPr>
          <w:instrText xml:space="preserve"> PAGEREF _Toc532203073 \h </w:instrText>
        </w:r>
        <w:r w:rsidRPr="002E3175">
          <w:rPr>
            <w:noProof/>
            <w:webHidden/>
          </w:rPr>
        </w:r>
        <w:r w:rsidRPr="002E3175">
          <w:rPr>
            <w:noProof/>
            <w:webHidden/>
          </w:rPr>
          <w:fldChar w:fldCharType="separate"/>
        </w:r>
        <w:r w:rsidR="00EC1136">
          <w:rPr>
            <w:noProof/>
            <w:webHidden/>
          </w:rPr>
          <w:t>48</w:t>
        </w:r>
        <w:r w:rsidRPr="002E3175">
          <w:rPr>
            <w:noProof/>
            <w:webHidden/>
          </w:rPr>
          <w:fldChar w:fldCharType="end"/>
        </w:r>
      </w:hyperlink>
    </w:p>
    <w:p w:rsidR="002E3175" w:rsidRPr="002E3175" w:rsidRDefault="002447A7" w:rsidP="002E3175">
      <w:pPr>
        <w:pStyle w:val="aa"/>
        <w:tabs>
          <w:tab w:val="right" w:leader="dot" w:pos="8296"/>
        </w:tabs>
        <w:rPr>
          <w:rFonts w:asciiTheme="minorHAnsi" w:eastAsiaTheme="minorEastAsia" w:hAnsiTheme="minorHAnsi" w:cstheme="minorBidi"/>
          <w:noProof/>
          <w:szCs w:val="22"/>
        </w:rPr>
      </w:pPr>
      <w:hyperlink w:anchor="_Toc532203074" w:history="1">
        <w:r w:rsidR="002E3175" w:rsidRPr="002E3175">
          <w:rPr>
            <w:rStyle w:val="a9"/>
            <w:noProof/>
          </w:rPr>
          <w:t>Table 11 Use of Insurance Funds, End-August 2018</w:t>
        </w:r>
        <w:r w:rsidR="002E3175" w:rsidRPr="002E3175">
          <w:rPr>
            <w:noProof/>
            <w:webHidden/>
          </w:rPr>
          <w:tab/>
        </w:r>
        <w:r w:rsidRPr="002E3175">
          <w:rPr>
            <w:noProof/>
            <w:webHidden/>
          </w:rPr>
          <w:fldChar w:fldCharType="begin"/>
        </w:r>
        <w:r w:rsidR="002E3175" w:rsidRPr="002E3175">
          <w:rPr>
            <w:noProof/>
            <w:webHidden/>
          </w:rPr>
          <w:instrText xml:space="preserve"> PAGEREF _Toc532203074 \h </w:instrText>
        </w:r>
        <w:r w:rsidRPr="002E3175">
          <w:rPr>
            <w:noProof/>
            <w:webHidden/>
          </w:rPr>
        </w:r>
        <w:r w:rsidRPr="002E3175">
          <w:rPr>
            <w:noProof/>
            <w:webHidden/>
          </w:rPr>
          <w:fldChar w:fldCharType="separate"/>
        </w:r>
        <w:r w:rsidR="00EC1136">
          <w:rPr>
            <w:noProof/>
            <w:webHidden/>
          </w:rPr>
          <w:t>52</w:t>
        </w:r>
        <w:r w:rsidRPr="002E3175">
          <w:rPr>
            <w:noProof/>
            <w:webHidden/>
          </w:rPr>
          <w:fldChar w:fldCharType="end"/>
        </w:r>
      </w:hyperlink>
    </w:p>
    <w:p w:rsidR="002E3175" w:rsidRPr="002E3175" w:rsidRDefault="002447A7" w:rsidP="002E3175">
      <w:pPr>
        <w:pStyle w:val="aa"/>
        <w:tabs>
          <w:tab w:val="right" w:leader="dot" w:pos="8296"/>
        </w:tabs>
        <w:rPr>
          <w:rFonts w:asciiTheme="minorHAnsi" w:eastAsiaTheme="minorEastAsia" w:hAnsiTheme="minorHAnsi" w:cstheme="minorBidi"/>
          <w:noProof/>
          <w:szCs w:val="22"/>
        </w:rPr>
      </w:pPr>
      <w:hyperlink w:anchor="_Toc532203075" w:history="1">
        <w:r w:rsidR="002E3175" w:rsidRPr="002E3175">
          <w:rPr>
            <w:rStyle w:val="a9"/>
            <w:noProof/>
          </w:rPr>
          <w:t>Table 12 Macroeconomic and Financial Indicators in the Major Advanced Economies</w:t>
        </w:r>
        <w:r w:rsidR="002E3175" w:rsidRPr="002E3175">
          <w:rPr>
            <w:noProof/>
            <w:webHidden/>
          </w:rPr>
          <w:tab/>
        </w:r>
        <w:r w:rsidRPr="002E3175">
          <w:rPr>
            <w:noProof/>
            <w:webHidden/>
          </w:rPr>
          <w:fldChar w:fldCharType="begin"/>
        </w:r>
        <w:r w:rsidR="002E3175" w:rsidRPr="002E3175">
          <w:rPr>
            <w:noProof/>
            <w:webHidden/>
          </w:rPr>
          <w:instrText xml:space="preserve"> PAGEREF _Toc532203075 \h </w:instrText>
        </w:r>
        <w:r w:rsidRPr="002E3175">
          <w:rPr>
            <w:noProof/>
            <w:webHidden/>
          </w:rPr>
        </w:r>
        <w:r w:rsidRPr="002E3175">
          <w:rPr>
            <w:noProof/>
            <w:webHidden/>
          </w:rPr>
          <w:fldChar w:fldCharType="separate"/>
        </w:r>
        <w:r w:rsidR="00EC1136">
          <w:rPr>
            <w:noProof/>
            <w:webHidden/>
          </w:rPr>
          <w:t>59</w:t>
        </w:r>
        <w:r w:rsidRPr="002E3175">
          <w:rPr>
            <w:noProof/>
            <w:webHidden/>
          </w:rPr>
          <w:fldChar w:fldCharType="end"/>
        </w:r>
      </w:hyperlink>
    </w:p>
    <w:p w:rsidR="00E86627" w:rsidRPr="002E7312" w:rsidRDefault="002447A7" w:rsidP="002E3175">
      <w:pPr>
        <w:tabs>
          <w:tab w:val="right" w:leader="dot" w:pos="8296"/>
        </w:tabs>
        <w:spacing w:line="360" w:lineRule="auto"/>
        <w:ind w:leftChars="-7" w:left="-15" w:firstLineChars="5" w:firstLine="11"/>
        <w:rPr>
          <w:rStyle w:val="a9"/>
          <w:noProof/>
          <w:color w:val="auto"/>
          <w:u w:val="none"/>
        </w:rPr>
      </w:pPr>
      <w:r w:rsidRPr="002E3175">
        <w:rPr>
          <w:rStyle w:val="a9"/>
          <w:b/>
          <w:noProof/>
        </w:rPr>
        <w:fldChar w:fldCharType="end"/>
      </w:r>
    </w:p>
    <w:p w:rsidR="00E86627" w:rsidRPr="002E7312" w:rsidRDefault="00E86627" w:rsidP="00E86627">
      <w:pPr>
        <w:tabs>
          <w:tab w:val="right" w:leader="dot" w:pos="8296"/>
        </w:tabs>
        <w:spacing w:line="360" w:lineRule="auto"/>
        <w:ind w:right="420"/>
        <w:rPr>
          <w:rStyle w:val="a9"/>
          <w:b/>
          <w:noProof/>
          <w:color w:val="auto"/>
          <w:u w:val="none"/>
        </w:rPr>
      </w:pPr>
      <w:r w:rsidRPr="002E7312">
        <w:rPr>
          <w:rStyle w:val="a9"/>
          <w:b/>
          <w:noProof/>
          <w:color w:val="auto"/>
          <w:u w:val="none"/>
        </w:rPr>
        <w:t>Figures</w:t>
      </w:r>
    </w:p>
    <w:p w:rsidR="00EE3C76" w:rsidRPr="002E3175" w:rsidRDefault="002447A7">
      <w:pPr>
        <w:pStyle w:val="aa"/>
        <w:tabs>
          <w:tab w:val="right" w:leader="dot" w:pos="8296"/>
        </w:tabs>
        <w:rPr>
          <w:rFonts w:asciiTheme="minorHAnsi" w:eastAsiaTheme="minorEastAsia" w:hAnsiTheme="minorHAnsi" w:cstheme="minorBidi"/>
          <w:noProof/>
          <w:szCs w:val="22"/>
        </w:rPr>
      </w:pPr>
      <w:r w:rsidRPr="00970494">
        <w:rPr>
          <w:rStyle w:val="a9"/>
          <w:noProof/>
        </w:rPr>
        <w:fldChar w:fldCharType="begin"/>
      </w:r>
      <w:r w:rsidR="00E86627" w:rsidRPr="00970494">
        <w:rPr>
          <w:rStyle w:val="a9"/>
          <w:noProof/>
        </w:rPr>
        <w:instrText xml:space="preserve"> TOC \h \z \c "Figure" </w:instrText>
      </w:r>
      <w:r w:rsidRPr="00970494">
        <w:rPr>
          <w:rStyle w:val="a9"/>
          <w:noProof/>
        </w:rPr>
        <w:fldChar w:fldCharType="separate"/>
      </w:r>
      <w:hyperlink w:anchor="_Toc532202349" w:history="1">
        <w:r w:rsidR="00EE3C76" w:rsidRPr="002E3175">
          <w:rPr>
            <w:rStyle w:val="a9"/>
            <w:rFonts w:eastAsia="FangSong_GB2312"/>
            <w:bCs/>
            <w:noProof/>
          </w:rPr>
          <w:t>Figure 1 Interest Rates in the Money Market</w:t>
        </w:r>
        <w:r w:rsidR="00EE3C76" w:rsidRPr="002E3175">
          <w:rPr>
            <w:noProof/>
            <w:webHidden/>
          </w:rPr>
          <w:tab/>
        </w:r>
        <w:r w:rsidRPr="002E3175">
          <w:rPr>
            <w:noProof/>
            <w:webHidden/>
          </w:rPr>
          <w:fldChar w:fldCharType="begin"/>
        </w:r>
        <w:r w:rsidR="00EE3C76" w:rsidRPr="002E3175">
          <w:rPr>
            <w:noProof/>
            <w:webHidden/>
          </w:rPr>
          <w:instrText xml:space="preserve"> PAGEREF _Toc532202349 \h </w:instrText>
        </w:r>
        <w:r w:rsidRPr="002E3175">
          <w:rPr>
            <w:noProof/>
            <w:webHidden/>
          </w:rPr>
        </w:r>
        <w:r w:rsidRPr="002E3175">
          <w:rPr>
            <w:noProof/>
            <w:webHidden/>
          </w:rPr>
          <w:fldChar w:fldCharType="separate"/>
        </w:r>
        <w:r w:rsidR="00EC1136">
          <w:rPr>
            <w:noProof/>
            <w:webHidden/>
          </w:rPr>
          <w:t>9</w:t>
        </w:r>
        <w:r w:rsidRPr="002E3175">
          <w:rPr>
            <w:noProof/>
            <w:webHidden/>
          </w:rPr>
          <w:fldChar w:fldCharType="end"/>
        </w:r>
      </w:hyperlink>
    </w:p>
    <w:p w:rsidR="00EE3C76" w:rsidRPr="002E3175" w:rsidRDefault="002447A7" w:rsidP="002E3175">
      <w:pPr>
        <w:pStyle w:val="aa"/>
        <w:tabs>
          <w:tab w:val="right" w:leader="dot" w:pos="8296"/>
        </w:tabs>
        <w:rPr>
          <w:rFonts w:asciiTheme="minorHAnsi" w:eastAsiaTheme="minorEastAsia" w:hAnsiTheme="minorHAnsi" w:cstheme="minorBidi"/>
          <w:noProof/>
          <w:szCs w:val="22"/>
        </w:rPr>
      </w:pPr>
      <w:hyperlink w:anchor="_Toc532202350" w:history="1">
        <w:r w:rsidR="00EE3C76" w:rsidRPr="002E3175">
          <w:rPr>
            <w:rStyle w:val="a9"/>
            <w:bCs/>
            <w:noProof/>
          </w:rPr>
          <w:t>Figure 2 An International Comparison of Excess Reserve Ratios</w:t>
        </w:r>
        <w:r w:rsidR="00EE3C76" w:rsidRPr="002E3175">
          <w:rPr>
            <w:noProof/>
            <w:webHidden/>
          </w:rPr>
          <w:tab/>
        </w:r>
        <w:r w:rsidRPr="002E3175">
          <w:rPr>
            <w:noProof/>
            <w:webHidden/>
          </w:rPr>
          <w:fldChar w:fldCharType="begin"/>
        </w:r>
        <w:r w:rsidR="00EE3C76" w:rsidRPr="002E3175">
          <w:rPr>
            <w:noProof/>
            <w:webHidden/>
          </w:rPr>
          <w:instrText xml:space="preserve"> PAGEREF _Toc532202350 \h </w:instrText>
        </w:r>
        <w:r w:rsidRPr="002E3175">
          <w:rPr>
            <w:noProof/>
            <w:webHidden/>
          </w:rPr>
        </w:r>
        <w:r w:rsidRPr="002E3175">
          <w:rPr>
            <w:noProof/>
            <w:webHidden/>
          </w:rPr>
          <w:fldChar w:fldCharType="separate"/>
        </w:r>
        <w:r w:rsidR="00EC1136">
          <w:rPr>
            <w:noProof/>
            <w:webHidden/>
          </w:rPr>
          <w:t>11</w:t>
        </w:r>
        <w:r w:rsidRPr="002E3175">
          <w:rPr>
            <w:noProof/>
            <w:webHidden/>
          </w:rPr>
          <w:fldChar w:fldCharType="end"/>
        </w:r>
      </w:hyperlink>
    </w:p>
    <w:p w:rsidR="00EE3C76" w:rsidRPr="002E3175" w:rsidRDefault="002447A7" w:rsidP="002E3175">
      <w:pPr>
        <w:pStyle w:val="aa"/>
        <w:tabs>
          <w:tab w:val="right" w:leader="dot" w:pos="8296"/>
        </w:tabs>
        <w:rPr>
          <w:rFonts w:asciiTheme="minorHAnsi" w:eastAsiaTheme="minorEastAsia" w:hAnsiTheme="minorHAnsi" w:cstheme="minorBidi"/>
          <w:noProof/>
          <w:szCs w:val="22"/>
        </w:rPr>
      </w:pPr>
      <w:hyperlink w:anchor="_Toc532202351" w:history="1">
        <w:r w:rsidR="00EE3C76" w:rsidRPr="002E3175">
          <w:rPr>
            <w:rStyle w:val="a9"/>
            <w:noProof/>
          </w:rPr>
          <w:t>Figure 3 Monthly RMB Payments and Receipts under the Current Account</w:t>
        </w:r>
        <w:r w:rsidR="00EE3C76" w:rsidRPr="002E3175">
          <w:rPr>
            <w:noProof/>
            <w:webHidden/>
          </w:rPr>
          <w:tab/>
        </w:r>
        <w:r w:rsidRPr="002E3175">
          <w:rPr>
            <w:noProof/>
            <w:webHidden/>
          </w:rPr>
          <w:fldChar w:fldCharType="begin"/>
        </w:r>
        <w:r w:rsidR="00EE3C76" w:rsidRPr="002E3175">
          <w:rPr>
            <w:noProof/>
            <w:webHidden/>
          </w:rPr>
          <w:instrText xml:space="preserve"> PAGEREF _Toc532202351 \h </w:instrText>
        </w:r>
        <w:r w:rsidRPr="002E3175">
          <w:rPr>
            <w:noProof/>
            <w:webHidden/>
          </w:rPr>
        </w:r>
        <w:r w:rsidRPr="002E3175">
          <w:rPr>
            <w:noProof/>
            <w:webHidden/>
          </w:rPr>
          <w:fldChar w:fldCharType="separate"/>
        </w:r>
        <w:r w:rsidR="00EC1136">
          <w:rPr>
            <w:noProof/>
            <w:webHidden/>
          </w:rPr>
          <w:t>23</w:t>
        </w:r>
        <w:r w:rsidRPr="002E3175">
          <w:rPr>
            <w:noProof/>
            <w:webHidden/>
          </w:rPr>
          <w:fldChar w:fldCharType="end"/>
        </w:r>
      </w:hyperlink>
    </w:p>
    <w:p w:rsidR="00EE3C76" w:rsidRPr="002E3175" w:rsidRDefault="002447A7" w:rsidP="002E3175">
      <w:pPr>
        <w:pStyle w:val="aa"/>
        <w:tabs>
          <w:tab w:val="right" w:leader="dot" w:pos="8296"/>
        </w:tabs>
        <w:rPr>
          <w:rFonts w:asciiTheme="minorHAnsi" w:eastAsiaTheme="minorEastAsia" w:hAnsiTheme="minorHAnsi" w:cstheme="minorBidi"/>
          <w:noProof/>
          <w:szCs w:val="22"/>
        </w:rPr>
      </w:pPr>
      <w:hyperlink w:anchor="_Toc532202352" w:history="1">
        <w:r w:rsidR="00EE3C76" w:rsidRPr="002E3175">
          <w:rPr>
            <w:rStyle w:val="a9"/>
            <w:noProof/>
          </w:rPr>
          <w:t>Figure 4 Yield Curve of Government Securities on the Interbank Market</w:t>
        </w:r>
        <w:r w:rsidR="00EE3C76" w:rsidRPr="002E3175">
          <w:rPr>
            <w:noProof/>
            <w:webHidden/>
          </w:rPr>
          <w:tab/>
        </w:r>
        <w:r w:rsidRPr="002E3175">
          <w:rPr>
            <w:noProof/>
            <w:webHidden/>
          </w:rPr>
          <w:fldChar w:fldCharType="begin"/>
        </w:r>
        <w:r w:rsidR="00EE3C76" w:rsidRPr="002E3175">
          <w:rPr>
            <w:noProof/>
            <w:webHidden/>
          </w:rPr>
          <w:instrText xml:space="preserve"> PAGEREF _Toc532202352 \h </w:instrText>
        </w:r>
        <w:r w:rsidRPr="002E3175">
          <w:rPr>
            <w:noProof/>
            <w:webHidden/>
          </w:rPr>
        </w:r>
        <w:r w:rsidRPr="002E3175">
          <w:rPr>
            <w:noProof/>
            <w:webHidden/>
          </w:rPr>
          <w:fldChar w:fldCharType="separate"/>
        </w:r>
        <w:r w:rsidR="00EC1136">
          <w:rPr>
            <w:noProof/>
            <w:webHidden/>
          </w:rPr>
          <w:t>47</w:t>
        </w:r>
        <w:r w:rsidRPr="002E3175">
          <w:rPr>
            <w:noProof/>
            <w:webHidden/>
          </w:rPr>
          <w:fldChar w:fldCharType="end"/>
        </w:r>
      </w:hyperlink>
    </w:p>
    <w:p w:rsidR="00E86627" w:rsidRPr="00970494" w:rsidRDefault="002447A7" w:rsidP="00E86627">
      <w:pPr>
        <w:pStyle w:val="aa"/>
        <w:tabs>
          <w:tab w:val="right" w:leader="dot" w:pos="8296"/>
        </w:tabs>
        <w:spacing w:line="360" w:lineRule="auto"/>
        <w:rPr>
          <w:rStyle w:val="a9"/>
          <w:rFonts w:eastAsia="黑体"/>
          <w:noProof/>
          <w:kern w:val="0"/>
          <w:sz w:val="24"/>
          <w:szCs w:val="36"/>
        </w:rPr>
        <w:sectPr w:rsidR="00E86627" w:rsidRPr="00970494" w:rsidSect="00EB686F">
          <w:footerReference w:type="default" r:id="rId8"/>
          <w:endnotePr>
            <w:numFmt w:val="decimal"/>
          </w:endnotePr>
          <w:pgSz w:w="11906" w:h="16838"/>
          <w:pgMar w:top="1440" w:right="1800" w:bottom="1440" w:left="1800" w:header="851" w:footer="992" w:gutter="0"/>
          <w:pgNumType w:start="1"/>
          <w:cols w:space="720"/>
          <w:docGrid w:type="lines" w:linePitch="312"/>
        </w:sectPr>
      </w:pPr>
      <w:r w:rsidRPr="00970494">
        <w:rPr>
          <w:rStyle w:val="a9"/>
          <w:noProof/>
        </w:rPr>
        <w:fldChar w:fldCharType="end"/>
      </w:r>
    </w:p>
    <w:p w:rsidR="00EB686F" w:rsidRDefault="00EB686F" w:rsidP="002E7312">
      <w:pPr>
        <w:keepNext/>
        <w:keepLines/>
        <w:spacing w:beforeLines="100" w:afterLines="100" w:line="360" w:lineRule="auto"/>
        <w:jc w:val="center"/>
        <w:outlineLvl w:val="0"/>
        <w:rPr>
          <w:rFonts w:eastAsia="FangSong_GB2312"/>
          <w:b/>
          <w:sz w:val="28"/>
        </w:rPr>
      </w:pPr>
      <w:bookmarkStart w:id="4" w:name="_Toc532201076"/>
      <w:bookmarkEnd w:id="0"/>
      <w:bookmarkEnd w:id="1"/>
      <w:r>
        <w:rPr>
          <w:rFonts w:eastAsia="FangSong_GB2312"/>
          <w:b/>
          <w:sz w:val="28"/>
        </w:rPr>
        <w:lastRenderedPageBreak/>
        <w:t>Part 1. Money and Credit Analysis</w:t>
      </w:r>
      <w:bookmarkEnd w:id="4"/>
    </w:p>
    <w:p w:rsidR="00EB686F" w:rsidRDefault="00EB686F" w:rsidP="00EB686F">
      <w:pPr>
        <w:spacing w:line="360" w:lineRule="auto"/>
        <w:rPr>
          <w:rFonts w:eastAsia="FangSong_GB2312"/>
          <w:sz w:val="24"/>
        </w:rPr>
      </w:pPr>
      <w:bookmarkStart w:id="5" w:name="_Toc411351808"/>
      <w:bookmarkEnd w:id="5"/>
      <w:r>
        <w:rPr>
          <w:rFonts w:eastAsia="FangSong_GB2312"/>
          <w:sz w:val="24"/>
        </w:rPr>
        <w:t xml:space="preserve">From the beginning of </w:t>
      </w:r>
      <w:r>
        <w:rPr>
          <w:sz w:val="24"/>
        </w:rPr>
        <w:t>Q3</w:t>
      </w:r>
      <w:r>
        <w:rPr>
          <w:rFonts w:eastAsia="FangSong_GB2312"/>
          <w:sz w:val="24"/>
        </w:rPr>
        <w:t xml:space="preserve"> 2018, following the policy arrangements of the CPC Central Committee and the State Council, the PBC continued to implement sound and neutral monetary policies. In light of rising external uncertainties and downward pressures on the economy, the PBC conducted timely and targeted preemptive adjustments and fine-tunings when appropriate</w:t>
      </w:r>
      <w:r>
        <w:rPr>
          <w:rFonts w:eastAsia="FangSong_GB2312" w:hint="eastAsia"/>
          <w:sz w:val="24"/>
        </w:rPr>
        <w:t>,</w:t>
      </w:r>
      <w:r>
        <w:rPr>
          <w:rFonts w:eastAsia="FangSong_GB2312"/>
          <w:sz w:val="24"/>
        </w:rPr>
        <w:t xml:space="preserve"> </w:t>
      </w:r>
      <w:r>
        <w:rPr>
          <w:rFonts w:eastAsia="FangSong_GB2312" w:hint="eastAsia"/>
          <w:sz w:val="24"/>
        </w:rPr>
        <w:t>and</w:t>
      </w:r>
      <w:r>
        <w:rPr>
          <w:rFonts w:eastAsia="FangSong_GB2312"/>
          <w:sz w:val="24"/>
        </w:rPr>
        <w:t xml:space="preserve"> enhance</w:t>
      </w:r>
      <w:r>
        <w:rPr>
          <w:rFonts w:eastAsia="FangSong_GB2312" w:hint="eastAsia"/>
          <w:sz w:val="24"/>
        </w:rPr>
        <w:t>d</w:t>
      </w:r>
      <w:r>
        <w:rPr>
          <w:rFonts w:eastAsia="FangSong_GB2312"/>
          <w:sz w:val="24"/>
        </w:rPr>
        <w:t xml:space="preserve"> financial support for the real economy, especially for small and micro businesses and private enterprises. Liquidity in the banking sector was ample and at an appropriate level, and money-market rates were generally declining. Lending by financial institutions was growing rapidly, while the lending structure continued to improve. Both money supply and all-system financing aggregates increased at a steady pace. The RMB exchange rates were becoming more flexible.</w:t>
      </w:r>
    </w:p>
    <w:p w:rsidR="00EB686F" w:rsidRDefault="00EB686F" w:rsidP="00EB686F">
      <w:pPr>
        <w:spacing w:line="360" w:lineRule="auto"/>
        <w:rPr>
          <w:rFonts w:eastAsia="FangSong_GB2312"/>
          <w:sz w:val="24"/>
        </w:rPr>
      </w:pPr>
    </w:p>
    <w:p w:rsidR="00EB686F" w:rsidRDefault="00EB686F" w:rsidP="00EB686F">
      <w:pPr>
        <w:keepNext/>
        <w:keepLines/>
        <w:widowControl/>
        <w:adjustRightInd w:val="0"/>
        <w:spacing w:before="20" w:after="20" w:line="360" w:lineRule="auto"/>
        <w:outlineLvl w:val="1"/>
        <w:rPr>
          <w:rFonts w:eastAsia="FangSong_GB2312"/>
          <w:b/>
          <w:sz w:val="24"/>
        </w:rPr>
      </w:pPr>
      <w:bookmarkStart w:id="6" w:name="_Toc492904367"/>
      <w:bookmarkStart w:id="7" w:name="_Toc484425012"/>
      <w:bookmarkStart w:id="8" w:name="_Toc464655671"/>
      <w:bookmarkStart w:id="9" w:name="_Toc423005883"/>
      <w:bookmarkStart w:id="10" w:name="_Toc477878074"/>
      <w:bookmarkStart w:id="11" w:name="_Toc472330057"/>
      <w:bookmarkStart w:id="12" w:name="_Toc505346981"/>
      <w:bookmarkStart w:id="13" w:name="_Toc517190498"/>
      <w:bookmarkStart w:id="14" w:name="_Toc532201077"/>
      <w:bookmarkEnd w:id="6"/>
      <w:bookmarkEnd w:id="7"/>
      <w:bookmarkEnd w:id="8"/>
      <w:bookmarkEnd w:id="9"/>
      <w:bookmarkEnd w:id="10"/>
      <w:bookmarkEnd w:id="11"/>
      <w:r>
        <w:rPr>
          <w:rFonts w:eastAsia="FangSong_GB2312"/>
          <w:b/>
          <w:sz w:val="24"/>
        </w:rPr>
        <w:t xml:space="preserve">I. </w:t>
      </w:r>
      <w:bookmarkEnd w:id="12"/>
      <w:bookmarkEnd w:id="13"/>
      <w:r>
        <w:rPr>
          <w:rFonts w:eastAsia="FangSong_GB2312"/>
          <w:b/>
          <w:sz w:val="24"/>
        </w:rPr>
        <w:t>Liquidity was ample and appropriate, and money-market rates generally declined</w:t>
      </w:r>
      <w:bookmarkEnd w:id="14"/>
    </w:p>
    <w:p w:rsidR="00EB686F" w:rsidRDefault="00EB686F" w:rsidP="00EB686F">
      <w:pPr>
        <w:spacing w:line="360" w:lineRule="auto"/>
        <w:rPr>
          <w:rFonts w:eastAsia="FangSong_GB2312"/>
          <w:sz w:val="24"/>
        </w:rPr>
      </w:pPr>
      <w:r>
        <w:rPr>
          <w:rFonts w:eastAsia="FangSong_GB2312"/>
          <w:sz w:val="24"/>
        </w:rPr>
        <w:t xml:space="preserve">Since the beginning of </w:t>
      </w:r>
      <w:r>
        <w:rPr>
          <w:sz w:val="24"/>
        </w:rPr>
        <w:t>Q3,</w:t>
      </w:r>
      <w:r>
        <w:rPr>
          <w:rFonts w:eastAsia="FangSong_GB2312"/>
          <w:sz w:val="24"/>
        </w:rPr>
        <w:t xml:space="preserve"> the PBC has implemented two targeted cuts of the required reserve ratio and has increased the use of the Medium-term Lending Facility (MLF) to increase the medium and long-term liquidity supply, while also flexibly conducting open market operations to ensure ample and appropriate liquidity in the banking system. At end-September, the excess reserve ratio for financial institutions was 1.5 percent, which was 0.2 percentage point higher year on year. Overall, the money market functioned smoothly, with rates for all maturity periods moving somewhat down. At end-October, the 7-day repo rate (DR007) between depository institutions with interest-rate bonds as collateral in the interbank market stood at 2.71 percent, 30 basis points lower than that at end-June.</w:t>
      </w:r>
    </w:p>
    <w:p w:rsidR="00EB686F" w:rsidRDefault="00EB686F" w:rsidP="00EB686F">
      <w:pPr>
        <w:spacing w:line="360" w:lineRule="auto"/>
        <w:rPr>
          <w:rFonts w:eastAsia="FangSong_GB2312"/>
          <w:sz w:val="24"/>
        </w:rPr>
      </w:pPr>
    </w:p>
    <w:p w:rsidR="00EB686F" w:rsidRDefault="00EB686F" w:rsidP="00EB686F">
      <w:pPr>
        <w:spacing w:line="360" w:lineRule="auto"/>
        <w:rPr>
          <w:rFonts w:eastAsia="FangSong_GB2312"/>
          <w:sz w:val="24"/>
        </w:rPr>
      </w:pPr>
    </w:p>
    <w:p w:rsidR="00EB686F" w:rsidRDefault="00EB686F" w:rsidP="00EB686F">
      <w:pPr>
        <w:spacing w:line="360" w:lineRule="auto"/>
        <w:rPr>
          <w:rFonts w:eastAsia="FangSong_GB2312"/>
          <w:sz w:val="24"/>
        </w:rPr>
      </w:pPr>
    </w:p>
    <w:p w:rsidR="00EB686F" w:rsidRDefault="00EB686F" w:rsidP="00EB686F">
      <w:pPr>
        <w:keepNext/>
        <w:spacing w:line="360" w:lineRule="auto"/>
        <w:jc w:val="center"/>
        <w:rPr>
          <w:rFonts w:eastAsia="FangSong_GB2312"/>
          <w:b/>
          <w:bCs/>
          <w:sz w:val="24"/>
        </w:rPr>
      </w:pPr>
      <w:bookmarkStart w:id="15" w:name="_Toc532202349"/>
      <w:r>
        <w:rPr>
          <w:rFonts w:eastAsia="FangSong_GB2312"/>
          <w:b/>
          <w:bCs/>
          <w:sz w:val="24"/>
        </w:rPr>
        <w:lastRenderedPageBreak/>
        <w:t xml:space="preserve">Figure </w:t>
      </w:r>
      <w:r w:rsidR="002447A7">
        <w:fldChar w:fldCharType="begin"/>
      </w:r>
      <w:r>
        <w:rPr>
          <w:rFonts w:eastAsia="FangSong_GB2312"/>
          <w:b/>
          <w:bCs/>
          <w:sz w:val="24"/>
        </w:rPr>
        <w:instrText xml:space="preserve"> SEQ Figure \* ARABIC </w:instrText>
      </w:r>
      <w:r w:rsidR="002447A7">
        <w:fldChar w:fldCharType="separate"/>
      </w:r>
      <w:r w:rsidR="00EC1136">
        <w:rPr>
          <w:rFonts w:eastAsia="FangSong_GB2312"/>
          <w:b/>
          <w:bCs/>
          <w:noProof/>
          <w:sz w:val="24"/>
        </w:rPr>
        <w:t>1</w:t>
      </w:r>
      <w:r w:rsidR="002447A7">
        <w:fldChar w:fldCharType="end"/>
      </w:r>
      <w:r>
        <w:rPr>
          <w:rFonts w:eastAsia="FangSong_GB2312"/>
          <w:b/>
          <w:bCs/>
          <w:sz w:val="24"/>
        </w:rPr>
        <w:t xml:space="preserve"> Interest Rates in the Money Market</w:t>
      </w:r>
      <w:bookmarkEnd w:id="15"/>
    </w:p>
    <w:p w:rsidR="00EB686F" w:rsidRDefault="00EB686F" w:rsidP="00EB686F">
      <w:pPr>
        <w:spacing w:line="360" w:lineRule="auto"/>
        <w:rPr>
          <w:rFonts w:eastAsia="FangSong_GB2312"/>
          <w:sz w:val="24"/>
        </w:rPr>
      </w:pPr>
      <w:r>
        <w:rPr>
          <w:noProof/>
        </w:rPr>
        <w:drawing>
          <wp:inline distT="0" distB="0" distL="0" distR="0">
            <wp:extent cx="5082540" cy="2941320"/>
            <wp:effectExtent l="0" t="0" r="0" b="0"/>
            <wp:docPr id="1026" name="图片 3"/>
            <wp:cNvGraphicFramePr/>
            <a:graphic xmlns:a="http://schemas.openxmlformats.org/drawingml/2006/main">
              <a:graphicData uri="http://schemas.openxmlformats.org/drawingml/2006/picture">
                <pic:pic xmlns:pic="http://schemas.openxmlformats.org/drawingml/2006/picture">
                  <pic:nvPicPr>
                    <pic:cNvPr id="1026" name="图片 3"/>
                    <pic:cNvPicPr/>
                  </pic:nvPicPr>
                  <pic:blipFill>
                    <a:blip r:embed="rId9" cstate="print"/>
                    <a:srcRect/>
                    <a:stretch>
                      <a:fillRect/>
                    </a:stretch>
                  </pic:blipFill>
                  <pic:spPr>
                    <a:xfrm>
                      <a:off x="0" y="0"/>
                      <a:ext cx="5082540" cy="2941320"/>
                    </a:xfrm>
                    <a:prstGeom prst="rect">
                      <a:avLst/>
                    </a:prstGeom>
                    <a:ln>
                      <a:noFill/>
                    </a:ln>
                  </pic:spPr>
                </pic:pic>
              </a:graphicData>
            </a:graphic>
          </wp:inline>
        </w:drawing>
      </w:r>
    </w:p>
    <w:p w:rsidR="00EB686F" w:rsidRDefault="00EB686F" w:rsidP="00EB686F">
      <w:pPr>
        <w:spacing w:line="360" w:lineRule="auto"/>
        <w:rPr>
          <w:rFonts w:eastAsia="FangSong_GB2312"/>
          <w:sz w:val="24"/>
        </w:rPr>
      </w:pPr>
      <w:r>
        <w:rPr>
          <w:rFonts w:eastAsia="FangSong_GB2312"/>
          <w:sz w:val="24"/>
        </w:rPr>
        <w:t>Source: www.chinamoney.com.cn.</w:t>
      </w:r>
    </w:p>
    <w:p w:rsidR="00EB686F" w:rsidRDefault="00EB686F" w:rsidP="00EB686F">
      <w:pPr>
        <w:spacing w:line="360" w:lineRule="auto"/>
        <w:rPr>
          <w:rFonts w:eastAsia="FangSong_GB2312"/>
          <w:sz w:val="24"/>
        </w:rPr>
      </w:pPr>
    </w:p>
    <w:p w:rsidR="00EB686F" w:rsidRDefault="00EB686F" w:rsidP="00EB686F">
      <w:pPr>
        <w:pStyle w:val="a5"/>
        <w:keepNext/>
        <w:pBdr>
          <w:top w:val="none" w:sz="0" w:space="0" w:color="auto"/>
          <w:left w:val="none" w:sz="0" w:space="0" w:color="auto"/>
          <w:bottom w:val="none" w:sz="0" w:space="0" w:color="auto"/>
          <w:right w:val="none" w:sz="0" w:space="0" w:color="auto"/>
        </w:pBdr>
        <w:shd w:val="clear" w:color="auto" w:fill="CCFFCC"/>
        <w:spacing w:before="156" w:after="156" w:line="360" w:lineRule="auto"/>
        <w:rPr>
          <w:b/>
          <w:color w:val="000000"/>
          <w:sz w:val="22"/>
        </w:rPr>
      </w:pPr>
      <w:bookmarkStart w:id="16" w:name="_Toc492909020"/>
      <w:bookmarkStart w:id="17" w:name="_Toc477878101"/>
      <w:bookmarkStart w:id="18" w:name="_Toc532201920"/>
      <w:r>
        <w:rPr>
          <w:rFonts w:ascii="Times New Roman"/>
          <w:b/>
          <w:sz w:val="24"/>
        </w:rPr>
        <w:t xml:space="preserve">Box </w:t>
      </w:r>
      <w:r w:rsidR="002447A7">
        <w:rPr>
          <w:rFonts w:ascii="Times New Roman"/>
          <w:b/>
          <w:sz w:val="24"/>
        </w:rPr>
        <w:fldChar w:fldCharType="begin"/>
      </w:r>
      <w:r w:rsidR="009674D4">
        <w:rPr>
          <w:rFonts w:ascii="Times New Roman"/>
          <w:b/>
          <w:sz w:val="24"/>
        </w:rPr>
        <w:instrText xml:space="preserve"> SEQ Box \* ARABIC </w:instrText>
      </w:r>
      <w:r w:rsidR="002447A7">
        <w:rPr>
          <w:rFonts w:ascii="Times New Roman"/>
          <w:b/>
          <w:sz w:val="24"/>
        </w:rPr>
        <w:fldChar w:fldCharType="separate"/>
      </w:r>
      <w:r w:rsidR="00EC1136">
        <w:rPr>
          <w:rFonts w:ascii="Times New Roman"/>
          <w:b/>
          <w:noProof/>
          <w:sz w:val="24"/>
        </w:rPr>
        <w:t>1</w:t>
      </w:r>
      <w:r w:rsidR="002447A7">
        <w:rPr>
          <w:rFonts w:ascii="Times New Roman"/>
          <w:b/>
          <w:sz w:val="24"/>
        </w:rPr>
        <w:fldChar w:fldCharType="end"/>
      </w:r>
      <w:r>
        <w:rPr>
          <w:rFonts w:ascii="Times New Roman"/>
          <w:b/>
          <w:sz w:val="24"/>
        </w:rPr>
        <w:t xml:space="preserve"> </w:t>
      </w:r>
      <w:bookmarkEnd w:id="16"/>
      <w:bookmarkEnd w:id="17"/>
      <w:r>
        <w:rPr>
          <w:rFonts w:ascii="Times New Roman"/>
          <w:b/>
          <w:sz w:val="24"/>
        </w:rPr>
        <w:t>The Excess Reserve Ratio and Monetary-Policy Transmission</w:t>
      </w:r>
      <w:bookmarkEnd w:id="18"/>
    </w:p>
    <w:p w:rsidR="00EB686F" w:rsidRDefault="00EB686F" w:rsidP="00EB686F">
      <w:pPr>
        <w:shd w:val="clear" w:color="auto" w:fill="CCFFCC"/>
        <w:spacing w:line="360" w:lineRule="auto"/>
        <w:rPr>
          <w:color w:val="000000"/>
          <w:sz w:val="24"/>
        </w:rPr>
      </w:pPr>
      <w:r>
        <w:rPr>
          <w:color w:val="000000"/>
          <w:sz w:val="24"/>
        </w:rPr>
        <w:t xml:space="preserve">It has recently been argued that since the start of this year, much of the cash released by the PBC has remained circulating in the banking system. In fact, China’s current excess reserve ratio (ERR) in the banking system is as low as about 1.5 percent, and the money injected by the central bank has basically been channeled to the real economy. </w:t>
      </w:r>
    </w:p>
    <w:p w:rsidR="00EB686F" w:rsidRDefault="00EB686F" w:rsidP="00EB686F">
      <w:pPr>
        <w:shd w:val="clear" w:color="auto" w:fill="CCFFCC"/>
        <w:spacing w:line="360" w:lineRule="auto"/>
        <w:rPr>
          <w:color w:val="000000"/>
          <w:sz w:val="24"/>
        </w:rPr>
      </w:pPr>
    </w:p>
    <w:p w:rsidR="00EB686F" w:rsidRDefault="00EB686F" w:rsidP="00EB686F">
      <w:pPr>
        <w:shd w:val="clear" w:color="auto" w:fill="CCFFCC"/>
        <w:spacing w:line="360" w:lineRule="auto"/>
        <w:rPr>
          <w:color w:val="000000"/>
          <w:sz w:val="24"/>
        </w:rPr>
      </w:pPr>
      <w:r>
        <w:rPr>
          <w:color w:val="000000"/>
          <w:sz w:val="24"/>
        </w:rPr>
        <w:t xml:space="preserve">The excess reserve ratio (ERR), a key gauge of liquidity in the banking system, is the ratio of the amount of excess reserves to outstanding total deposits. In terms of the monetary-transmission mechanism, when commercial banks increase their assets through activities such as lending, foreign-exchange purchases, and bond purchases, they create an equivalent amount of deposits on the liability side. As deposits grow, banks need to convert a portion of the excess reserves into required reserves so as to support the expansion of assets. Meanwhile, the excess reserves can also be used to facilitate payments and clearing, which are vital for the banks. Therefore, the level of the ERR is not only a measure of the liquidity conditions in the banks but also one of </w:t>
      </w:r>
      <w:r>
        <w:rPr>
          <w:color w:val="000000"/>
          <w:sz w:val="24"/>
        </w:rPr>
        <w:lastRenderedPageBreak/>
        <w:t xml:space="preserve">the key indicators of the efficiency of the monetary-policy transmission. </w:t>
      </w:r>
    </w:p>
    <w:p w:rsidR="00EB686F" w:rsidRDefault="00EB686F" w:rsidP="00EB686F">
      <w:pPr>
        <w:shd w:val="clear" w:color="auto" w:fill="CCFFCC"/>
        <w:spacing w:line="360" w:lineRule="auto"/>
        <w:rPr>
          <w:color w:val="000000"/>
          <w:sz w:val="24"/>
        </w:rPr>
      </w:pPr>
    </w:p>
    <w:p w:rsidR="00EB686F" w:rsidRDefault="00EB686F" w:rsidP="00EB686F">
      <w:pPr>
        <w:shd w:val="clear" w:color="auto" w:fill="CCFFCC"/>
        <w:spacing w:line="360" w:lineRule="auto"/>
        <w:rPr>
          <w:color w:val="000000"/>
          <w:sz w:val="24"/>
        </w:rPr>
      </w:pPr>
      <w:r>
        <w:rPr>
          <w:color w:val="000000"/>
          <w:sz w:val="24"/>
        </w:rPr>
        <w:t xml:space="preserve">In recent years, there has been a trend whereby the ERR in China’s banking system has been moving lower, which is likely due to several factors. One reason is that the consistently growing deposits have brought about a “scale effect.” With the growth of the economy, outstanding deposits in financial institutions have continued to increase, whereas excess reserves used for daily payments and clearing have not grown proportionally, automatically resulting in a decreasing ratio. A second reason is that the efficiency of payments and clearing as well as the efficiency of the market have improved. The PBC has consistently promoted modernization of the payment system, </w:t>
      </w:r>
      <w:r w:rsidRPr="00EE3C76">
        <w:rPr>
          <w:rFonts w:eastAsia="FangSong_GB2312"/>
          <w:b/>
          <w:bCs/>
          <w:sz w:val="24"/>
        </w:rPr>
        <w:t>thereby increasing the efficiency of clearing. Meanwhile, the rapid development of the</w:t>
      </w:r>
      <w:r>
        <w:rPr>
          <w:color w:val="000000"/>
          <w:sz w:val="24"/>
        </w:rPr>
        <w:t xml:space="preserve"> money market has also provided financial institutions with more financing channels to support their liquidity management, helping to lower their demand for excess reserves. A third reason is that the conduct of monetary policy has continued to improve. The various measures that have been taken, including implementing the double-averaging method for reserve assessments, increasing the frequency of open market operations from twice per week to daily, and introducing new tools, such as the standing lending facility and automatic pledge financing, have all been conducive to reducing the </w:t>
      </w:r>
      <w:r>
        <w:rPr>
          <w:rFonts w:hint="eastAsia"/>
          <w:color w:val="000000"/>
          <w:sz w:val="24"/>
        </w:rPr>
        <w:t xml:space="preserve">precautionary </w:t>
      </w:r>
      <w:r>
        <w:rPr>
          <w:color w:val="000000"/>
          <w:sz w:val="24"/>
        </w:rPr>
        <w:t xml:space="preserve">demands by financial institutions for excess reserves. Finally, a fourth reason is that the liquidity management of financial institutions has improved. By developing a liquidity management system, most commercial banks today can keep better track of their real-time cash flows, thus allowing them to use their resources more efficiently and to reduce their demand for excess reserves. </w:t>
      </w:r>
    </w:p>
    <w:p w:rsidR="00EB686F" w:rsidRDefault="00EB686F" w:rsidP="00EB686F">
      <w:pPr>
        <w:shd w:val="clear" w:color="auto" w:fill="CCFFCC"/>
        <w:spacing w:line="360" w:lineRule="auto"/>
        <w:rPr>
          <w:color w:val="000000"/>
          <w:sz w:val="24"/>
        </w:rPr>
      </w:pPr>
    </w:p>
    <w:p w:rsidR="00EB686F" w:rsidRDefault="00EB686F" w:rsidP="00EB686F">
      <w:pPr>
        <w:shd w:val="clear" w:color="auto" w:fill="CCFFCC"/>
        <w:spacing w:line="360" w:lineRule="auto"/>
        <w:rPr>
          <w:color w:val="000000"/>
          <w:sz w:val="24"/>
        </w:rPr>
      </w:pPr>
      <w:r>
        <w:rPr>
          <w:color w:val="000000"/>
          <w:sz w:val="24"/>
        </w:rPr>
        <w:t xml:space="preserve">International comparisons suggest that the ERRs in the major advanced economies are significantly higher than those in China. Since 2008, the major advanced economies have injected liquidity into the market through quantitative easing (QE) and, as a result, their central-bank balance sheets have expanded rapidly. For instance, the balance sheet of the Federal Reserve has grown from about USD 900 billion in June 2008 to USD 4.5 trillion at the end of 2015, and it currently is standing at USD 4.2 </w:t>
      </w:r>
      <w:r>
        <w:rPr>
          <w:color w:val="000000"/>
          <w:sz w:val="24"/>
        </w:rPr>
        <w:lastRenderedPageBreak/>
        <w:t xml:space="preserve">trillion. Similarly, the balance sheet of the European System of Central Banks (ESCB) increased from EUR 1.5 trillion in June 2008 to EUR 4.6 trillion in September 2018. </w:t>
      </w:r>
      <w:r>
        <w:rPr>
          <w:rFonts w:hint="eastAsia"/>
          <w:color w:val="000000"/>
          <w:sz w:val="24"/>
        </w:rPr>
        <w:t>Meanwhile</w:t>
      </w:r>
      <w:r>
        <w:rPr>
          <w:color w:val="000000"/>
          <w:sz w:val="24"/>
        </w:rPr>
        <w:t xml:space="preserve">, the United States and other advanced major economies have generally imposed more stringent regulations since the financial crisis and therefore financial institutions have had to maintain higher levels of provisions to meet the regulatory requirements. Additionally, lending activities to the real economy have remained subdued due to a decline in the appetite for risks among financial institutions, leaving much of the money injected through the QE circulating within the banking system over a long period of time. As a consequence, excess reserves in the United States and in the euro area banking system have risen rapidly. Estimates suggest that the ERR in the U.S. banking system once reached a peak of over 23 percent and is currently at about 12 percent, whereas the ERR in the euro area stands at about10 percent, both of which are notably higher than the ERR in China (Figure 2). </w:t>
      </w:r>
    </w:p>
    <w:p w:rsidR="00EB686F" w:rsidRDefault="00EB686F" w:rsidP="00EB686F">
      <w:pPr>
        <w:shd w:val="clear" w:color="auto" w:fill="CCFFCC"/>
        <w:spacing w:line="360" w:lineRule="auto"/>
        <w:rPr>
          <w:color w:val="000000"/>
          <w:sz w:val="24"/>
        </w:rPr>
      </w:pPr>
    </w:p>
    <w:p w:rsidR="00EB686F" w:rsidRDefault="00EE3C76" w:rsidP="00EE3C76">
      <w:pPr>
        <w:keepNext/>
        <w:shd w:val="clear" w:color="auto" w:fill="CCFFCC"/>
        <w:spacing w:line="360" w:lineRule="auto"/>
        <w:jc w:val="center"/>
        <w:rPr>
          <w:b/>
          <w:bCs/>
          <w:color w:val="000000"/>
          <w:sz w:val="24"/>
        </w:rPr>
      </w:pPr>
      <w:bookmarkStart w:id="19" w:name="_Toc532202350"/>
      <w:r w:rsidRPr="00EE3C76">
        <w:rPr>
          <w:b/>
          <w:bCs/>
          <w:color w:val="000000"/>
          <w:sz w:val="24"/>
        </w:rPr>
        <w:t xml:space="preserve">Figure </w:t>
      </w:r>
      <w:r w:rsidR="002447A7" w:rsidRPr="00EE3C76">
        <w:rPr>
          <w:b/>
          <w:bCs/>
          <w:color w:val="000000"/>
          <w:sz w:val="24"/>
        </w:rPr>
        <w:fldChar w:fldCharType="begin"/>
      </w:r>
      <w:r w:rsidRPr="00EE3C76">
        <w:rPr>
          <w:b/>
          <w:bCs/>
          <w:color w:val="000000"/>
          <w:sz w:val="24"/>
        </w:rPr>
        <w:instrText xml:space="preserve"> SEQ Figure \* ARABIC </w:instrText>
      </w:r>
      <w:r w:rsidR="002447A7" w:rsidRPr="00EE3C76">
        <w:rPr>
          <w:b/>
          <w:bCs/>
          <w:color w:val="000000"/>
          <w:sz w:val="24"/>
        </w:rPr>
        <w:fldChar w:fldCharType="separate"/>
      </w:r>
      <w:r w:rsidR="00EC1136">
        <w:rPr>
          <w:b/>
          <w:bCs/>
          <w:noProof/>
          <w:color w:val="000000"/>
          <w:sz w:val="24"/>
        </w:rPr>
        <w:t>2</w:t>
      </w:r>
      <w:r w:rsidR="002447A7" w:rsidRPr="00EE3C76">
        <w:rPr>
          <w:b/>
          <w:bCs/>
          <w:color w:val="000000"/>
          <w:sz w:val="24"/>
        </w:rPr>
        <w:fldChar w:fldCharType="end"/>
      </w:r>
      <w:r w:rsidRPr="00EE3C76">
        <w:rPr>
          <w:b/>
          <w:bCs/>
          <w:color w:val="000000"/>
          <w:sz w:val="24"/>
        </w:rPr>
        <w:t xml:space="preserve"> </w:t>
      </w:r>
      <w:r>
        <w:rPr>
          <w:b/>
          <w:bCs/>
          <w:color w:val="000000"/>
          <w:sz w:val="24"/>
        </w:rPr>
        <w:t>An International Comparison of Excess Reserve Ratios</w:t>
      </w:r>
      <w:bookmarkEnd w:id="19"/>
    </w:p>
    <w:p w:rsidR="00EB686F" w:rsidRDefault="00EB686F" w:rsidP="00EB686F">
      <w:pPr>
        <w:shd w:val="clear" w:color="auto" w:fill="CCFFCC"/>
        <w:spacing w:line="360" w:lineRule="auto"/>
        <w:jc w:val="center"/>
        <w:rPr>
          <w:color w:val="000000"/>
          <w:sz w:val="24"/>
        </w:rPr>
      </w:pPr>
      <w:r>
        <w:rPr>
          <w:noProof/>
        </w:rPr>
        <w:drawing>
          <wp:inline distT="0" distB="0" distL="0" distR="0">
            <wp:extent cx="4884420" cy="2621280"/>
            <wp:effectExtent l="19050" t="0" r="0" b="0"/>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10" cstate="print"/>
                    <a:srcRect/>
                    <a:stretch>
                      <a:fillRect/>
                    </a:stretch>
                  </pic:blipFill>
                  <pic:spPr>
                    <a:xfrm>
                      <a:off x="0" y="0"/>
                      <a:ext cx="4884420" cy="2621280"/>
                    </a:xfrm>
                    <a:prstGeom prst="rect">
                      <a:avLst/>
                    </a:prstGeom>
                    <a:solidFill>
                      <a:schemeClr val="bg1"/>
                    </a:solidFill>
                    <a:ln>
                      <a:noFill/>
                    </a:ln>
                  </pic:spPr>
                </pic:pic>
              </a:graphicData>
            </a:graphic>
          </wp:inline>
        </w:drawing>
      </w:r>
    </w:p>
    <w:p w:rsidR="00EB686F" w:rsidRDefault="00EB686F" w:rsidP="00EB686F">
      <w:pPr>
        <w:shd w:val="clear" w:color="auto" w:fill="CCFFCC"/>
        <w:spacing w:line="360" w:lineRule="auto"/>
        <w:rPr>
          <w:color w:val="000000"/>
          <w:sz w:val="24"/>
        </w:rPr>
      </w:pPr>
      <w:r>
        <w:rPr>
          <w:color w:val="000000"/>
          <w:sz w:val="24"/>
        </w:rPr>
        <w:t>Sources: People’s Bank of China; Federal Reserve; European Central Bank; PBC staff estimates.</w:t>
      </w:r>
    </w:p>
    <w:p w:rsidR="00EB686F" w:rsidRDefault="00EB686F" w:rsidP="00EB686F">
      <w:pPr>
        <w:shd w:val="clear" w:color="auto" w:fill="CCFFCC"/>
        <w:spacing w:line="360" w:lineRule="auto"/>
        <w:rPr>
          <w:color w:val="000000"/>
          <w:sz w:val="24"/>
        </w:rPr>
      </w:pPr>
    </w:p>
    <w:p w:rsidR="00EB686F" w:rsidRDefault="00EB686F" w:rsidP="00EB686F">
      <w:pPr>
        <w:shd w:val="clear" w:color="auto" w:fill="CCFFCC"/>
        <w:spacing w:line="360" w:lineRule="auto"/>
        <w:rPr>
          <w:color w:val="000000"/>
          <w:sz w:val="24"/>
        </w:rPr>
      </w:pPr>
      <w:r>
        <w:rPr>
          <w:color w:val="000000"/>
          <w:sz w:val="24"/>
        </w:rPr>
        <w:t xml:space="preserve">If the central bank is regarded as the “floodgate” of the monetary supply, then commercial banks are “aqueducts” that channel funds from the central bank. Thus, </w:t>
      </w:r>
      <w:r>
        <w:rPr>
          <w:color w:val="000000"/>
          <w:sz w:val="24"/>
        </w:rPr>
        <w:lastRenderedPageBreak/>
        <w:t>changes in the water level of the “aqueducts” (that is, the ERR) directly reflect whether or not the funds released by the central bank are effectively used. Since 2018, the PBC has responded preemptively to the changing external environment and to a combination of adverse factors. In particular, the PBC has changed its liquidity management objective from “reasonable and stable” to “reasonable and adequate.” It has increased the medium- and long-term liquidity supply through RRR cuts and the Medium-term Lending Facility (MLF) and it has maintained liquidity levels that are consistent with the economic fundamentals. Yet during this process, in terms of the amounts, the ERR in the banking system has not risen and the growth of credit has been stable, suggesting that funds injected by the PBC do not remain in the “aqueducts” (that is, the commercial banks) but instead are generally channeled to the real economy. In terms of cost</w:t>
      </w:r>
      <w:r>
        <w:rPr>
          <w:rFonts w:hint="eastAsia"/>
          <w:color w:val="000000"/>
          <w:sz w:val="24"/>
        </w:rPr>
        <w:t>s</w:t>
      </w:r>
      <w:r>
        <w:rPr>
          <w:color w:val="000000"/>
          <w:sz w:val="24"/>
        </w:rPr>
        <w:t xml:space="preserve">, bond interest rates have declined substantially, while loan interest rates have been stable and trending down, also indicating that the effects of the monetary injections, as demonstrated by the transmission of interest rates, have become more obvious.  </w:t>
      </w:r>
    </w:p>
    <w:p w:rsidR="00EB686F" w:rsidRDefault="00EB686F" w:rsidP="00EB686F">
      <w:pPr>
        <w:shd w:val="clear" w:color="auto" w:fill="CCFFCC"/>
        <w:spacing w:line="360" w:lineRule="auto"/>
        <w:rPr>
          <w:color w:val="000000"/>
          <w:sz w:val="24"/>
        </w:rPr>
      </w:pPr>
    </w:p>
    <w:p w:rsidR="00EB686F" w:rsidRDefault="00EB686F" w:rsidP="00EB686F">
      <w:pPr>
        <w:shd w:val="clear" w:color="auto" w:fill="CCFFCC"/>
        <w:spacing w:line="360" w:lineRule="auto"/>
        <w:rPr>
          <w:color w:val="000000"/>
          <w:sz w:val="24"/>
        </w:rPr>
      </w:pPr>
      <w:r>
        <w:rPr>
          <w:color w:val="000000"/>
          <w:sz w:val="24"/>
        </w:rPr>
        <w:t xml:space="preserve">Nevertheless, constraints exist in the structure and within certain fields in the monetary- policy transmission. In response, the PBC has taken a number of measures, including conducting targeted RRR cuts, expanding the range of collateral, and launching facilities aimed at supporting debt financing by private companies to improve policy efficiency and to guide financial institutions to provide better support for the development of private companies and small and micro businesses. Meanwhile, the relevant </w:t>
      </w:r>
      <w:r>
        <w:rPr>
          <w:rFonts w:hint="eastAsia"/>
          <w:color w:val="000000"/>
          <w:sz w:val="24"/>
        </w:rPr>
        <w:t>government</w:t>
      </w:r>
      <w:r>
        <w:rPr>
          <w:color w:val="000000"/>
          <w:sz w:val="24"/>
        </w:rPr>
        <w:t xml:space="preserve"> agencies should further strengthen coordination and make concerted efforts to enhance the micro-foundation for improving monetary transmission.</w:t>
      </w:r>
    </w:p>
    <w:p w:rsidR="00EB686F" w:rsidRDefault="00EB686F" w:rsidP="00EB686F">
      <w:pPr>
        <w:spacing w:line="360" w:lineRule="auto"/>
        <w:rPr>
          <w:rFonts w:eastAsiaTheme="minorEastAsia"/>
          <w:sz w:val="24"/>
        </w:rPr>
      </w:pPr>
    </w:p>
    <w:p w:rsidR="005A0958" w:rsidRDefault="005A0958" w:rsidP="00EB686F">
      <w:pPr>
        <w:spacing w:line="360" w:lineRule="auto"/>
        <w:rPr>
          <w:rFonts w:eastAsiaTheme="minorEastAsia"/>
          <w:sz w:val="24"/>
        </w:rPr>
      </w:pPr>
    </w:p>
    <w:p w:rsidR="005A0958" w:rsidRPr="005A0958" w:rsidRDefault="005A0958" w:rsidP="00EB686F">
      <w:pPr>
        <w:spacing w:line="360" w:lineRule="auto"/>
        <w:rPr>
          <w:rFonts w:eastAsiaTheme="minorEastAsia"/>
          <w:sz w:val="24"/>
        </w:rPr>
      </w:pPr>
    </w:p>
    <w:p w:rsidR="00EB686F" w:rsidRDefault="00EB686F" w:rsidP="00EB686F">
      <w:pPr>
        <w:keepNext/>
        <w:keepLines/>
        <w:widowControl/>
        <w:adjustRightInd w:val="0"/>
        <w:spacing w:before="20" w:after="20" w:line="360" w:lineRule="auto"/>
        <w:outlineLvl w:val="1"/>
        <w:rPr>
          <w:rFonts w:eastAsia="FangSong_GB2312"/>
          <w:b/>
          <w:sz w:val="24"/>
        </w:rPr>
      </w:pPr>
      <w:bookmarkStart w:id="20" w:name="_Toc517190499"/>
      <w:bookmarkStart w:id="21" w:name="_Toc532201078"/>
      <w:r>
        <w:rPr>
          <w:rFonts w:eastAsia="SimHei"/>
          <w:b/>
          <w:sz w:val="24"/>
        </w:rPr>
        <w:lastRenderedPageBreak/>
        <w:t xml:space="preserve">II. Lending by financial institutions </w:t>
      </w:r>
      <w:bookmarkEnd w:id="20"/>
      <w:r>
        <w:rPr>
          <w:rFonts w:eastAsia="SimHei"/>
          <w:b/>
          <w:sz w:val="24"/>
        </w:rPr>
        <w:t>grew rapidly and lending rates were generally stable</w:t>
      </w:r>
      <w:bookmarkEnd w:id="21"/>
      <w:r>
        <w:rPr>
          <w:rFonts w:eastAsia="FangSong_GB2312"/>
          <w:b/>
          <w:sz w:val="24"/>
        </w:rPr>
        <w:t xml:space="preserve"> </w:t>
      </w:r>
    </w:p>
    <w:p w:rsidR="005A0958" w:rsidRDefault="005A0958" w:rsidP="00EB686F">
      <w:pPr>
        <w:spacing w:line="360" w:lineRule="auto"/>
        <w:textAlignment w:val="center"/>
        <w:rPr>
          <w:rFonts w:eastAsiaTheme="minorEastAsia"/>
          <w:b/>
          <w:bCs/>
          <w:sz w:val="24"/>
        </w:rPr>
      </w:pPr>
    </w:p>
    <w:p w:rsidR="00EB686F" w:rsidRDefault="00EB686F" w:rsidP="00EB686F">
      <w:pPr>
        <w:spacing w:line="360" w:lineRule="auto"/>
        <w:textAlignment w:val="center"/>
        <w:rPr>
          <w:rFonts w:eastAsia="FangSong_GB2312"/>
          <w:sz w:val="24"/>
        </w:rPr>
      </w:pPr>
      <w:r>
        <w:rPr>
          <w:rFonts w:eastAsia="FangSong_GB2312"/>
          <w:b/>
          <w:bCs/>
          <w:sz w:val="24"/>
        </w:rPr>
        <w:t>Lending grew rapidly, providing strong support for the real economy.</w:t>
      </w:r>
      <w:r>
        <w:rPr>
          <w:rFonts w:eastAsia="FangSong_GB2312"/>
          <w:bCs/>
          <w:sz w:val="24"/>
        </w:rPr>
        <w:t xml:space="preserve"> </w:t>
      </w:r>
      <w:r>
        <w:rPr>
          <w:rFonts w:eastAsia="FangSong_GB2312"/>
          <w:sz w:val="24"/>
        </w:rPr>
        <w:t xml:space="preserve">At end-September, outstanding loans in domestic and foreign currencies by financial institutions grew 12.8 percent year on year to RMB 138.9 trillion, which marked an increase of RMB 13.3 trillion from the start of the year and represented a year-on-year acceleration of RMB 2.2 trillion. Outstanding RMB loans increased by 13.2 percent year on year to RMB 133.3 trillion, which marked an increase of RMB 13.1 trillion from the beginning of the year and represented a year-on-year acceleration of RMB 2.0 trillion, much more than the RMB 878.2 billion increase in new loans throughout 2017. Outstanding loans in foreign currencies by financial institutions registered USD 818.9 billion, down USD 19 billion from the beginning of the year.   </w:t>
      </w:r>
    </w:p>
    <w:p w:rsidR="00EB686F" w:rsidRDefault="00EB686F" w:rsidP="00EB686F">
      <w:pPr>
        <w:spacing w:line="360" w:lineRule="auto"/>
        <w:textAlignment w:val="center"/>
        <w:rPr>
          <w:rFonts w:eastAsia="FangSong_GB2312"/>
          <w:sz w:val="24"/>
        </w:rPr>
      </w:pPr>
    </w:p>
    <w:p w:rsidR="00EB686F" w:rsidRPr="00EE3C76" w:rsidRDefault="00EB686F" w:rsidP="00EE3C76">
      <w:pPr>
        <w:spacing w:line="360" w:lineRule="auto"/>
        <w:textAlignment w:val="center"/>
        <w:rPr>
          <w:rFonts w:eastAsiaTheme="minorEastAsia"/>
          <w:sz w:val="24"/>
        </w:rPr>
      </w:pPr>
      <w:r>
        <w:rPr>
          <w:rFonts w:eastAsia="FangSong_GB2312"/>
          <w:b/>
          <w:bCs/>
          <w:sz w:val="24"/>
        </w:rPr>
        <w:t xml:space="preserve">The credit structure continued to improve, and loans to small and micro enterprises increased rapidly. </w:t>
      </w:r>
      <w:r>
        <w:rPr>
          <w:rFonts w:eastAsia="FangSong_GB2312"/>
          <w:sz w:val="24"/>
        </w:rPr>
        <w:t xml:space="preserve">In terms of the maturities of RMB loans, the share of medium- and long-term loans among new loans dropped. At end-September, medium- and long-term loans increased by RMB 8.8 trillion from the beginning of the year, representing a deceleration of RMB 961.9 billion year on year and accounting for 66.7 percent of the total new loans, down 20.5 percentage points year on year. Broken down by areas, loans to small and micro enterprises for inclusive growth purposes grew by RMB 959.5 billion from the start of the year, 1.6 times the total growth in 2017. They registered RMB 7.7 trillion at end-September, up 18.1 percent year on year, which was 8.3 percentage points higher than that at end-2017. Since the beginning of 2018, the PBC has encouraged financial institutions to expand credit and especially to strengthen support to small and micro enterprises for financial inclusion purposes. The policy effects will play out further. Broken down by sectors, the growth of loans to the household sector continued to moderate from an elevated level, registering 18.2 percent at end-September, which was 0.6 percentage point lower than </w:t>
      </w:r>
      <w:r>
        <w:rPr>
          <w:rFonts w:eastAsia="FangSong_GB2312"/>
          <w:sz w:val="24"/>
        </w:rPr>
        <w:lastRenderedPageBreak/>
        <w:t xml:space="preserve">that at end-June. In particular, the growth of mortgage loans fell to 17.9 percent, down 0.7 percentage point from end-June. During the first three quarters of the year, mortgage loans increased by RMB 3.0 trillion, representing a deceleration of RMB 191.7 billion year on year and constituting 22.9 percent of the total new loans, down 5.8 percentage points year on year. Other loans to the household sector increased by RMB 2.7 trillion from the beginning of the year, representing an acceleration of RMB 144.6 billion year on year. Loans to non-financial enterprises and government departments and organizations increased by RMB 7.1 trillion from the beginning of the year, representing an acceleration of RMB 1.4 trillion year on year. </w:t>
      </w:r>
    </w:p>
    <w:p w:rsidR="00EB686F" w:rsidRDefault="00EB686F" w:rsidP="00EB686F">
      <w:pPr>
        <w:keepNext/>
        <w:spacing w:line="360" w:lineRule="auto"/>
        <w:jc w:val="center"/>
        <w:rPr>
          <w:b/>
          <w:sz w:val="24"/>
        </w:rPr>
      </w:pPr>
      <w:bookmarkStart w:id="22" w:name="_Toc532203064"/>
      <w:r>
        <w:rPr>
          <w:b/>
          <w:sz w:val="24"/>
        </w:rPr>
        <w:t xml:space="preserve">Table </w:t>
      </w:r>
      <w:r w:rsidR="002447A7">
        <w:rPr>
          <w:b/>
          <w:sz w:val="24"/>
        </w:rPr>
        <w:fldChar w:fldCharType="begin"/>
      </w:r>
      <w:r w:rsidR="00EE3C76">
        <w:rPr>
          <w:b/>
          <w:sz w:val="24"/>
        </w:rPr>
        <w:instrText xml:space="preserve"> SEQ Table \* ARABIC </w:instrText>
      </w:r>
      <w:r w:rsidR="002447A7">
        <w:rPr>
          <w:b/>
          <w:sz w:val="24"/>
        </w:rPr>
        <w:fldChar w:fldCharType="separate"/>
      </w:r>
      <w:r w:rsidR="00EC1136">
        <w:rPr>
          <w:b/>
          <w:noProof/>
          <w:sz w:val="24"/>
        </w:rPr>
        <w:t>1</w:t>
      </w:r>
      <w:r w:rsidR="002447A7">
        <w:rPr>
          <w:b/>
          <w:sz w:val="24"/>
        </w:rPr>
        <w:fldChar w:fldCharType="end"/>
      </w:r>
      <w:r>
        <w:rPr>
          <w:b/>
          <w:sz w:val="24"/>
        </w:rPr>
        <w:t xml:space="preserve"> Structure of RMB Loans during the First Three Quarters of 2018</w:t>
      </w:r>
      <w:bookmarkEnd w:id="22"/>
    </w:p>
    <w:p w:rsidR="00EB686F" w:rsidRDefault="00EB686F" w:rsidP="00EB686F">
      <w:pPr>
        <w:spacing w:line="360" w:lineRule="auto"/>
        <w:ind w:right="105"/>
        <w:jc w:val="right"/>
        <w:rPr>
          <w:rFonts w:eastAsia="FangSong_GB2312"/>
          <w:sz w:val="24"/>
        </w:rPr>
      </w:pPr>
      <w:r>
        <w:rPr>
          <w:sz w:val="24"/>
        </w:rPr>
        <w:t>RMB 100 million</w:t>
      </w:r>
    </w:p>
    <w:tbl>
      <w:tblPr>
        <w:tblW w:w="8112" w:type="dxa"/>
        <w:jc w:val="center"/>
        <w:tblLayout w:type="fixed"/>
        <w:tblCellMar>
          <w:left w:w="0" w:type="dxa"/>
          <w:right w:w="0" w:type="dxa"/>
        </w:tblCellMar>
        <w:tblLook w:val="04A0"/>
      </w:tblPr>
      <w:tblGrid>
        <w:gridCol w:w="2694"/>
        <w:gridCol w:w="1363"/>
        <w:gridCol w:w="1045"/>
        <w:gridCol w:w="1559"/>
        <w:gridCol w:w="1451"/>
      </w:tblGrid>
      <w:tr w:rsidR="00EB686F" w:rsidTr="00EB686F">
        <w:trPr>
          <w:trHeight w:val="315"/>
          <w:jc w:val="center"/>
        </w:trPr>
        <w:tc>
          <w:tcPr>
            <w:tcW w:w="2694" w:type="dxa"/>
            <w:tcBorders>
              <w:top w:val="single" w:sz="12" w:space="0" w:color="339966"/>
              <w:left w:val="nil"/>
              <w:bottom w:val="single" w:sz="12" w:space="0" w:color="339966"/>
              <w:right w:val="single" w:sz="4" w:space="0" w:color="339966"/>
            </w:tcBorders>
            <w:shd w:val="clear" w:color="auto" w:fill="CCFFCC"/>
            <w:vAlign w:val="center"/>
          </w:tcPr>
          <w:p w:rsidR="00EB686F" w:rsidRDefault="00EB686F" w:rsidP="00EB686F">
            <w:pPr>
              <w:spacing w:line="360" w:lineRule="auto"/>
              <w:rPr>
                <w:sz w:val="18"/>
                <w:szCs w:val="18"/>
              </w:rPr>
            </w:pPr>
            <w:r>
              <w:rPr>
                <w:rFonts w:hint="eastAsia"/>
                <w:sz w:val="18"/>
                <w:szCs w:val="18"/>
              </w:rPr>
              <w:t xml:space="preserve">　</w:t>
            </w:r>
          </w:p>
        </w:tc>
        <w:tc>
          <w:tcPr>
            <w:tcW w:w="1363" w:type="dxa"/>
            <w:tcBorders>
              <w:top w:val="single" w:sz="12" w:space="0" w:color="339966"/>
              <w:left w:val="nil"/>
              <w:bottom w:val="single" w:sz="12" w:space="0" w:color="339966"/>
              <w:right w:val="single" w:sz="6" w:space="0" w:color="339966"/>
            </w:tcBorders>
            <w:shd w:val="clear" w:color="auto" w:fill="CCFFCC"/>
            <w:vAlign w:val="center"/>
          </w:tcPr>
          <w:p w:rsidR="00EB686F" w:rsidRDefault="00EB686F" w:rsidP="00EB686F">
            <w:pPr>
              <w:spacing w:line="360" w:lineRule="auto"/>
              <w:jc w:val="left"/>
              <w:rPr>
                <w:sz w:val="18"/>
                <w:szCs w:val="18"/>
              </w:rPr>
            </w:pPr>
            <w:r>
              <w:rPr>
                <w:sz w:val="18"/>
                <w:szCs w:val="18"/>
              </w:rPr>
              <w:t>Outstanding amount at end-September</w:t>
            </w:r>
          </w:p>
        </w:tc>
        <w:tc>
          <w:tcPr>
            <w:tcW w:w="1045" w:type="dxa"/>
            <w:tcBorders>
              <w:top w:val="single" w:sz="12" w:space="0" w:color="339966"/>
              <w:left w:val="nil"/>
              <w:bottom w:val="single" w:sz="12" w:space="0" w:color="339966"/>
              <w:right w:val="single" w:sz="6" w:space="0" w:color="339966"/>
            </w:tcBorders>
            <w:shd w:val="clear" w:color="auto" w:fill="CCFFCC"/>
            <w:vAlign w:val="center"/>
          </w:tcPr>
          <w:p w:rsidR="00EB686F" w:rsidRDefault="00EB686F" w:rsidP="00EB686F">
            <w:pPr>
              <w:spacing w:line="360" w:lineRule="auto"/>
              <w:jc w:val="left"/>
              <w:rPr>
                <w:color w:val="000000"/>
                <w:sz w:val="18"/>
                <w:szCs w:val="18"/>
              </w:rPr>
            </w:pPr>
            <w:r>
              <w:rPr>
                <w:color w:val="000000"/>
                <w:sz w:val="18"/>
                <w:szCs w:val="18"/>
              </w:rPr>
              <w:t>Year-on-</w:t>
            </w:r>
          </w:p>
          <w:p w:rsidR="00EB686F" w:rsidRDefault="00EB686F" w:rsidP="00EB686F">
            <w:pPr>
              <w:spacing w:line="360" w:lineRule="auto"/>
              <w:jc w:val="left"/>
              <w:rPr>
                <w:sz w:val="18"/>
                <w:szCs w:val="18"/>
              </w:rPr>
            </w:pPr>
            <w:r>
              <w:rPr>
                <w:color w:val="000000"/>
                <w:sz w:val="18"/>
                <w:szCs w:val="18"/>
              </w:rPr>
              <w:t xml:space="preserve">year </w:t>
            </w:r>
            <w:r>
              <w:rPr>
                <w:sz w:val="18"/>
                <w:szCs w:val="18"/>
              </w:rPr>
              <w:t>growth</w:t>
            </w:r>
          </w:p>
        </w:tc>
        <w:tc>
          <w:tcPr>
            <w:tcW w:w="1559" w:type="dxa"/>
            <w:tcBorders>
              <w:top w:val="single" w:sz="12" w:space="0" w:color="339966"/>
              <w:left w:val="nil"/>
              <w:bottom w:val="single" w:sz="12" w:space="0" w:color="339966"/>
              <w:right w:val="single" w:sz="6" w:space="0" w:color="339966"/>
            </w:tcBorders>
            <w:shd w:val="clear" w:color="auto" w:fill="CCFFCC"/>
            <w:vAlign w:val="center"/>
          </w:tcPr>
          <w:p w:rsidR="00EB686F" w:rsidRDefault="00EB686F" w:rsidP="00EB686F">
            <w:pPr>
              <w:spacing w:line="360" w:lineRule="auto"/>
              <w:jc w:val="left"/>
              <w:rPr>
                <w:sz w:val="18"/>
                <w:szCs w:val="18"/>
              </w:rPr>
            </w:pPr>
            <w:r>
              <w:rPr>
                <w:sz w:val="18"/>
                <w:szCs w:val="18"/>
              </w:rPr>
              <w:t>Increase from the beginning of the year</w:t>
            </w:r>
          </w:p>
        </w:tc>
        <w:tc>
          <w:tcPr>
            <w:tcW w:w="1451" w:type="dxa"/>
            <w:tcBorders>
              <w:top w:val="single" w:sz="12" w:space="0" w:color="339966"/>
              <w:left w:val="nil"/>
              <w:bottom w:val="single" w:sz="12" w:space="0" w:color="339966"/>
              <w:right w:val="nil"/>
            </w:tcBorders>
            <w:shd w:val="clear" w:color="auto" w:fill="CCFFCC"/>
            <w:vAlign w:val="center"/>
          </w:tcPr>
          <w:p w:rsidR="00EB686F" w:rsidRDefault="00EB686F" w:rsidP="00EB686F">
            <w:pPr>
              <w:spacing w:line="360" w:lineRule="auto"/>
              <w:jc w:val="left"/>
              <w:rPr>
                <w:sz w:val="18"/>
                <w:szCs w:val="18"/>
              </w:rPr>
            </w:pPr>
            <w:r>
              <w:rPr>
                <w:sz w:val="18"/>
                <w:szCs w:val="18"/>
              </w:rPr>
              <w:t>Change in the increase from the same period of the last year</w:t>
            </w:r>
          </w:p>
        </w:tc>
      </w:tr>
      <w:tr w:rsidR="00EB686F" w:rsidTr="00EB686F">
        <w:trPr>
          <w:trHeight w:val="300"/>
          <w:jc w:val="center"/>
        </w:trPr>
        <w:tc>
          <w:tcPr>
            <w:tcW w:w="2694" w:type="dxa"/>
            <w:tcBorders>
              <w:top w:val="nil"/>
              <w:left w:val="nil"/>
              <w:bottom w:val="nil"/>
              <w:right w:val="single" w:sz="4" w:space="0" w:color="339966"/>
            </w:tcBorders>
            <w:vAlign w:val="center"/>
          </w:tcPr>
          <w:p w:rsidR="00EB686F" w:rsidRDefault="00EB686F" w:rsidP="00EB686F">
            <w:pPr>
              <w:spacing w:line="360" w:lineRule="auto"/>
              <w:rPr>
                <w:sz w:val="18"/>
                <w:szCs w:val="18"/>
              </w:rPr>
            </w:pPr>
            <w:r>
              <w:rPr>
                <w:sz w:val="18"/>
                <w:szCs w:val="18"/>
              </w:rPr>
              <w:t>RMB loans to</w:t>
            </w:r>
          </w:p>
        </w:tc>
        <w:tc>
          <w:tcPr>
            <w:tcW w:w="1363" w:type="dxa"/>
            <w:tcBorders>
              <w:top w:val="nil"/>
              <w:left w:val="nil"/>
              <w:bottom w:val="nil"/>
              <w:right w:val="single" w:sz="6" w:space="0" w:color="339966"/>
            </w:tcBorders>
            <w:vAlign w:val="center"/>
          </w:tcPr>
          <w:p w:rsidR="00EB686F" w:rsidRDefault="00EB686F" w:rsidP="00EB686F">
            <w:pPr>
              <w:spacing w:line="360" w:lineRule="auto"/>
              <w:ind w:firstLineChars="200" w:firstLine="360"/>
              <w:jc w:val="right"/>
              <w:rPr>
                <w:sz w:val="18"/>
                <w:szCs w:val="18"/>
              </w:rPr>
            </w:pPr>
            <w:r>
              <w:rPr>
                <w:sz w:val="18"/>
                <w:szCs w:val="18"/>
              </w:rPr>
              <w:t>1,332,663</w:t>
            </w:r>
          </w:p>
        </w:tc>
        <w:tc>
          <w:tcPr>
            <w:tcW w:w="1045" w:type="dxa"/>
            <w:tcBorders>
              <w:top w:val="nil"/>
              <w:left w:val="nil"/>
              <w:bottom w:val="nil"/>
              <w:right w:val="single" w:sz="6" w:space="0" w:color="339966"/>
            </w:tcBorders>
            <w:vAlign w:val="center"/>
          </w:tcPr>
          <w:p w:rsidR="00EB686F" w:rsidRDefault="00EB686F" w:rsidP="00EB686F">
            <w:pPr>
              <w:spacing w:line="360" w:lineRule="auto"/>
              <w:ind w:left="441"/>
              <w:jc w:val="right"/>
              <w:rPr>
                <w:sz w:val="18"/>
                <w:szCs w:val="18"/>
              </w:rPr>
            </w:pPr>
            <w:r>
              <w:rPr>
                <w:sz w:val="18"/>
                <w:szCs w:val="18"/>
              </w:rPr>
              <w:t>13.2%</w:t>
            </w:r>
          </w:p>
        </w:tc>
        <w:tc>
          <w:tcPr>
            <w:tcW w:w="1559" w:type="dxa"/>
            <w:tcBorders>
              <w:top w:val="nil"/>
              <w:left w:val="nil"/>
              <w:bottom w:val="nil"/>
              <w:right w:val="single" w:sz="6" w:space="0" w:color="339966"/>
            </w:tcBorders>
            <w:vAlign w:val="center"/>
          </w:tcPr>
          <w:p w:rsidR="00EB686F" w:rsidRDefault="00EB686F" w:rsidP="00EB686F">
            <w:pPr>
              <w:spacing w:line="360" w:lineRule="auto"/>
              <w:ind w:left="441"/>
              <w:jc w:val="right"/>
              <w:rPr>
                <w:sz w:val="18"/>
                <w:szCs w:val="18"/>
              </w:rPr>
            </w:pPr>
            <w:r>
              <w:rPr>
                <w:sz w:val="18"/>
                <w:szCs w:val="18"/>
              </w:rPr>
              <w:t>131,401</w:t>
            </w:r>
          </w:p>
        </w:tc>
        <w:tc>
          <w:tcPr>
            <w:tcW w:w="1451" w:type="dxa"/>
            <w:vAlign w:val="center"/>
          </w:tcPr>
          <w:p w:rsidR="00EB686F" w:rsidRDefault="00EB686F" w:rsidP="00EB686F">
            <w:pPr>
              <w:spacing w:line="360" w:lineRule="auto"/>
              <w:ind w:left="441"/>
              <w:jc w:val="right"/>
              <w:rPr>
                <w:sz w:val="18"/>
                <w:szCs w:val="18"/>
              </w:rPr>
            </w:pPr>
            <w:r>
              <w:rPr>
                <w:sz w:val="18"/>
                <w:szCs w:val="18"/>
              </w:rPr>
              <w:t>19,827</w:t>
            </w:r>
          </w:p>
        </w:tc>
      </w:tr>
      <w:tr w:rsidR="00EB686F" w:rsidTr="00EB686F">
        <w:trPr>
          <w:trHeight w:val="285"/>
          <w:jc w:val="center"/>
        </w:trPr>
        <w:tc>
          <w:tcPr>
            <w:tcW w:w="2694" w:type="dxa"/>
            <w:tcBorders>
              <w:top w:val="nil"/>
              <w:left w:val="nil"/>
              <w:bottom w:val="nil"/>
              <w:right w:val="single" w:sz="4" w:space="0" w:color="339966"/>
            </w:tcBorders>
            <w:shd w:val="clear" w:color="auto" w:fill="CCFFCC"/>
            <w:vAlign w:val="center"/>
          </w:tcPr>
          <w:p w:rsidR="00EB686F" w:rsidRDefault="00EB686F" w:rsidP="00EB686F">
            <w:pPr>
              <w:spacing w:line="360" w:lineRule="auto"/>
              <w:ind w:left="441"/>
              <w:rPr>
                <w:sz w:val="18"/>
                <w:szCs w:val="18"/>
              </w:rPr>
            </w:pPr>
            <w:r>
              <w:rPr>
                <w:sz w:val="18"/>
                <w:szCs w:val="18"/>
              </w:rPr>
              <w:t>Households</w:t>
            </w:r>
          </w:p>
        </w:tc>
        <w:tc>
          <w:tcPr>
            <w:tcW w:w="1363" w:type="dxa"/>
            <w:tcBorders>
              <w:top w:val="nil"/>
              <w:left w:val="nil"/>
              <w:bottom w:val="nil"/>
              <w:right w:val="single" w:sz="6" w:space="0" w:color="339966"/>
            </w:tcBorders>
            <w:shd w:val="clear" w:color="auto" w:fill="CCFFCC"/>
            <w:vAlign w:val="center"/>
          </w:tcPr>
          <w:p w:rsidR="00EB686F" w:rsidRDefault="00EB686F" w:rsidP="00EB686F">
            <w:pPr>
              <w:spacing w:line="360" w:lineRule="auto"/>
              <w:ind w:firstLineChars="300" w:firstLine="540"/>
              <w:jc w:val="right"/>
              <w:rPr>
                <w:sz w:val="18"/>
                <w:szCs w:val="18"/>
              </w:rPr>
            </w:pPr>
            <w:r>
              <w:rPr>
                <w:sz w:val="18"/>
                <w:szCs w:val="18"/>
              </w:rPr>
              <w:t>462,053</w:t>
            </w:r>
          </w:p>
        </w:tc>
        <w:tc>
          <w:tcPr>
            <w:tcW w:w="1045" w:type="dxa"/>
            <w:tcBorders>
              <w:top w:val="nil"/>
              <w:left w:val="nil"/>
              <w:bottom w:val="nil"/>
              <w:right w:val="single" w:sz="6" w:space="0" w:color="339966"/>
            </w:tcBorders>
            <w:shd w:val="clear" w:color="auto" w:fill="CCFFCC"/>
            <w:vAlign w:val="center"/>
          </w:tcPr>
          <w:p w:rsidR="00EB686F" w:rsidRDefault="00EB686F" w:rsidP="00EB686F">
            <w:pPr>
              <w:spacing w:line="360" w:lineRule="auto"/>
              <w:ind w:left="441"/>
              <w:jc w:val="right"/>
              <w:rPr>
                <w:sz w:val="18"/>
                <w:szCs w:val="18"/>
              </w:rPr>
            </w:pPr>
            <w:r>
              <w:rPr>
                <w:sz w:val="18"/>
                <w:szCs w:val="18"/>
              </w:rPr>
              <w:t>18.2%</w:t>
            </w:r>
          </w:p>
        </w:tc>
        <w:tc>
          <w:tcPr>
            <w:tcW w:w="1559" w:type="dxa"/>
            <w:tcBorders>
              <w:top w:val="nil"/>
              <w:left w:val="nil"/>
              <w:bottom w:val="nil"/>
              <w:right w:val="single" w:sz="6" w:space="0" w:color="339966"/>
            </w:tcBorders>
            <w:shd w:val="clear" w:color="auto" w:fill="CCFFCC"/>
            <w:vAlign w:val="center"/>
          </w:tcPr>
          <w:p w:rsidR="00EB686F" w:rsidRDefault="00EB686F" w:rsidP="00EB686F">
            <w:pPr>
              <w:spacing w:line="360" w:lineRule="auto"/>
              <w:ind w:firstLineChars="300" w:firstLine="540"/>
              <w:jc w:val="right"/>
              <w:rPr>
                <w:sz w:val="18"/>
                <w:szCs w:val="18"/>
              </w:rPr>
            </w:pPr>
            <w:r>
              <w:rPr>
                <w:sz w:val="18"/>
                <w:szCs w:val="18"/>
              </w:rPr>
              <w:t>56,851</w:t>
            </w:r>
          </w:p>
        </w:tc>
        <w:tc>
          <w:tcPr>
            <w:tcW w:w="1451" w:type="dxa"/>
            <w:shd w:val="clear" w:color="auto" w:fill="CCFFCC"/>
            <w:vAlign w:val="center"/>
          </w:tcPr>
          <w:p w:rsidR="00EB686F" w:rsidRDefault="00EB686F" w:rsidP="00EB686F">
            <w:pPr>
              <w:spacing w:line="360" w:lineRule="auto"/>
              <w:ind w:left="441"/>
              <w:jc w:val="right"/>
              <w:rPr>
                <w:sz w:val="18"/>
                <w:szCs w:val="18"/>
              </w:rPr>
            </w:pPr>
            <w:r>
              <w:rPr>
                <w:sz w:val="18"/>
                <w:szCs w:val="18"/>
              </w:rPr>
              <w:t>-471</w:t>
            </w:r>
          </w:p>
        </w:tc>
      </w:tr>
      <w:tr w:rsidR="00EB686F" w:rsidTr="00EB686F">
        <w:trPr>
          <w:trHeight w:val="300"/>
          <w:jc w:val="center"/>
        </w:trPr>
        <w:tc>
          <w:tcPr>
            <w:tcW w:w="2694" w:type="dxa"/>
            <w:tcBorders>
              <w:top w:val="nil"/>
              <w:left w:val="nil"/>
              <w:bottom w:val="nil"/>
              <w:right w:val="single" w:sz="4" w:space="0" w:color="339966"/>
            </w:tcBorders>
            <w:vAlign w:val="center"/>
          </w:tcPr>
          <w:p w:rsidR="00EB686F" w:rsidRDefault="00EB686F" w:rsidP="00EB686F">
            <w:pPr>
              <w:spacing w:line="360" w:lineRule="auto"/>
              <w:ind w:left="441"/>
              <w:rPr>
                <w:sz w:val="18"/>
                <w:szCs w:val="18"/>
              </w:rPr>
            </w:pPr>
            <w:r>
              <w:rPr>
                <w:sz w:val="18"/>
                <w:szCs w:val="18"/>
              </w:rPr>
              <w:t>Non-financial enterprises,</w:t>
            </w:r>
          </w:p>
          <w:p w:rsidR="00EB686F" w:rsidRDefault="00EB686F" w:rsidP="00EB686F">
            <w:pPr>
              <w:spacing w:line="360" w:lineRule="auto"/>
              <w:ind w:left="441"/>
              <w:rPr>
                <w:sz w:val="18"/>
                <w:szCs w:val="18"/>
              </w:rPr>
            </w:pPr>
            <w:r>
              <w:rPr>
                <w:sz w:val="18"/>
                <w:szCs w:val="18"/>
              </w:rPr>
              <w:t>government departments, and organizations</w:t>
            </w:r>
          </w:p>
        </w:tc>
        <w:tc>
          <w:tcPr>
            <w:tcW w:w="1363" w:type="dxa"/>
            <w:tcBorders>
              <w:top w:val="nil"/>
              <w:left w:val="nil"/>
              <w:bottom w:val="nil"/>
              <w:right w:val="single" w:sz="6" w:space="0" w:color="339966"/>
            </w:tcBorders>
            <w:vAlign w:val="center"/>
          </w:tcPr>
          <w:p w:rsidR="00EB686F" w:rsidRDefault="00EB686F" w:rsidP="00EB686F">
            <w:pPr>
              <w:spacing w:line="360" w:lineRule="auto"/>
              <w:ind w:firstLineChars="300" w:firstLine="540"/>
              <w:jc w:val="right"/>
              <w:rPr>
                <w:sz w:val="18"/>
                <w:szCs w:val="18"/>
              </w:rPr>
            </w:pPr>
            <w:r>
              <w:rPr>
                <w:sz w:val="18"/>
                <w:szCs w:val="18"/>
              </w:rPr>
              <w:t>856,352</w:t>
            </w:r>
          </w:p>
        </w:tc>
        <w:tc>
          <w:tcPr>
            <w:tcW w:w="1045" w:type="dxa"/>
            <w:tcBorders>
              <w:top w:val="nil"/>
              <w:left w:val="nil"/>
              <w:bottom w:val="nil"/>
              <w:right w:val="single" w:sz="6" w:space="0" w:color="339966"/>
            </w:tcBorders>
            <w:vAlign w:val="center"/>
          </w:tcPr>
          <w:p w:rsidR="00EB686F" w:rsidRDefault="00EB686F" w:rsidP="00EB686F">
            <w:pPr>
              <w:spacing w:line="360" w:lineRule="auto"/>
              <w:ind w:left="441"/>
              <w:jc w:val="right"/>
              <w:rPr>
                <w:sz w:val="18"/>
                <w:szCs w:val="18"/>
              </w:rPr>
            </w:pPr>
            <w:r>
              <w:rPr>
                <w:sz w:val="18"/>
                <w:szCs w:val="18"/>
              </w:rPr>
              <w:t>10.4%</w:t>
            </w:r>
          </w:p>
        </w:tc>
        <w:tc>
          <w:tcPr>
            <w:tcW w:w="1559" w:type="dxa"/>
            <w:tcBorders>
              <w:top w:val="nil"/>
              <w:left w:val="nil"/>
              <w:bottom w:val="nil"/>
              <w:right w:val="single" w:sz="6" w:space="0" w:color="339966"/>
            </w:tcBorders>
            <w:vAlign w:val="center"/>
          </w:tcPr>
          <w:p w:rsidR="00EB686F" w:rsidRDefault="00EB686F" w:rsidP="00EB686F">
            <w:pPr>
              <w:spacing w:line="360" w:lineRule="auto"/>
              <w:ind w:firstLineChars="300" w:firstLine="540"/>
              <w:jc w:val="right"/>
              <w:rPr>
                <w:sz w:val="18"/>
                <w:szCs w:val="18"/>
              </w:rPr>
            </w:pPr>
            <w:r>
              <w:rPr>
                <w:sz w:val="18"/>
                <w:szCs w:val="18"/>
              </w:rPr>
              <w:t>71,145</w:t>
            </w:r>
          </w:p>
        </w:tc>
        <w:tc>
          <w:tcPr>
            <w:tcW w:w="1451" w:type="dxa"/>
            <w:vAlign w:val="center"/>
          </w:tcPr>
          <w:p w:rsidR="00EB686F" w:rsidRDefault="00EB686F" w:rsidP="00EB686F">
            <w:pPr>
              <w:spacing w:line="360" w:lineRule="auto"/>
              <w:ind w:left="441"/>
              <w:jc w:val="right"/>
              <w:rPr>
                <w:sz w:val="18"/>
                <w:szCs w:val="18"/>
              </w:rPr>
            </w:pPr>
            <w:r>
              <w:rPr>
                <w:sz w:val="18"/>
                <w:szCs w:val="18"/>
              </w:rPr>
              <w:t>13,892</w:t>
            </w:r>
          </w:p>
        </w:tc>
      </w:tr>
      <w:tr w:rsidR="00EB686F" w:rsidTr="00EB686F">
        <w:trPr>
          <w:trHeight w:val="315"/>
          <w:jc w:val="center"/>
        </w:trPr>
        <w:tc>
          <w:tcPr>
            <w:tcW w:w="2694" w:type="dxa"/>
            <w:tcBorders>
              <w:top w:val="nil"/>
              <w:left w:val="nil"/>
              <w:bottom w:val="nil"/>
              <w:right w:val="single" w:sz="4" w:space="0" w:color="339966"/>
            </w:tcBorders>
            <w:shd w:val="clear" w:color="auto" w:fill="CCFFCC"/>
            <w:vAlign w:val="center"/>
          </w:tcPr>
          <w:p w:rsidR="00EB686F" w:rsidRDefault="00EB686F" w:rsidP="00EB686F">
            <w:pPr>
              <w:spacing w:line="360" w:lineRule="auto"/>
              <w:ind w:left="441"/>
              <w:rPr>
                <w:sz w:val="18"/>
                <w:szCs w:val="18"/>
              </w:rPr>
            </w:pPr>
            <w:r>
              <w:rPr>
                <w:sz w:val="18"/>
                <w:szCs w:val="18"/>
              </w:rPr>
              <w:t>Non-banking financial</w:t>
            </w:r>
          </w:p>
          <w:p w:rsidR="00EB686F" w:rsidRDefault="00EB686F" w:rsidP="00EB686F">
            <w:pPr>
              <w:spacing w:line="360" w:lineRule="auto"/>
              <w:ind w:left="441"/>
              <w:rPr>
                <w:sz w:val="18"/>
                <w:szCs w:val="18"/>
              </w:rPr>
            </w:pPr>
            <w:r>
              <w:rPr>
                <w:sz w:val="18"/>
                <w:szCs w:val="18"/>
              </w:rPr>
              <w:t>institutions</w:t>
            </w:r>
          </w:p>
        </w:tc>
        <w:tc>
          <w:tcPr>
            <w:tcW w:w="1363" w:type="dxa"/>
            <w:tcBorders>
              <w:top w:val="nil"/>
              <w:left w:val="nil"/>
              <w:bottom w:val="nil"/>
              <w:right w:val="single" w:sz="6" w:space="0" w:color="339966"/>
            </w:tcBorders>
            <w:shd w:val="clear" w:color="auto" w:fill="CCFFCC"/>
            <w:vAlign w:val="center"/>
          </w:tcPr>
          <w:p w:rsidR="00EB686F" w:rsidRDefault="00EB686F" w:rsidP="00EB686F">
            <w:pPr>
              <w:spacing w:line="360" w:lineRule="auto"/>
              <w:ind w:left="441"/>
              <w:jc w:val="right"/>
              <w:rPr>
                <w:sz w:val="18"/>
                <w:szCs w:val="18"/>
              </w:rPr>
            </w:pPr>
            <w:r>
              <w:rPr>
                <w:sz w:val="18"/>
                <w:szCs w:val="18"/>
              </w:rPr>
              <w:t>9,232</w:t>
            </w:r>
          </w:p>
        </w:tc>
        <w:tc>
          <w:tcPr>
            <w:tcW w:w="1045" w:type="dxa"/>
            <w:tcBorders>
              <w:top w:val="nil"/>
              <w:left w:val="nil"/>
              <w:bottom w:val="nil"/>
              <w:right w:val="single" w:sz="6" w:space="0" w:color="339966"/>
            </w:tcBorders>
            <w:shd w:val="clear" w:color="auto" w:fill="CCFFCC"/>
            <w:vAlign w:val="center"/>
          </w:tcPr>
          <w:p w:rsidR="00EB686F" w:rsidRDefault="00EB686F" w:rsidP="00EB686F">
            <w:pPr>
              <w:spacing w:line="360" w:lineRule="auto"/>
              <w:ind w:left="331"/>
              <w:jc w:val="right"/>
              <w:rPr>
                <w:sz w:val="18"/>
                <w:szCs w:val="18"/>
              </w:rPr>
            </w:pPr>
            <w:r>
              <w:rPr>
                <w:sz w:val="18"/>
                <w:szCs w:val="18"/>
              </w:rPr>
              <w:t>40.3%</w:t>
            </w:r>
          </w:p>
        </w:tc>
        <w:tc>
          <w:tcPr>
            <w:tcW w:w="1559" w:type="dxa"/>
            <w:tcBorders>
              <w:top w:val="nil"/>
              <w:left w:val="nil"/>
              <w:bottom w:val="nil"/>
              <w:right w:val="single" w:sz="6" w:space="0" w:color="339966"/>
            </w:tcBorders>
            <w:shd w:val="clear" w:color="auto" w:fill="CCFFCC"/>
            <w:vAlign w:val="center"/>
          </w:tcPr>
          <w:p w:rsidR="00EB686F" w:rsidRDefault="00EB686F" w:rsidP="00EB686F">
            <w:pPr>
              <w:spacing w:line="360" w:lineRule="auto"/>
              <w:ind w:firstLineChars="300" w:firstLine="540"/>
              <w:jc w:val="right"/>
              <w:rPr>
                <w:sz w:val="18"/>
                <w:szCs w:val="18"/>
              </w:rPr>
            </w:pPr>
            <w:r>
              <w:rPr>
                <w:sz w:val="18"/>
                <w:szCs w:val="18"/>
              </w:rPr>
              <w:t>2,874</w:t>
            </w:r>
          </w:p>
        </w:tc>
        <w:tc>
          <w:tcPr>
            <w:tcW w:w="1451" w:type="dxa"/>
            <w:shd w:val="clear" w:color="auto" w:fill="CCFFCC"/>
            <w:vAlign w:val="center"/>
          </w:tcPr>
          <w:p w:rsidR="00EB686F" w:rsidRDefault="00EB686F" w:rsidP="00EB686F">
            <w:pPr>
              <w:spacing w:line="360" w:lineRule="auto"/>
              <w:ind w:firstLineChars="200" w:firstLine="360"/>
              <w:jc w:val="right"/>
              <w:rPr>
                <w:sz w:val="18"/>
                <w:szCs w:val="18"/>
              </w:rPr>
            </w:pPr>
            <w:r>
              <w:rPr>
                <w:sz w:val="18"/>
                <w:szCs w:val="18"/>
              </w:rPr>
              <w:t>5,837</w:t>
            </w:r>
          </w:p>
        </w:tc>
      </w:tr>
      <w:tr w:rsidR="00EB686F" w:rsidTr="00EB686F">
        <w:trPr>
          <w:trHeight w:val="315"/>
          <w:jc w:val="center"/>
        </w:trPr>
        <w:tc>
          <w:tcPr>
            <w:tcW w:w="2694" w:type="dxa"/>
            <w:tcBorders>
              <w:top w:val="nil"/>
              <w:left w:val="nil"/>
              <w:bottom w:val="single" w:sz="12" w:space="0" w:color="339966"/>
              <w:right w:val="single" w:sz="4" w:space="0" w:color="339966"/>
            </w:tcBorders>
            <w:vAlign w:val="center"/>
          </w:tcPr>
          <w:p w:rsidR="00EB686F" w:rsidRDefault="00EB686F" w:rsidP="00EB686F">
            <w:pPr>
              <w:spacing w:line="360" w:lineRule="auto"/>
              <w:ind w:left="441"/>
              <w:rPr>
                <w:sz w:val="18"/>
                <w:szCs w:val="18"/>
              </w:rPr>
            </w:pPr>
            <w:r>
              <w:rPr>
                <w:sz w:val="18"/>
                <w:szCs w:val="18"/>
              </w:rPr>
              <w:t>Overseas</w:t>
            </w:r>
          </w:p>
        </w:tc>
        <w:tc>
          <w:tcPr>
            <w:tcW w:w="1363" w:type="dxa"/>
            <w:tcBorders>
              <w:top w:val="nil"/>
              <w:left w:val="nil"/>
              <w:bottom w:val="single" w:sz="12" w:space="0" w:color="339966"/>
              <w:right w:val="single" w:sz="6" w:space="0" w:color="339966"/>
            </w:tcBorders>
            <w:vAlign w:val="center"/>
          </w:tcPr>
          <w:p w:rsidR="00EB686F" w:rsidRDefault="00EB686F" w:rsidP="00EB686F">
            <w:pPr>
              <w:spacing w:line="360" w:lineRule="auto"/>
              <w:ind w:left="441"/>
              <w:jc w:val="right"/>
              <w:rPr>
                <w:sz w:val="18"/>
                <w:szCs w:val="18"/>
              </w:rPr>
            </w:pPr>
            <w:r>
              <w:rPr>
                <w:sz w:val="18"/>
                <w:szCs w:val="18"/>
              </w:rPr>
              <w:t>5,025</w:t>
            </w:r>
          </w:p>
        </w:tc>
        <w:tc>
          <w:tcPr>
            <w:tcW w:w="1045" w:type="dxa"/>
            <w:tcBorders>
              <w:top w:val="nil"/>
              <w:left w:val="nil"/>
              <w:bottom w:val="single" w:sz="12" w:space="0" w:color="339966"/>
              <w:right w:val="single" w:sz="6" w:space="0" w:color="339966"/>
            </w:tcBorders>
            <w:vAlign w:val="center"/>
          </w:tcPr>
          <w:p w:rsidR="00EB686F" w:rsidRDefault="00EB686F" w:rsidP="00EB686F">
            <w:pPr>
              <w:spacing w:line="360" w:lineRule="auto"/>
              <w:ind w:firstLineChars="300" w:firstLine="540"/>
              <w:jc w:val="right"/>
              <w:rPr>
                <w:sz w:val="18"/>
                <w:szCs w:val="18"/>
              </w:rPr>
            </w:pPr>
            <w:r>
              <w:rPr>
                <w:sz w:val="18"/>
                <w:szCs w:val="18"/>
              </w:rPr>
              <w:t>15.9%</w:t>
            </w:r>
          </w:p>
        </w:tc>
        <w:tc>
          <w:tcPr>
            <w:tcW w:w="1559" w:type="dxa"/>
            <w:tcBorders>
              <w:top w:val="nil"/>
              <w:left w:val="nil"/>
              <w:bottom w:val="single" w:sz="12" w:space="0" w:color="339966"/>
              <w:right w:val="single" w:sz="6" w:space="0" w:color="339966"/>
            </w:tcBorders>
            <w:vAlign w:val="center"/>
          </w:tcPr>
          <w:p w:rsidR="00EB686F" w:rsidRDefault="00EB686F" w:rsidP="00EB686F">
            <w:pPr>
              <w:spacing w:line="360" w:lineRule="auto"/>
              <w:ind w:left="441" w:firstLineChars="200" w:firstLine="360"/>
              <w:jc w:val="right"/>
              <w:rPr>
                <w:sz w:val="18"/>
                <w:szCs w:val="18"/>
              </w:rPr>
            </w:pPr>
            <w:r>
              <w:rPr>
                <w:sz w:val="18"/>
                <w:szCs w:val="18"/>
              </w:rPr>
              <w:t>531</w:t>
            </w:r>
          </w:p>
        </w:tc>
        <w:tc>
          <w:tcPr>
            <w:tcW w:w="1451" w:type="dxa"/>
            <w:tcBorders>
              <w:top w:val="nil"/>
              <w:left w:val="nil"/>
              <w:bottom w:val="single" w:sz="12" w:space="0" w:color="339966"/>
              <w:right w:val="nil"/>
            </w:tcBorders>
            <w:vAlign w:val="center"/>
          </w:tcPr>
          <w:p w:rsidR="00EB686F" w:rsidRDefault="00EB686F" w:rsidP="00EB686F">
            <w:pPr>
              <w:spacing w:line="360" w:lineRule="auto"/>
              <w:ind w:firstLineChars="200" w:firstLine="360"/>
              <w:jc w:val="right"/>
              <w:rPr>
                <w:sz w:val="18"/>
                <w:szCs w:val="18"/>
              </w:rPr>
            </w:pPr>
            <w:r>
              <w:rPr>
                <w:sz w:val="18"/>
                <w:szCs w:val="18"/>
              </w:rPr>
              <w:t>569</w:t>
            </w:r>
          </w:p>
        </w:tc>
      </w:tr>
    </w:tbl>
    <w:p w:rsidR="00EB686F" w:rsidRDefault="00EB686F" w:rsidP="00EB686F">
      <w:pPr>
        <w:widowControl/>
        <w:spacing w:line="360" w:lineRule="auto"/>
        <w:rPr>
          <w:rFonts w:eastAsia="KaiTi_GB2312"/>
          <w:sz w:val="24"/>
        </w:rPr>
      </w:pPr>
      <w:r>
        <w:rPr>
          <w:rFonts w:eastAsia="KaiTi_GB2312"/>
          <w:sz w:val="24"/>
        </w:rPr>
        <w:t xml:space="preserve">Source: People’s Bank of China. </w:t>
      </w:r>
    </w:p>
    <w:p w:rsidR="00EB686F" w:rsidRDefault="00EB686F" w:rsidP="00EB686F">
      <w:pPr>
        <w:widowControl/>
        <w:spacing w:line="360" w:lineRule="auto"/>
        <w:rPr>
          <w:rFonts w:eastAsiaTheme="minorEastAsia"/>
          <w:sz w:val="24"/>
        </w:rPr>
      </w:pPr>
    </w:p>
    <w:p w:rsidR="00EE3C76" w:rsidRDefault="00EE3C76" w:rsidP="00EB686F">
      <w:pPr>
        <w:widowControl/>
        <w:spacing w:line="360" w:lineRule="auto"/>
        <w:rPr>
          <w:rFonts w:eastAsiaTheme="minorEastAsia"/>
          <w:sz w:val="24"/>
        </w:rPr>
      </w:pPr>
    </w:p>
    <w:p w:rsidR="005A0958" w:rsidRPr="005A0958" w:rsidRDefault="005A0958" w:rsidP="00EB686F">
      <w:pPr>
        <w:widowControl/>
        <w:spacing w:line="360" w:lineRule="auto"/>
        <w:rPr>
          <w:rFonts w:eastAsiaTheme="minorEastAsia"/>
          <w:sz w:val="24"/>
        </w:rPr>
      </w:pPr>
    </w:p>
    <w:p w:rsidR="00EB686F" w:rsidRDefault="00EB686F" w:rsidP="00EB686F">
      <w:pPr>
        <w:keepNext/>
        <w:spacing w:line="360" w:lineRule="auto"/>
        <w:jc w:val="center"/>
        <w:rPr>
          <w:b/>
          <w:sz w:val="24"/>
        </w:rPr>
      </w:pPr>
      <w:bookmarkStart w:id="23" w:name="_Toc532203065"/>
      <w:r>
        <w:rPr>
          <w:b/>
          <w:sz w:val="24"/>
        </w:rPr>
        <w:lastRenderedPageBreak/>
        <w:t xml:space="preserve">Table </w:t>
      </w:r>
      <w:r w:rsidR="002447A7">
        <w:rPr>
          <w:b/>
          <w:sz w:val="24"/>
        </w:rPr>
        <w:fldChar w:fldCharType="begin"/>
      </w:r>
      <w:r w:rsidR="00EE3C76">
        <w:rPr>
          <w:b/>
          <w:sz w:val="24"/>
        </w:rPr>
        <w:instrText xml:space="preserve"> SEQ Table \* ARABIC </w:instrText>
      </w:r>
      <w:r w:rsidR="002447A7">
        <w:rPr>
          <w:b/>
          <w:sz w:val="24"/>
        </w:rPr>
        <w:fldChar w:fldCharType="separate"/>
      </w:r>
      <w:r w:rsidR="00EC1136">
        <w:rPr>
          <w:b/>
          <w:noProof/>
          <w:sz w:val="24"/>
        </w:rPr>
        <w:t>2</w:t>
      </w:r>
      <w:r w:rsidR="002447A7">
        <w:rPr>
          <w:b/>
          <w:sz w:val="24"/>
        </w:rPr>
        <w:fldChar w:fldCharType="end"/>
      </w:r>
      <w:r>
        <w:rPr>
          <w:b/>
          <w:sz w:val="24"/>
        </w:rPr>
        <w:t xml:space="preserve"> New RMB Loans by Financial Institutions during the First Three Quarters of 2018</w:t>
      </w:r>
      <w:bookmarkEnd w:id="23"/>
    </w:p>
    <w:p w:rsidR="00EB686F" w:rsidRDefault="00EB686F" w:rsidP="00EB686F">
      <w:pPr>
        <w:spacing w:line="360" w:lineRule="auto"/>
        <w:jc w:val="right"/>
        <w:rPr>
          <w:rFonts w:eastAsia="FangSong_GB2312"/>
          <w:sz w:val="24"/>
        </w:rPr>
      </w:pPr>
      <w:r>
        <w:rPr>
          <w:sz w:val="24"/>
        </w:rPr>
        <w:t>RMB 100 million</w:t>
      </w:r>
    </w:p>
    <w:tbl>
      <w:tblPr>
        <w:tblW w:w="8304" w:type="dxa"/>
        <w:jc w:val="center"/>
        <w:tblLayout w:type="fixed"/>
        <w:tblCellMar>
          <w:left w:w="0" w:type="dxa"/>
          <w:right w:w="0" w:type="dxa"/>
        </w:tblCellMar>
        <w:tblLook w:val="04A0"/>
      </w:tblPr>
      <w:tblGrid>
        <w:gridCol w:w="3035"/>
        <w:gridCol w:w="2723"/>
        <w:gridCol w:w="2546"/>
      </w:tblGrid>
      <w:tr w:rsidR="00EB686F" w:rsidTr="00EB686F">
        <w:trPr>
          <w:cantSplit/>
          <w:trHeight w:val="546"/>
          <w:jc w:val="center"/>
        </w:trPr>
        <w:tc>
          <w:tcPr>
            <w:tcW w:w="3035" w:type="dxa"/>
            <w:tcBorders>
              <w:top w:val="single" w:sz="4" w:space="0" w:color="339966"/>
              <w:left w:val="nil"/>
              <w:bottom w:val="single" w:sz="12" w:space="0" w:color="339966"/>
              <w:right w:val="nil"/>
            </w:tcBorders>
            <w:shd w:val="clear" w:color="auto" w:fill="CCFFCC"/>
            <w:vAlign w:val="center"/>
          </w:tcPr>
          <w:p w:rsidR="00EB686F" w:rsidRDefault="00EB686F" w:rsidP="00EB686F">
            <w:pPr>
              <w:spacing w:line="360" w:lineRule="auto"/>
              <w:rPr>
                <w:sz w:val="18"/>
                <w:szCs w:val="18"/>
              </w:rPr>
            </w:pPr>
          </w:p>
        </w:tc>
        <w:tc>
          <w:tcPr>
            <w:tcW w:w="2723" w:type="dxa"/>
            <w:tcBorders>
              <w:top w:val="single" w:sz="4" w:space="0" w:color="339966"/>
              <w:left w:val="single" w:sz="4" w:space="0" w:color="339966"/>
              <w:bottom w:val="single" w:sz="12" w:space="0" w:color="339966"/>
              <w:right w:val="single" w:sz="4" w:space="0" w:color="339966"/>
            </w:tcBorders>
            <w:shd w:val="clear" w:color="auto" w:fill="CCFFCC"/>
            <w:vAlign w:val="bottom"/>
          </w:tcPr>
          <w:p w:rsidR="00EB686F" w:rsidRDefault="00EB686F" w:rsidP="00EB686F">
            <w:pPr>
              <w:spacing w:line="360" w:lineRule="auto"/>
              <w:rPr>
                <w:sz w:val="18"/>
                <w:szCs w:val="18"/>
              </w:rPr>
            </w:pPr>
            <w:r>
              <w:rPr>
                <w:sz w:val="18"/>
                <w:szCs w:val="18"/>
              </w:rPr>
              <w:t>New loans</w:t>
            </w:r>
          </w:p>
        </w:tc>
        <w:tc>
          <w:tcPr>
            <w:tcW w:w="2546" w:type="dxa"/>
            <w:tcBorders>
              <w:top w:val="single" w:sz="4" w:space="0" w:color="339966"/>
              <w:left w:val="nil"/>
              <w:bottom w:val="single" w:sz="12" w:space="0" w:color="339966"/>
              <w:right w:val="nil"/>
            </w:tcBorders>
            <w:shd w:val="clear" w:color="auto" w:fill="CCFFCC"/>
            <w:vAlign w:val="bottom"/>
          </w:tcPr>
          <w:p w:rsidR="00EB686F" w:rsidRDefault="00EB686F" w:rsidP="00EB686F">
            <w:pPr>
              <w:spacing w:line="360" w:lineRule="auto"/>
              <w:rPr>
                <w:sz w:val="18"/>
                <w:szCs w:val="18"/>
              </w:rPr>
            </w:pPr>
            <w:r>
              <w:rPr>
                <w:sz w:val="18"/>
                <w:szCs w:val="18"/>
              </w:rPr>
              <w:t xml:space="preserve">Year-on-year acceleration </w:t>
            </w:r>
          </w:p>
        </w:tc>
      </w:tr>
      <w:tr w:rsidR="00EB686F" w:rsidTr="00EB686F">
        <w:trPr>
          <w:trHeight w:val="1014"/>
          <w:jc w:val="center"/>
        </w:trPr>
        <w:tc>
          <w:tcPr>
            <w:tcW w:w="3035" w:type="dxa"/>
            <w:tcBorders>
              <w:top w:val="single" w:sz="12" w:space="0" w:color="339966"/>
              <w:left w:val="nil"/>
              <w:bottom w:val="nil"/>
              <w:right w:val="nil"/>
            </w:tcBorders>
            <w:vAlign w:val="center"/>
          </w:tcPr>
          <w:p w:rsidR="00EB686F" w:rsidRDefault="00EB686F" w:rsidP="00EB686F">
            <w:pPr>
              <w:adjustRightInd w:val="0"/>
              <w:snapToGrid w:val="0"/>
              <w:spacing w:line="360" w:lineRule="auto"/>
              <w:rPr>
                <w:sz w:val="18"/>
                <w:szCs w:val="18"/>
              </w:rPr>
            </w:pPr>
            <w:r>
              <w:rPr>
                <w:sz w:val="18"/>
                <w:szCs w:val="18"/>
              </w:rPr>
              <w:t xml:space="preserve">Chinese-funded large-sized </w:t>
            </w:r>
          </w:p>
          <w:p w:rsidR="00EB686F" w:rsidRDefault="00EB686F" w:rsidP="00EB686F">
            <w:pPr>
              <w:adjustRightInd w:val="0"/>
              <w:snapToGrid w:val="0"/>
              <w:spacing w:line="360" w:lineRule="auto"/>
              <w:rPr>
                <w:sz w:val="18"/>
                <w:szCs w:val="18"/>
                <w:vertAlign w:val="superscript"/>
              </w:rPr>
            </w:pPr>
            <w:r>
              <w:rPr>
                <w:sz w:val="18"/>
                <w:szCs w:val="18"/>
              </w:rPr>
              <w:t>banks</w:t>
            </w:r>
            <w:r>
              <w:rPr>
                <w:sz w:val="18"/>
                <w:szCs w:val="18"/>
                <w:vertAlign w:val="superscript"/>
              </w:rPr>
              <w:t xml:space="preserve"> 1</w:t>
            </w:r>
          </w:p>
        </w:tc>
        <w:tc>
          <w:tcPr>
            <w:tcW w:w="2723" w:type="dxa"/>
            <w:tcBorders>
              <w:top w:val="single" w:sz="12" w:space="0" w:color="339966"/>
              <w:left w:val="single" w:sz="4" w:space="0" w:color="339966"/>
              <w:bottom w:val="nil"/>
              <w:right w:val="nil"/>
            </w:tcBorders>
            <w:vAlign w:val="center"/>
          </w:tcPr>
          <w:p w:rsidR="00EB686F" w:rsidRDefault="00EB686F" w:rsidP="00EB686F">
            <w:pPr>
              <w:spacing w:line="360" w:lineRule="auto"/>
              <w:ind w:left="441"/>
              <w:jc w:val="right"/>
              <w:rPr>
                <w:sz w:val="18"/>
                <w:szCs w:val="18"/>
              </w:rPr>
            </w:pPr>
            <w:r>
              <w:rPr>
                <w:sz w:val="18"/>
                <w:szCs w:val="18"/>
              </w:rPr>
              <w:t>51,820</w:t>
            </w:r>
          </w:p>
        </w:tc>
        <w:tc>
          <w:tcPr>
            <w:tcW w:w="2546" w:type="dxa"/>
            <w:tcBorders>
              <w:top w:val="single" w:sz="12" w:space="0" w:color="339966"/>
              <w:left w:val="nil"/>
              <w:bottom w:val="nil"/>
              <w:right w:val="nil"/>
            </w:tcBorders>
            <w:vAlign w:val="center"/>
          </w:tcPr>
          <w:p w:rsidR="00EB686F" w:rsidRDefault="00EB686F" w:rsidP="00EB686F">
            <w:pPr>
              <w:spacing w:line="360" w:lineRule="auto"/>
              <w:ind w:left="441" w:firstLineChars="100" w:firstLine="180"/>
              <w:jc w:val="right"/>
              <w:rPr>
                <w:sz w:val="18"/>
                <w:szCs w:val="18"/>
              </w:rPr>
            </w:pPr>
            <w:r>
              <w:rPr>
                <w:sz w:val="18"/>
                <w:szCs w:val="18"/>
              </w:rPr>
              <w:t>6,570</w:t>
            </w:r>
          </w:p>
        </w:tc>
      </w:tr>
      <w:tr w:rsidR="00EB686F" w:rsidTr="00EB686F">
        <w:trPr>
          <w:trHeight w:val="958"/>
          <w:jc w:val="center"/>
        </w:trPr>
        <w:tc>
          <w:tcPr>
            <w:tcW w:w="3035" w:type="dxa"/>
            <w:shd w:val="clear" w:color="auto" w:fill="CCFFCC"/>
            <w:vAlign w:val="center"/>
          </w:tcPr>
          <w:p w:rsidR="00EB686F" w:rsidRDefault="00EB686F" w:rsidP="00EB686F">
            <w:pPr>
              <w:adjustRightInd w:val="0"/>
              <w:snapToGrid w:val="0"/>
              <w:spacing w:line="360" w:lineRule="auto"/>
              <w:rPr>
                <w:sz w:val="18"/>
                <w:szCs w:val="18"/>
              </w:rPr>
            </w:pPr>
            <w:r>
              <w:rPr>
                <w:sz w:val="18"/>
                <w:szCs w:val="18"/>
              </w:rPr>
              <w:t>Chinese-funded small- and</w:t>
            </w:r>
          </w:p>
          <w:p w:rsidR="00EB686F" w:rsidRDefault="00EB686F" w:rsidP="00EB686F">
            <w:pPr>
              <w:adjustRightInd w:val="0"/>
              <w:snapToGrid w:val="0"/>
              <w:spacing w:line="360" w:lineRule="auto"/>
              <w:rPr>
                <w:sz w:val="18"/>
                <w:szCs w:val="18"/>
                <w:vertAlign w:val="superscript"/>
              </w:rPr>
            </w:pPr>
            <w:r>
              <w:rPr>
                <w:sz w:val="18"/>
                <w:szCs w:val="18"/>
              </w:rPr>
              <w:t>medium-sized banks</w:t>
            </w:r>
            <w:r>
              <w:rPr>
                <w:sz w:val="18"/>
                <w:szCs w:val="18"/>
                <w:vertAlign w:val="superscript"/>
              </w:rPr>
              <w:t>2</w:t>
            </w:r>
          </w:p>
        </w:tc>
        <w:tc>
          <w:tcPr>
            <w:tcW w:w="2723" w:type="dxa"/>
            <w:tcBorders>
              <w:top w:val="nil"/>
              <w:left w:val="single" w:sz="4" w:space="0" w:color="339966"/>
              <w:bottom w:val="nil"/>
              <w:right w:val="nil"/>
            </w:tcBorders>
            <w:shd w:val="clear" w:color="auto" w:fill="CCFFCC"/>
            <w:vAlign w:val="center"/>
          </w:tcPr>
          <w:p w:rsidR="00EB686F" w:rsidRDefault="00EB686F" w:rsidP="00EB686F">
            <w:pPr>
              <w:spacing w:line="360" w:lineRule="auto"/>
              <w:ind w:left="441"/>
              <w:jc w:val="right"/>
              <w:rPr>
                <w:sz w:val="18"/>
                <w:szCs w:val="18"/>
              </w:rPr>
            </w:pPr>
            <w:r>
              <w:rPr>
                <w:sz w:val="18"/>
                <w:szCs w:val="18"/>
              </w:rPr>
              <w:t>77,571</w:t>
            </w:r>
          </w:p>
        </w:tc>
        <w:tc>
          <w:tcPr>
            <w:tcW w:w="2546" w:type="dxa"/>
            <w:shd w:val="clear" w:color="auto" w:fill="CCFFCC"/>
            <w:vAlign w:val="center"/>
          </w:tcPr>
          <w:p w:rsidR="00EB686F" w:rsidRDefault="00EB686F" w:rsidP="00EB686F">
            <w:pPr>
              <w:spacing w:line="360" w:lineRule="auto"/>
              <w:ind w:left="441" w:firstLineChars="200" w:firstLine="360"/>
              <w:jc w:val="right"/>
              <w:rPr>
                <w:sz w:val="18"/>
                <w:szCs w:val="18"/>
              </w:rPr>
            </w:pPr>
            <w:r>
              <w:rPr>
                <w:sz w:val="18"/>
                <w:szCs w:val="18"/>
              </w:rPr>
              <w:t>18,285</w:t>
            </w:r>
          </w:p>
        </w:tc>
      </w:tr>
      <w:tr w:rsidR="00EB686F" w:rsidTr="00EB686F">
        <w:trPr>
          <w:trHeight w:val="858"/>
          <w:jc w:val="center"/>
        </w:trPr>
        <w:tc>
          <w:tcPr>
            <w:tcW w:w="3035" w:type="dxa"/>
            <w:vAlign w:val="center"/>
          </w:tcPr>
          <w:p w:rsidR="00EB686F" w:rsidRDefault="00EB686F" w:rsidP="00EB686F">
            <w:pPr>
              <w:adjustRightInd w:val="0"/>
              <w:snapToGrid w:val="0"/>
              <w:spacing w:line="360" w:lineRule="auto"/>
              <w:rPr>
                <w:sz w:val="18"/>
                <w:szCs w:val="18"/>
              </w:rPr>
            </w:pPr>
            <w:r>
              <w:rPr>
                <w:sz w:val="18"/>
                <w:szCs w:val="18"/>
              </w:rPr>
              <w:t xml:space="preserve">Small-sized rural financial </w:t>
            </w:r>
          </w:p>
          <w:p w:rsidR="00EB686F" w:rsidRDefault="00EB686F" w:rsidP="00EB686F">
            <w:pPr>
              <w:adjustRightInd w:val="0"/>
              <w:snapToGrid w:val="0"/>
              <w:spacing w:line="360" w:lineRule="auto"/>
              <w:rPr>
                <w:sz w:val="18"/>
                <w:szCs w:val="18"/>
              </w:rPr>
            </w:pPr>
            <w:r>
              <w:rPr>
                <w:sz w:val="18"/>
                <w:szCs w:val="18"/>
              </w:rPr>
              <w:t>institutions</w:t>
            </w:r>
            <w:r>
              <w:rPr>
                <w:sz w:val="18"/>
                <w:szCs w:val="18"/>
                <w:vertAlign w:val="superscript"/>
              </w:rPr>
              <w:t>3</w:t>
            </w:r>
          </w:p>
        </w:tc>
        <w:tc>
          <w:tcPr>
            <w:tcW w:w="2723" w:type="dxa"/>
            <w:tcBorders>
              <w:top w:val="nil"/>
              <w:left w:val="single" w:sz="4" w:space="0" w:color="339966"/>
              <w:bottom w:val="nil"/>
              <w:right w:val="nil"/>
            </w:tcBorders>
            <w:vAlign w:val="center"/>
          </w:tcPr>
          <w:p w:rsidR="00EB686F" w:rsidRDefault="00EB686F" w:rsidP="00EB686F">
            <w:pPr>
              <w:spacing w:line="360" w:lineRule="auto"/>
              <w:ind w:left="441"/>
              <w:jc w:val="right"/>
              <w:rPr>
                <w:sz w:val="18"/>
                <w:szCs w:val="18"/>
              </w:rPr>
            </w:pPr>
            <w:r>
              <w:rPr>
                <w:sz w:val="18"/>
                <w:szCs w:val="18"/>
              </w:rPr>
              <w:t>17,301</w:t>
            </w:r>
          </w:p>
        </w:tc>
        <w:tc>
          <w:tcPr>
            <w:tcW w:w="2546" w:type="dxa"/>
            <w:vAlign w:val="center"/>
          </w:tcPr>
          <w:p w:rsidR="00EB686F" w:rsidRDefault="00EB686F" w:rsidP="00EB686F">
            <w:pPr>
              <w:spacing w:line="360" w:lineRule="auto"/>
              <w:ind w:left="441" w:firstLineChars="100" w:firstLine="180"/>
              <w:jc w:val="right"/>
              <w:rPr>
                <w:sz w:val="18"/>
                <w:szCs w:val="18"/>
              </w:rPr>
            </w:pPr>
            <w:r>
              <w:rPr>
                <w:sz w:val="18"/>
                <w:szCs w:val="18"/>
              </w:rPr>
              <w:t>3,536</w:t>
            </w:r>
          </w:p>
        </w:tc>
      </w:tr>
      <w:tr w:rsidR="00EB686F" w:rsidTr="00EB686F">
        <w:trPr>
          <w:trHeight w:val="631"/>
          <w:jc w:val="center"/>
        </w:trPr>
        <w:tc>
          <w:tcPr>
            <w:tcW w:w="3035" w:type="dxa"/>
            <w:tcBorders>
              <w:top w:val="nil"/>
              <w:left w:val="nil"/>
              <w:bottom w:val="single" w:sz="12" w:space="0" w:color="339966"/>
              <w:right w:val="nil"/>
            </w:tcBorders>
            <w:shd w:val="clear" w:color="auto" w:fill="CCFFCC"/>
            <w:vAlign w:val="center"/>
          </w:tcPr>
          <w:p w:rsidR="00EB686F" w:rsidRDefault="00EB686F" w:rsidP="00EB686F">
            <w:pPr>
              <w:adjustRightInd w:val="0"/>
              <w:snapToGrid w:val="0"/>
              <w:spacing w:line="360" w:lineRule="auto"/>
              <w:rPr>
                <w:sz w:val="18"/>
                <w:szCs w:val="18"/>
              </w:rPr>
            </w:pPr>
            <w:r>
              <w:rPr>
                <w:sz w:val="18"/>
                <w:szCs w:val="18"/>
              </w:rPr>
              <w:t xml:space="preserve">Foreign-funded </w:t>
            </w:r>
          </w:p>
          <w:p w:rsidR="00EB686F" w:rsidRDefault="00EB686F" w:rsidP="00EB686F">
            <w:pPr>
              <w:adjustRightInd w:val="0"/>
              <w:snapToGrid w:val="0"/>
              <w:spacing w:line="360" w:lineRule="auto"/>
              <w:rPr>
                <w:sz w:val="18"/>
                <w:szCs w:val="18"/>
              </w:rPr>
            </w:pPr>
            <w:r>
              <w:rPr>
                <w:sz w:val="18"/>
                <w:szCs w:val="18"/>
              </w:rPr>
              <w:t xml:space="preserve">financial institutions </w:t>
            </w:r>
          </w:p>
        </w:tc>
        <w:tc>
          <w:tcPr>
            <w:tcW w:w="2723" w:type="dxa"/>
            <w:tcBorders>
              <w:top w:val="nil"/>
              <w:left w:val="single" w:sz="4" w:space="0" w:color="339966"/>
              <w:bottom w:val="single" w:sz="12" w:space="0" w:color="339966"/>
              <w:right w:val="nil"/>
            </w:tcBorders>
            <w:shd w:val="clear" w:color="auto" w:fill="CCFFCC"/>
            <w:vAlign w:val="center"/>
          </w:tcPr>
          <w:p w:rsidR="00EB686F" w:rsidRDefault="00EB686F" w:rsidP="00EB686F">
            <w:pPr>
              <w:spacing w:line="360" w:lineRule="auto"/>
              <w:ind w:firstLineChars="300" w:firstLine="540"/>
              <w:jc w:val="right"/>
              <w:rPr>
                <w:sz w:val="18"/>
                <w:szCs w:val="18"/>
              </w:rPr>
            </w:pPr>
            <w:r>
              <w:rPr>
                <w:sz w:val="18"/>
                <w:szCs w:val="18"/>
              </w:rPr>
              <w:t>1,079</w:t>
            </w:r>
          </w:p>
        </w:tc>
        <w:tc>
          <w:tcPr>
            <w:tcW w:w="2546" w:type="dxa"/>
            <w:tcBorders>
              <w:top w:val="nil"/>
              <w:left w:val="nil"/>
              <w:bottom w:val="single" w:sz="12" w:space="0" w:color="339966"/>
              <w:right w:val="nil"/>
            </w:tcBorders>
            <w:shd w:val="clear" w:color="auto" w:fill="CCFFCC"/>
            <w:vAlign w:val="center"/>
          </w:tcPr>
          <w:p w:rsidR="00EB686F" w:rsidRDefault="00EB686F" w:rsidP="00EB686F">
            <w:pPr>
              <w:spacing w:line="360" w:lineRule="auto"/>
              <w:ind w:left="441"/>
              <w:jc w:val="right"/>
              <w:rPr>
                <w:sz w:val="18"/>
                <w:szCs w:val="18"/>
              </w:rPr>
            </w:pPr>
            <w:r>
              <w:rPr>
                <w:sz w:val="18"/>
                <w:szCs w:val="18"/>
              </w:rPr>
              <w:t>-149</w:t>
            </w:r>
          </w:p>
        </w:tc>
      </w:tr>
    </w:tbl>
    <w:p w:rsidR="00EB686F" w:rsidRDefault="00EB686F" w:rsidP="00EB686F">
      <w:pPr>
        <w:widowControl/>
        <w:autoSpaceDE w:val="0"/>
        <w:autoSpaceDN w:val="0"/>
        <w:adjustRightInd w:val="0"/>
        <w:spacing w:line="360" w:lineRule="auto"/>
        <w:rPr>
          <w:rFonts w:eastAsia="KaiTi_GB2312"/>
          <w:kern w:val="0"/>
        </w:rPr>
      </w:pPr>
      <w:r>
        <w:rPr>
          <w:rFonts w:eastAsia="KaiTi_GB2312"/>
          <w:kern w:val="0"/>
        </w:rPr>
        <w:t xml:space="preserve">Notes: 1. Chinese-funded large-sized banks refer to banks with assets (in both domestic and foreign currencies) of RMB 2 trillion or more (according to the amount of total assets in both domestic and foreign currency at end-2008). </w:t>
      </w:r>
    </w:p>
    <w:p w:rsidR="00EB686F" w:rsidRDefault="00EB686F" w:rsidP="00EB686F">
      <w:pPr>
        <w:widowControl/>
        <w:autoSpaceDE w:val="0"/>
        <w:autoSpaceDN w:val="0"/>
        <w:adjustRightInd w:val="0"/>
        <w:spacing w:line="360" w:lineRule="auto"/>
        <w:rPr>
          <w:rFonts w:eastAsia="KaiTi_GB2312"/>
          <w:kern w:val="0"/>
        </w:rPr>
      </w:pPr>
      <w:r>
        <w:rPr>
          <w:rFonts w:eastAsia="KaiTi_GB2312"/>
          <w:kern w:val="0"/>
        </w:rPr>
        <w:t xml:space="preserve">2. Chinese-funded small- and medium-sized banks refer to banks with total assets (both in domestic and foreign currency) of less than RMB 2 trillion (according to the amount of total assets in both domestic and foreign currencies at end-2008). </w:t>
      </w:r>
    </w:p>
    <w:p w:rsidR="00EB686F" w:rsidRDefault="00EB686F" w:rsidP="00EB686F">
      <w:pPr>
        <w:widowControl/>
        <w:autoSpaceDE w:val="0"/>
        <w:autoSpaceDN w:val="0"/>
        <w:adjustRightInd w:val="0"/>
        <w:spacing w:line="360" w:lineRule="auto"/>
        <w:rPr>
          <w:rFonts w:eastAsia="KaiTi_GB2312"/>
          <w:kern w:val="0"/>
        </w:rPr>
      </w:pPr>
      <w:r>
        <w:rPr>
          <w:rFonts w:eastAsia="KaiTi_GB2312"/>
          <w:kern w:val="0"/>
        </w:rPr>
        <w:t xml:space="preserve">3. Small-sized rural financial institutions include rural commercial banks, rural cooperative banks, and rural credit cooperatives. </w:t>
      </w:r>
    </w:p>
    <w:p w:rsidR="00EB686F" w:rsidRDefault="00EB686F" w:rsidP="00EB686F">
      <w:pPr>
        <w:widowControl/>
        <w:spacing w:line="360" w:lineRule="auto"/>
        <w:rPr>
          <w:rFonts w:eastAsia="KaiTi_GB2312"/>
          <w:sz w:val="24"/>
        </w:rPr>
      </w:pPr>
      <w:r>
        <w:rPr>
          <w:rFonts w:eastAsia="KaiTi_GB2312"/>
          <w:sz w:val="24"/>
        </w:rPr>
        <w:t>Source: People’s Bank of China.</w:t>
      </w:r>
    </w:p>
    <w:p w:rsidR="00EB686F" w:rsidRDefault="00EB686F" w:rsidP="00EB686F">
      <w:pPr>
        <w:spacing w:line="360" w:lineRule="auto"/>
        <w:textAlignment w:val="center"/>
        <w:rPr>
          <w:rFonts w:eastAsia="FangSong_GB2312"/>
          <w:sz w:val="24"/>
        </w:rPr>
      </w:pPr>
    </w:p>
    <w:p w:rsidR="00EB686F" w:rsidRDefault="00EB686F" w:rsidP="00EB686F">
      <w:pPr>
        <w:spacing w:line="360" w:lineRule="auto"/>
        <w:textAlignment w:val="center"/>
        <w:rPr>
          <w:rFonts w:eastAsia="FangSong_GB2312"/>
          <w:sz w:val="24"/>
        </w:rPr>
      </w:pPr>
      <w:r>
        <w:rPr>
          <w:rFonts w:eastAsia="FangSong_GB2312"/>
          <w:b/>
          <w:bCs/>
          <w:sz w:val="24"/>
        </w:rPr>
        <w:t>Due to factors such as decreasing but stable market rates, lending rates by financial institutions were generally stable.</w:t>
      </w:r>
      <w:r>
        <w:rPr>
          <w:rFonts w:eastAsia="FangSong_GB2312"/>
          <w:sz w:val="24"/>
        </w:rPr>
        <w:t xml:space="preserve"> In September, the weighted average interest rate on loans to non-financial enterprises and other sectors was 5.94 percent, down 0.03 percentage point from June. In particular, the weighted average interest rates on ordinary loans and on bill financing registered 6.19 percent and 4.22 percent respectively. Interest rates on mortgage loans edged up, with the weighted average interest rate reaching 5.72 percent in September, up 0.12 percentage point from June. Preliminary calculations suggest that in </w:t>
      </w:r>
      <w:r>
        <w:rPr>
          <w:sz w:val="24"/>
        </w:rPr>
        <w:t>Q3</w:t>
      </w:r>
      <w:r>
        <w:rPr>
          <w:rFonts w:eastAsia="FangSong_GB2312"/>
          <w:sz w:val="24"/>
        </w:rPr>
        <w:t xml:space="preserve"> the comprehensive costs of all-system </w:t>
      </w:r>
      <w:r>
        <w:rPr>
          <w:rFonts w:eastAsia="FangSong_GB2312"/>
          <w:sz w:val="24"/>
        </w:rPr>
        <w:lastRenderedPageBreak/>
        <w:t xml:space="preserve">financing, including loans, bonds, entrusted loans, trust loans, and private lending, were on the decline.  </w:t>
      </w:r>
    </w:p>
    <w:p w:rsidR="00EB686F" w:rsidRDefault="00EB686F" w:rsidP="00EB686F">
      <w:pPr>
        <w:spacing w:line="360" w:lineRule="auto"/>
        <w:textAlignment w:val="center"/>
        <w:rPr>
          <w:rFonts w:eastAsia="FangSong_GB2312"/>
          <w:sz w:val="24"/>
        </w:rPr>
      </w:pPr>
    </w:p>
    <w:p w:rsidR="00EB686F" w:rsidRDefault="00EB686F" w:rsidP="00EB686F">
      <w:pPr>
        <w:spacing w:line="360" w:lineRule="auto"/>
        <w:textAlignment w:val="center"/>
        <w:rPr>
          <w:rFonts w:eastAsia="FangSong_GB2312"/>
          <w:sz w:val="24"/>
        </w:rPr>
      </w:pPr>
      <w:r>
        <w:rPr>
          <w:rFonts w:eastAsia="FangSong_GB2312"/>
          <w:b/>
          <w:bCs/>
          <w:sz w:val="24"/>
        </w:rPr>
        <w:t xml:space="preserve">Broken down by floating ranges, the share of loans with interest rates below the benchmark rates rose somewhat, whereas the share of loans with interest rates above and at the benchmark rates dropped slightly. </w:t>
      </w:r>
      <w:r>
        <w:rPr>
          <w:rFonts w:eastAsia="FangSong_GB2312"/>
          <w:sz w:val="24"/>
        </w:rPr>
        <w:t>In September, the share of loans with interest rates above the benchmark rates registered 73.76 percent, down 1.48 percentage points from June; the share of loans with interest rates at the benchmark rate registered 13.64 percent, down 1.19 percentage points from June; the share of loans with interest rates below the benchmark rates registered 12.60 percent, up 2.67 percentage points from June.</w:t>
      </w:r>
    </w:p>
    <w:p w:rsidR="00EB686F" w:rsidRDefault="00EB686F" w:rsidP="00EE3C76">
      <w:pPr>
        <w:keepNext/>
        <w:spacing w:line="360" w:lineRule="auto"/>
        <w:jc w:val="center"/>
        <w:rPr>
          <w:b/>
          <w:sz w:val="24"/>
        </w:rPr>
      </w:pPr>
      <w:bookmarkStart w:id="24" w:name="_Toc532203066"/>
      <w:r>
        <w:rPr>
          <w:b/>
          <w:sz w:val="24"/>
        </w:rPr>
        <w:t xml:space="preserve">Table </w:t>
      </w:r>
      <w:r w:rsidR="002447A7">
        <w:rPr>
          <w:b/>
          <w:sz w:val="24"/>
        </w:rPr>
        <w:fldChar w:fldCharType="begin"/>
      </w:r>
      <w:r w:rsidR="00EE3C76">
        <w:rPr>
          <w:b/>
          <w:sz w:val="24"/>
        </w:rPr>
        <w:instrText xml:space="preserve"> SEQ Table \* ARABIC </w:instrText>
      </w:r>
      <w:r w:rsidR="002447A7">
        <w:rPr>
          <w:b/>
          <w:sz w:val="24"/>
        </w:rPr>
        <w:fldChar w:fldCharType="separate"/>
      </w:r>
      <w:r w:rsidR="00EC1136">
        <w:rPr>
          <w:b/>
          <w:noProof/>
          <w:sz w:val="24"/>
        </w:rPr>
        <w:t>3</w:t>
      </w:r>
      <w:r w:rsidR="002447A7">
        <w:rPr>
          <w:b/>
          <w:sz w:val="24"/>
        </w:rPr>
        <w:fldChar w:fldCharType="end"/>
      </w:r>
      <w:r>
        <w:rPr>
          <w:b/>
          <w:sz w:val="24"/>
        </w:rPr>
        <w:t xml:space="preserve"> Shares of RMB Loans with Rates Below, At, or Above the Benchmark Rates, January through September 2018</w:t>
      </w:r>
      <w:bookmarkEnd w:id="24"/>
    </w:p>
    <w:tbl>
      <w:tblPr>
        <w:tblpPr w:leftFromText="180" w:rightFromText="180" w:vertAnchor="text" w:horzAnchor="page" w:tblpX="1781" w:tblpY="86"/>
        <w:tblW w:w="8676" w:type="dxa"/>
        <w:tblLayout w:type="fixed"/>
        <w:tblCellMar>
          <w:left w:w="0" w:type="dxa"/>
          <w:right w:w="0" w:type="dxa"/>
        </w:tblCellMar>
        <w:tblLook w:val="04A0"/>
      </w:tblPr>
      <w:tblGrid>
        <w:gridCol w:w="1009"/>
        <w:gridCol w:w="881"/>
        <w:gridCol w:w="963"/>
        <w:gridCol w:w="709"/>
        <w:gridCol w:w="992"/>
        <w:gridCol w:w="890"/>
        <w:gridCol w:w="1080"/>
        <w:gridCol w:w="1252"/>
        <w:gridCol w:w="900"/>
      </w:tblGrid>
      <w:tr w:rsidR="00EB686F" w:rsidTr="00EB686F">
        <w:trPr>
          <w:cantSplit/>
          <w:trHeight w:val="300"/>
        </w:trPr>
        <w:tc>
          <w:tcPr>
            <w:tcW w:w="8676" w:type="dxa"/>
            <w:gridSpan w:val="9"/>
            <w:tcBorders>
              <w:top w:val="nil"/>
              <w:left w:val="nil"/>
              <w:bottom w:val="single" w:sz="12" w:space="0" w:color="339966"/>
              <w:right w:val="nil"/>
            </w:tcBorders>
            <w:tcMar>
              <w:top w:w="15" w:type="dxa"/>
              <w:left w:w="15" w:type="dxa"/>
              <w:bottom w:w="0" w:type="dxa"/>
              <w:right w:w="15" w:type="dxa"/>
            </w:tcMar>
            <w:vAlign w:val="center"/>
          </w:tcPr>
          <w:p w:rsidR="00EB686F" w:rsidRDefault="00EB686F" w:rsidP="00EB686F">
            <w:pPr>
              <w:spacing w:line="360" w:lineRule="auto"/>
              <w:jc w:val="right"/>
              <w:rPr>
                <w:color w:val="000000"/>
                <w:sz w:val="18"/>
                <w:szCs w:val="18"/>
              </w:rPr>
            </w:pPr>
            <w:r>
              <w:rPr>
                <w:color w:val="000000"/>
                <w:sz w:val="18"/>
                <w:szCs w:val="18"/>
              </w:rPr>
              <w:t>Unit: %</w:t>
            </w:r>
          </w:p>
        </w:tc>
      </w:tr>
      <w:tr w:rsidR="00EB686F" w:rsidTr="00EB686F">
        <w:trPr>
          <w:cantSplit/>
          <w:trHeight w:val="300"/>
        </w:trPr>
        <w:tc>
          <w:tcPr>
            <w:tcW w:w="1009" w:type="dxa"/>
            <w:vMerge w:val="restart"/>
            <w:tcBorders>
              <w:top w:val="single" w:sz="12" w:space="0" w:color="339966"/>
              <w:left w:val="nil"/>
              <w:bottom w:val="single" w:sz="4" w:space="0" w:color="339966"/>
              <w:right w:val="single" w:sz="4" w:space="0" w:color="339966"/>
            </w:tcBorders>
            <w:shd w:val="clear" w:color="auto" w:fill="CCFFCC"/>
            <w:tcMar>
              <w:top w:w="15" w:type="dxa"/>
              <w:left w:w="15" w:type="dxa"/>
              <w:bottom w:w="0" w:type="dxa"/>
              <w:right w:w="15" w:type="dxa"/>
            </w:tcMar>
            <w:vAlign w:val="center"/>
          </w:tcPr>
          <w:p w:rsidR="00EB686F" w:rsidRDefault="00EB686F" w:rsidP="00EB686F">
            <w:pPr>
              <w:spacing w:line="360" w:lineRule="auto"/>
              <w:jc w:val="center"/>
              <w:rPr>
                <w:sz w:val="18"/>
                <w:szCs w:val="18"/>
              </w:rPr>
            </w:pPr>
            <w:r>
              <w:rPr>
                <w:sz w:val="18"/>
                <w:szCs w:val="18"/>
              </w:rPr>
              <w:t xml:space="preserve">Month </w:t>
            </w:r>
          </w:p>
        </w:tc>
        <w:tc>
          <w:tcPr>
            <w:tcW w:w="881" w:type="dxa"/>
            <w:vMerge w:val="restart"/>
            <w:tcBorders>
              <w:top w:val="single" w:sz="12" w:space="0" w:color="339966"/>
              <w:left w:val="nil"/>
              <w:bottom w:val="single" w:sz="4" w:space="0" w:color="339966"/>
              <w:right w:val="nil"/>
            </w:tcBorders>
            <w:shd w:val="clear" w:color="auto" w:fill="CCFFCC"/>
            <w:tcMar>
              <w:top w:w="15" w:type="dxa"/>
              <w:left w:w="15" w:type="dxa"/>
              <w:bottom w:w="0" w:type="dxa"/>
              <w:right w:w="15" w:type="dxa"/>
            </w:tcMar>
            <w:vAlign w:val="center"/>
          </w:tcPr>
          <w:p w:rsidR="00EB686F" w:rsidRDefault="00EB686F" w:rsidP="00EB686F">
            <w:pPr>
              <w:spacing w:line="360" w:lineRule="auto"/>
              <w:jc w:val="center"/>
              <w:rPr>
                <w:color w:val="000000"/>
                <w:sz w:val="18"/>
                <w:szCs w:val="18"/>
              </w:rPr>
            </w:pPr>
            <w:r>
              <w:rPr>
                <w:color w:val="000000"/>
                <w:sz w:val="18"/>
                <w:szCs w:val="18"/>
              </w:rPr>
              <w:t xml:space="preserve">Lower than the benchmark </w:t>
            </w:r>
          </w:p>
        </w:tc>
        <w:tc>
          <w:tcPr>
            <w:tcW w:w="963" w:type="dxa"/>
            <w:vMerge w:val="restart"/>
            <w:tcBorders>
              <w:top w:val="single" w:sz="12" w:space="0" w:color="339966"/>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center"/>
          </w:tcPr>
          <w:p w:rsidR="00EB686F" w:rsidRDefault="00EB686F" w:rsidP="00EB686F">
            <w:pPr>
              <w:spacing w:line="360" w:lineRule="auto"/>
              <w:jc w:val="center"/>
              <w:rPr>
                <w:color w:val="000000"/>
                <w:sz w:val="18"/>
                <w:szCs w:val="18"/>
              </w:rPr>
            </w:pPr>
            <w:r>
              <w:rPr>
                <w:color w:val="000000"/>
                <w:sz w:val="18"/>
                <w:szCs w:val="18"/>
              </w:rPr>
              <w:t xml:space="preserve">At the benchmark </w:t>
            </w:r>
          </w:p>
        </w:tc>
        <w:tc>
          <w:tcPr>
            <w:tcW w:w="5823" w:type="dxa"/>
            <w:gridSpan w:val="6"/>
            <w:tcBorders>
              <w:top w:val="single" w:sz="12" w:space="0" w:color="339966"/>
              <w:left w:val="nil"/>
              <w:bottom w:val="single" w:sz="4" w:space="0" w:color="339966"/>
              <w:right w:val="nil"/>
            </w:tcBorders>
            <w:shd w:val="clear" w:color="auto" w:fill="CCFFCC"/>
            <w:tcMar>
              <w:top w:w="15" w:type="dxa"/>
              <w:left w:w="15" w:type="dxa"/>
              <w:bottom w:w="0" w:type="dxa"/>
              <w:right w:w="15" w:type="dxa"/>
            </w:tcMar>
            <w:vAlign w:val="center"/>
          </w:tcPr>
          <w:p w:rsidR="00EB686F" w:rsidRDefault="00EB686F" w:rsidP="00EB686F">
            <w:pPr>
              <w:spacing w:line="360" w:lineRule="auto"/>
              <w:jc w:val="center"/>
              <w:rPr>
                <w:rFonts w:ascii="SimSun" w:hAnsi="SimSun" w:cs="Arial Unicode MS" w:hint="eastAsia"/>
                <w:color w:val="000000"/>
                <w:sz w:val="18"/>
                <w:szCs w:val="18"/>
              </w:rPr>
            </w:pPr>
            <w:r>
              <w:rPr>
                <w:color w:val="000000"/>
                <w:sz w:val="18"/>
                <w:szCs w:val="18"/>
              </w:rPr>
              <w:t>Higher than the benchmark</w:t>
            </w:r>
          </w:p>
        </w:tc>
      </w:tr>
      <w:tr w:rsidR="00EB686F" w:rsidTr="00EB686F">
        <w:trPr>
          <w:cantSplit/>
          <w:trHeight w:val="359"/>
        </w:trPr>
        <w:tc>
          <w:tcPr>
            <w:tcW w:w="1009" w:type="dxa"/>
            <w:vMerge/>
            <w:tcBorders>
              <w:top w:val="single" w:sz="12" w:space="0" w:color="339966"/>
              <w:left w:val="nil"/>
              <w:bottom w:val="single" w:sz="4" w:space="0" w:color="339966"/>
              <w:right w:val="single" w:sz="4" w:space="0" w:color="339966"/>
            </w:tcBorders>
            <w:vAlign w:val="center"/>
          </w:tcPr>
          <w:p w:rsidR="00EB686F" w:rsidRDefault="00EB686F" w:rsidP="00EB686F">
            <w:pPr>
              <w:widowControl/>
              <w:jc w:val="left"/>
              <w:rPr>
                <w:sz w:val="18"/>
                <w:szCs w:val="18"/>
              </w:rPr>
            </w:pPr>
          </w:p>
        </w:tc>
        <w:tc>
          <w:tcPr>
            <w:tcW w:w="881" w:type="dxa"/>
            <w:vMerge/>
            <w:tcBorders>
              <w:top w:val="single" w:sz="12" w:space="0" w:color="339966"/>
              <w:left w:val="nil"/>
              <w:bottom w:val="single" w:sz="4" w:space="0" w:color="339966"/>
              <w:right w:val="nil"/>
            </w:tcBorders>
            <w:vAlign w:val="center"/>
          </w:tcPr>
          <w:p w:rsidR="00EB686F" w:rsidRDefault="00EB686F" w:rsidP="00EB686F">
            <w:pPr>
              <w:widowControl/>
              <w:jc w:val="left"/>
              <w:rPr>
                <w:color w:val="000000"/>
                <w:sz w:val="18"/>
                <w:szCs w:val="18"/>
              </w:rPr>
            </w:pPr>
          </w:p>
        </w:tc>
        <w:tc>
          <w:tcPr>
            <w:tcW w:w="963" w:type="dxa"/>
            <w:vMerge/>
            <w:tcBorders>
              <w:top w:val="single" w:sz="12" w:space="0" w:color="339966"/>
              <w:left w:val="single" w:sz="4" w:space="0" w:color="339966"/>
              <w:bottom w:val="single" w:sz="4" w:space="0" w:color="339966"/>
              <w:right w:val="single" w:sz="4" w:space="0" w:color="339966"/>
            </w:tcBorders>
            <w:vAlign w:val="center"/>
          </w:tcPr>
          <w:p w:rsidR="00EB686F" w:rsidRDefault="00EB686F" w:rsidP="00EB686F">
            <w:pPr>
              <w:widowControl/>
              <w:jc w:val="left"/>
              <w:rPr>
                <w:color w:val="000000"/>
                <w:sz w:val="18"/>
                <w:szCs w:val="18"/>
              </w:rPr>
            </w:pPr>
          </w:p>
        </w:tc>
        <w:tc>
          <w:tcPr>
            <w:tcW w:w="709"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sz w:val="18"/>
                <w:szCs w:val="18"/>
              </w:rPr>
            </w:pPr>
            <w:r>
              <w:rPr>
                <w:sz w:val="18"/>
                <w:szCs w:val="18"/>
              </w:rPr>
              <w:t>Sub-total</w:t>
            </w:r>
          </w:p>
        </w:tc>
        <w:tc>
          <w:tcPr>
            <w:tcW w:w="992"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sz w:val="18"/>
                <w:szCs w:val="18"/>
              </w:rPr>
            </w:pPr>
            <w:r>
              <w:rPr>
                <w:sz w:val="18"/>
                <w:szCs w:val="18"/>
              </w:rPr>
              <w:t>(1,1.1]</w:t>
            </w:r>
          </w:p>
        </w:tc>
        <w:tc>
          <w:tcPr>
            <w:tcW w:w="89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sz w:val="18"/>
                <w:szCs w:val="18"/>
              </w:rPr>
            </w:pPr>
            <w:r>
              <w:rPr>
                <w:sz w:val="18"/>
                <w:szCs w:val="18"/>
              </w:rPr>
              <w:t>(1.1,1.3]</w:t>
            </w:r>
          </w:p>
        </w:tc>
        <w:tc>
          <w:tcPr>
            <w:tcW w:w="10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sz w:val="18"/>
                <w:szCs w:val="18"/>
              </w:rPr>
            </w:pPr>
            <w:r>
              <w:rPr>
                <w:sz w:val="18"/>
                <w:szCs w:val="18"/>
              </w:rPr>
              <w:t>(1.3,1.5]</w:t>
            </w:r>
          </w:p>
        </w:tc>
        <w:tc>
          <w:tcPr>
            <w:tcW w:w="1252"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sz w:val="18"/>
                <w:szCs w:val="18"/>
              </w:rPr>
            </w:pPr>
            <w:r>
              <w:rPr>
                <w:sz w:val="18"/>
                <w:szCs w:val="18"/>
              </w:rPr>
              <w:t>(1.5,2.0]</w:t>
            </w:r>
          </w:p>
        </w:tc>
        <w:tc>
          <w:tcPr>
            <w:tcW w:w="900" w:type="dxa"/>
            <w:tcBorders>
              <w:top w:val="nil"/>
              <w:left w:val="nil"/>
              <w:bottom w:val="single" w:sz="4" w:space="0" w:color="339966"/>
              <w:right w:val="nil"/>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sz w:val="18"/>
                <w:szCs w:val="18"/>
              </w:rPr>
            </w:pPr>
            <w:r>
              <w:rPr>
                <w:sz w:val="18"/>
                <w:szCs w:val="18"/>
              </w:rPr>
              <w:t>More than  2.0</w:t>
            </w:r>
          </w:p>
        </w:tc>
      </w:tr>
      <w:tr w:rsidR="00EB686F" w:rsidTr="00EB686F">
        <w:trPr>
          <w:trHeight w:val="285"/>
        </w:trPr>
        <w:tc>
          <w:tcPr>
            <w:tcW w:w="1009" w:type="dxa"/>
            <w:tcBorders>
              <w:top w:val="single" w:sz="4" w:space="0" w:color="339966"/>
              <w:left w:val="nil"/>
              <w:bottom w:val="nil"/>
              <w:right w:val="single" w:sz="4" w:space="0" w:color="339966"/>
            </w:tcBorders>
            <w:tcMar>
              <w:top w:w="15" w:type="dxa"/>
              <w:left w:w="15" w:type="dxa"/>
              <w:bottom w:w="0" w:type="dxa"/>
              <w:right w:w="15" w:type="dxa"/>
            </w:tcMar>
            <w:vAlign w:val="center"/>
          </w:tcPr>
          <w:p w:rsidR="00EB686F" w:rsidRDefault="00EB686F" w:rsidP="00EB686F">
            <w:pPr>
              <w:spacing w:line="360" w:lineRule="auto"/>
              <w:jc w:val="center"/>
              <w:rPr>
                <w:sz w:val="18"/>
                <w:szCs w:val="18"/>
              </w:rPr>
            </w:pPr>
            <w:r>
              <w:rPr>
                <w:sz w:val="18"/>
                <w:szCs w:val="18"/>
              </w:rPr>
              <w:t>January</w:t>
            </w:r>
          </w:p>
        </w:tc>
        <w:tc>
          <w:tcPr>
            <w:tcW w:w="881"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11.89</w:t>
            </w:r>
          </w:p>
        </w:tc>
        <w:tc>
          <w:tcPr>
            <w:tcW w:w="963"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20.31</w:t>
            </w:r>
          </w:p>
        </w:tc>
        <w:tc>
          <w:tcPr>
            <w:tcW w:w="709"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67.80</w:t>
            </w:r>
          </w:p>
        </w:tc>
        <w:tc>
          <w:tcPr>
            <w:tcW w:w="992"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16.45</w:t>
            </w:r>
          </w:p>
        </w:tc>
        <w:tc>
          <w:tcPr>
            <w:tcW w:w="89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19.67</w:t>
            </w:r>
          </w:p>
        </w:tc>
        <w:tc>
          <w:tcPr>
            <w:tcW w:w="10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12.32</w:t>
            </w:r>
          </w:p>
        </w:tc>
        <w:tc>
          <w:tcPr>
            <w:tcW w:w="1252"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12.11</w:t>
            </w:r>
          </w:p>
        </w:tc>
        <w:tc>
          <w:tcPr>
            <w:tcW w:w="900" w:type="dxa"/>
            <w:tcBorders>
              <w:top w:val="single" w:sz="4" w:space="0" w:color="339966"/>
              <w:left w:val="single" w:sz="4" w:space="0" w:color="339966"/>
              <w:bottom w:val="nil"/>
              <w:right w:val="nil"/>
            </w:tcBorders>
            <w:shd w:val="clear" w:color="auto" w:fill="FFFFFF"/>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7.26</w:t>
            </w:r>
          </w:p>
        </w:tc>
      </w:tr>
      <w:tr w:rsidR="00EB686F" w:rsidTr="00EB686F">
        <w:trPr>
          <w:trHeight w:val="285"/>
        </w:trPr>
        <w:tc>
          <w:tcPr>
            <w:tcW w:w="1009" w:type="dxa"/>
            <w:tcBorders>
              <w:top w:val="nil"/>
              <w:left w:val="nil"/>
              <w:bottom w:val="nil"/>
              <w:right w:val="single" w:sz="4" w:space="0" w:color="339966"/>
            </w:tcBorders>
            <w:shd w:val="clear" w:color="auto" w:fill="CCFFCC"/>
            <w:tcMar>
              <w:top w:w="15" w:type="dxa"/>
              <w:left w:w="15" w:type="dxa"/>
              <w:bottom w:w="0" w:type="dxa"/>
              <w:right w:w="15" w:type="dxa"/>
            </w:tcMar>
            <w:vAlign w:val="center"/>
          </w:tcPr>
          <w:p w:rsidR="00EB686F" w:rsidRDefault="00EB686F" w:rsidP="00EB686F">
            <w:pPr>
              <w:spacing w:line="360" w:lineRule="auto"/>
              <w:jc w:val="center"/>
              <w:rPr>
                <w:sz w:val="18"/>
                <w:szCs w:val="18"/>
              </w:rPr>
            </w:pPr>
            <w:r>
              <w:rPr>
                <w:sz w:val="18"/>
                <w:szCs w:val="18"/>
              </w:rPr>
              <w:t>February</w:t>
            </w:r>
          </w:p>
        </w:tc>
        <w:tc>
          <w:tcPr>
            <w:tcW w:w="881"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12.50</w:t>
            </w:r>
          </w:p>
        </w:tc>
        <w:tc>
          <w:tcPr>
            <w:tcW w:w="963"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18.83</w:t>
            </w:r>
          </w:p>
        </w:tc>
        <w:tc>
          <w:tcPr>
            <w:tcW w:w="709"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68.67</w:t>
            </w:r>
          </w:p>
        </w:tc>
        <w:tc>
          <w:tcPr>
            <w:tcW w:w="992"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15.98</w:t>
            </w:r>
          </w:p>
        </w:tc>
        <w:tc>
          <w:tcPr>
            <w:tcW w:w="89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18.66</w:t>
            </w:r>
          </w:p>
        </w:tc>
        <w:tc>
          <w:tcPr>
            <w:tcW w:w="108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12.88</w:t>
            </w:r>
          </w:p>
        </w:tc>
        <w:tc>
          <w:tcPr>
            <w:tcW w:w="1252"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12.65</w:t>
            </w:r>
          </w:p>
        </w:tc>
        <w:tc>
          <w:tcPr>
            <w:tcW w:w="900" w:type="dxa"/>
            <w:tcBorders>
              <w:top w:val="nil"/>
              <w:left w:val="single" w:sz="4" w:space="0" w:color="339966"/>
              <w:bottom w:val="nil"/>
              <w:right w:val="nil"/>
            </w:tcBorders>
            <w:shd w:val="clear" w:color="auto" w:fill="CCFFCC"/>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8.50</w:t>
            </w:r>
          </w:p>
        </w:tc>
      </w:tr>
      <w:tr w:rsidR="00EB686F" w:rsidTr="00EB686F">
        <w:trPr>
          <w:trHeight w:val="285"/>
        </w:trPr>
        <w:tc>
          <w:tcPr>
            <w:tcW w:w="1009" w:type="dxa"/>
            <w:tcBorders>
              <w:top w:val="nil"/>
              <w:left w:val="nil"/>
              <w:bottom w:val="nil"/>
              <w:right w:val="single" w:sz="4" w:space="0" w:color="339966"/>
            </w:tcBorders>
            <w:tcMar>
              <w:top w:w="15" w:type="dxa"/>
              <w:left w:w="15" w:type="dxa"/>
              <w:bottom w:w="0" w:type="dxa"/>
              <w:right w:w="15" w:type="dxa"/>
            </w:tcMar>
            <w:vAlign w:val="center"/>
          </w:tcPr>
          <w:p w:rsidR="00EB686F" w:rsidRDefault="00EB686F" w:rsidP="00EB686F">
            <w:pPr>
              <w:spacing w:line="360" w:lineRule="auto"/>
              <w:jc w:val="center"/>
              <w:rPr>
                <w:sz w:val="18"/>
                <w:szCs w:val="18"/>
              </w:rPr>
            </w:pPr>
            <w:r>
              <w:rPr>
                <w:sz w:val="18"/>
                <w:szCs w:val="18"/>
              </w:rPr>
              <w:t>March</w:t>
            </w:r>
          </w:p>
        </w:tc>
        <w:tc>
          <w:tcPr>
            <w:tcW w:w="881"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9.61</w:t>
            </w:r>
          </w:p>
        </w:tc>
        <w:tc>
          <w:tcPr>
            <w:tcW w:w="963"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16.04</w:t>
            </w:r>
          </w:p>
        </w:tc>
        <w:tc>
          <w:tcPr>
            <w:tcW w:w="709"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74.35</w:t>
            </w:r>
          </w:p>
        </w:tc>
        <w:tc>
          <w:tcPr>
            <w:tcW w:w="992"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15.86</w:t>
            </w:r>
          </w:p>
        </w:tc>
        <w:tc>
          <w:tcPr>
            <w:tcW w:w="89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21.29</w:t>
            </w:r>
          </w:p>
        </w:tc>
        <w:tc>
          <w:tcPr>
            <w:tcW w:w="10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14.00</w:t>
            </w:r>
          </w:p>
        </w:tc>
        <w:tc>
          <w:tcPr>
            <w:tcW w:w="1252"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14.53</w:t>
            </w:r>
          </w:p>
        </w:tc>
        <w:tc>
          <w:tcPr>
            <w:tcW w:w="900" w:type="dxa"/>
            <w:tcBorders>
              <w:top w:val="nil"/>
              <w:left w:val="single" w:sz="4" w:space="0" w:color="339966"/>
              <w:bottom w:val="nil"/>
              <w:right w:val="nil"/>
            </w:tcBorders>
            <w:shd w:val="clear" w:color="auto" w:fill="FFFFFF"/>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8.68</w:t>
            </w:r>
          </w:p>
        </w:tc>
      </w:tr>
      <w:tr w:rsidR="00EB686F" w:rsidTr="00EB686F">
        <w:trPr>
          <w:trHeight w:val="285"/>
        </w:trPr>
        <w:tc>
          <w:tcPr>
            <w:tcW w:w="1009" w:type="dxa"/>
            <w:tcBorders>
              <w:top w:val="nil"/>
              <w:left w:val="nil"/>
              <w:bottom w:val="nil"/>
              <w:right w:val="single" w:sz="4" w:space="0" w:color="339966"/>
            </w:tcBorders>
            <w:shd w:val="clear" w:color="auto" w:fill="CCFFCC"/>
            <w:tcMar>
              <w:top w:w="15" w:type="dxa"/>
              <w:left w:w="15" w:type="dxa"/>
              <w:bottom w:w="0" w:type="dxa"/>
              <w:right w:w="15" w:type="dxa"/>
            </w:tcMar>
            <w:vAlign w:val="center"/>
          </w:tcPr>
          <w:p w:rsidR="00EB686F" w:rsidRDefault="00EB686F" w:rsidP="00EB686F">
            <w:pPr>
              <w:spacing w:line="360" w:lineRule="auto"/>
              <w:jc w:val="center"/>
              <w:rPr>
                <w:sz w:val="18"/>
                <w:szCs w:val="18"/>
              </w:rPr>
            </w:pPr>
            <w:r>
              <w:rPr>
                <w:sz w:val="18"/>
                <w:szCs w:val="18"/>
              </w:rPr>
              <w:t>April</w:t>
            </w:r>
          </w:p>
        </w:tc>
        <w:tc>
          <w:tcPr>
            <w:tcW w:w="881"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 xml:space="preserve">10.38 </w:t>
            </w:r>
          </w:p>
        </w:tc>
        <w:tc>
          <w:tcPr>
            <w:tcW w:w="963"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 xml:space="preserve">15.15 </w:t>
            </w:r>
          </w:p>
        </w:tc>
        <w:tc>
          <w:tcPr>
            <w:tcW w:w="709"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 xml:space="preserve">74.47 </w:t>
            </w:r>
          </w:p>
        </w:tc>
        <w:tc>
          <w:tcPr>
            <w:tcW w:w="992"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 xml:space="preserve">15.77 </w:t>
            </w:r>
          </w:p>
        </w:tc>
        <w:tc>
          <w:tcPr>
            <w:tcW w:w="89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 xml:space="preserve">21.12 </w:t>
            </w:r>
          </w:p>
        </w:tc>
        <w:tc>
          <w:tcPr>
            <w:tcW w:w="108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 xml:space="preserve">14.13 </w:t>
            </w:r>
          </w:p>
        </w:tc>
        <w:tc>
          <w:tcPr>
            <w:tcW w:w="1252"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 xml:space="preserve">14.72 </w:t>
            </w:r>
          </w:p>
        </w:tc>
        <w:tc>
          <w:tcPr>
            <w:tcW w:w="900" w:type="dxa"/>
            <w:tcBorders>
              <w:top w:val="nil"/>
              <w:left w:val="single" w:sz="4" w:space="0" w:color="339966"/>
              <w:bottom w:val="nil"/>
              <w:right w:val="nil"/>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 xml:space="preserve">8.73 </w:t>
            </w:r>
          </w:p>
        </w:tc>
      </w:tr>
      <w:tr w:rsidR="00EB686F" w:rsidTr="00EB686F">
        <w:trPr>
          <w:trHeight w:val="285"/>
        </w:trPr>
        <w:tc>
          <w:tcPr>
            <w:tcW w:w="1009" w:type="dxa"/>
            <w:tcBorders>
              <w:top w:val="nil"/>
              <w:left w:val="nil"/>
              <w:bottom w:val="nil"/>
              <w:right w:val="single" w:sz="4" w:space="0" w:color="339966"/>
            </w:tcBorders>
            <w:tcMar>
              <w:top w:w="15" w:type="dxa"/>
              <w:left w:w="15" w:type="dxa"/>
              <w:bottom w:w="0" w:type="dxa"/>
              <w:right w:w="15" w:type="dxa"/>
            </w:tcMar>
            <w:vAlign w:val="center"/>
          </w:tcPr>
          <w:p w:rsidR="00EB686F" w:rsidRDefault="00EB686F" w:rsidP="00EB686F">
            <w:pPr>
              <w:spacing w:line="360" w:lineRule="auto"/>
              <w:jc w:val="center"/>
              <w:rPr>
                <w:sz w:val="18"/>
                <w:szCs w:val="18"/>
              </w:rPr>
            </w:pPr>
            <w:r>
              <w:rPr>
                <w:sz w:val="18"/>
                <w:szCs w:val="18"/>
              </w:rPr>
              <w:t>May</w:t>
            </w:r>
          </w:p>
        </w:tc>
        <w:tc>
          <w:tcPr>
            <w:tcW w:w="881" w:type="dxa"/>
            <w:tcBorders>
              <w:top w:val="nil"/>
              <w:left w:val="single" w:sz="4" w:space="0" w:color="339966"/>
              <w:bottom w:val="nil"/>
              <w:right w:val="single" w:sz="4" w:space="0" w:color="339966"/>
            </w:tcBorders>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9.03</w:t>
            </w:r>
          </w:p>
        </w:tc>
        <w:tc>
          <w:tcPr>
            <w:tcW w:w="963" w:type="dxa"/>
            <w:tcBorders>
              <w:top w:val="nil"/>
              <w:left w:val="single" w:sz="4" w:space="0" w:color="339966"/>
              <w:bottom w:val="nil"/>
              <w:right w:val="single" w:sz="4" w:space="0" w:color="339966"/>
            </w:tcBorders>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14.36</w:t>
            </w:r>
          </w:p>
        </w:tc>
        <w:tc>
          <w:tcPr>
            <w:tcW w:w="709" w:type="dxa"/>
            <w:tcBorders>
              <w:top w:val="nil"/>
              <w:left w:val="single" w:sz="4" w:space="0" w:color="339966"/>
              <w:bottom w:val="nil"/>
              <w:right w:val="single" w:sz="4" w:space="0" w:color="339966"/>
            </w:tcBorders>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76.61</w:t>
            </w:r>
          </w:p>
        </w:tc>
        <w:tc>
          <w:tcPr>
            <w:tcW w:w="992" w:type="dxa"/>
            <w:tcBorders>
              <w:top w:val="nil"/>
              <w:left w:val="single" w:sz="4" w:space="0" w:color="339966"/>
              <w:bottom w:val="nil"/>
              <w:right w:val="single" w:sz="4" w:space="0" w:color="339966"/>
            </w:tcBorders>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16.60</w:t>
            </w:r>
          </w:p>
        </w:tc>
        <w:tc>
          <w:tcPr>
            <w:tcW w:w="890" w:type="dxa"/>
            <w:tcBorders>
              <w:top w:val="nil"/>
              <w:left w:val="single" w:sz="4" w:space="0" w:color="339966"/>
              <w:bottom w:val="nil"/>
              <w:right w:val="single" w:sz="4" w:space="0" w:color="339966"/>
            </w:tcBorders>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20.85</w:t>
            </w:r>
          </w:p>
        </w:tc>
        <w:tc>
          <w:tcPr>
            <w:tcW w:w="1080" w:type="dxa"/>
            <w:tcBorders>
              <w:top w:val="nil"/>
              <w:left w:val="single" w:sz="4" w:space="0" w:color="339966"/>
              <w:bottom w:val="nil"/>
              <w:right w:val="single" w:sz="4" w:space="0" w:color="339966"/>
            </w:tcBorders>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14.39</w:t>
            </w:r>
          </w:p>
        </w:tc>
        <w:tc>
          <w:tcPr>
            <w:tcW w:w="1252" w:type="dxa"/>
            <w:tcBorders>
              <w:top w:val="nil"/>
              <w:left w:val="single" w:sz="4" w:space="0" w:color="339966"/>
              <w:bottom w:val="nil"/>
              <w:right w:val="single" w:sz="4" w:space="0" w:color="339966"/>
            </w:tcBorders>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15.65</w:t>
            </w:r>
          </w:p>
        </w:tc>
        <w:tc>
          <w:tcPr>
            <w:tcW w:w="900" w:type="dxa"/>
            <w:tcBorders>
              <w:top w:val="nil"/>
              <w:left w:val="single" w:sz="4" w:space="0" w:color="339966"/>
              <w:bottom w:val="nil"/>
              <w:right w:val="nil"/>
            </w:tcBorders>
            <w:tcMar>
              <w:top w:w="15" w:type="dxa"/>
              <w:left w:w="15" w:type="dxa"/>
              <w:bottom w:w="0" w:type="dxa"/>
              <w:right w:w="15" w:type="dxa"/>
            </w:tcMar>
          </w:tcPr>
          <w:p w:rsidR="00EB686F" w:rsidRDefault="00EB686F" w:rsidP="00EB686F">
            <w:pPr>
              <w:spacing w:line="360" w:lineRule="auto"/>
              <w:jc w:val="center"/>
              <w:rPr>
                <w:color w:val="000000"/>
                <w:sz w:val="18"/>
                <w:szCs w:val="18"/>
              </w:rPr>
            </w:pPr>
            <w:r>
              <w:rPr>
                <w:sz w:val="18"/>
                <w:szCs w:val="18"/>
              </w:rPr>
              <w:t>9.12</w:t>
            </w:r>
          </w:p>
        </w:tc>
      </w:tr>
      <w:tr w:rsidR="00EB686F" w:rsidTr="00EB686F">
        <w:trPr>
          <w:trHeight w:val="285"/>
        </w:trPr>
        <w:tc>
          <w:tcPr>
            <w:tcW w:w="1009" w:type="dxa"/>
            <w:tcBorders>
              <w:top w:val="nil"/>
              <w:left w:val="nil"/>
              <w:bottom w:val="nil"/>
              <w:right w:val="single" w:sz="4" w:space="0" w:color="339966"/>
            </w:tcBorders>
            <w:shd w:val="clear" w:color="auto" w:fill="CCFFCC"/>
            <w:tcMar>
              <w:top w:w="15" w:type="dxa"/>
              <w:left w:w="15" w:type="dxa"/>
              <w:bottom w:w="0" w:type="dxa"/>
              <w:right w:w="15" w:type="dxa"/>
            </w:tcMar>
            <w:vAlign w:val="center"/>
          </w:tcPr>
          <w:p w:rsidR="00EB686F" w:rsidRDefault="00EB686F" w:rsidP="00EB686F">
            <w:pPr>
              <w:spacing w:line="360" w:lineRule="auto"/>
              <w:jc w:val="center"/>
              <w:rPr>
                <w:sz w:val="18"/>
                <w:szCs w:val="18"/>
              </w:rPr>
            </w:pPr>
            <w:r>
              <w:rPr>
                <w:sz w:val="18"/>
                <w:szCs w:val="18"/>
              </w:rPr>
              <w:t>June</w:t>
            </w:r>
          </w:p>
        </w:tc>
        <w:tc>
          <w:tcPr>
            <w:tcW w:w="881"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9.93</w:t>
            </w:r>
          </w:p>
        </w:tc>
        <w:tc>
          <w:tcPr>
            <w:tcW w:w="963"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14.83</w:t>
            </w:r>
          </w:p>
        </w:tc>
        <w:tc>
          <w:tcPr>
            <w:tcW w:w="709"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75.24</w:t>
            </w:r>
          </w:p>
        </w:tc>
        <w:tc>
          <w:tcPr>
            <w:tcW w:w="992"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15.19</w:t>
            </w:r>
          </w:p>
        </w:tc>
        <w:tc>
          <w:tcPr>
            <w:tcW w:w="89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21.36</w:t>
            </w:r>
          </w:p>
        </w:tc>
        <w:tc>
          <w:tcPr>
            <w:tcW w:w="108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14.10</w:t>
            </w:r>
          </w:p>
        </w:tc>
        <w:tc>
          <w:tcPr>
            <w:tcW w:w="1252"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16.32</w:t>
            </w:r>
          </w:p>
        </w:tc>
        <w:tc>
          <w:tcPr>
            <w:tcW w:w="900" w:type="dxa"/>
            <w:tcBorders>
              <w:top w:val="nil"/>
              <w:left w:val="single" w:sz="4" w:space="0" w:color="339966"/>
              <w:bottom w:val="nil"/>
              <w:right w:val="nil"/>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8.27</w:t>
            </w:r>
          </w:p>
        </w:tc>
      </w:tr>
      <w:tr w:rsidR="00EB686F" w:rsidTr="00EB686F">
        <w:trPr>
          <w:trHeight w:val="285"/>
        </w:trPr>
        <w:tc>
          <w:tcPr>
            <w:tcW w:w="1009" w:type="dxa"/>
            <w:tcBorders>
              <w:top w:val="nil"/>
              <w:left w:val="nil"/>
              <w:bottom w:val="nil"/>
              <w:right w:val="single" w:sz="4" w:space="0" w:color="339966"/>
            </w:tcBorders>
            <w:tcMar>
              <w:top w:w="15" w:type="dxa"/>
              <w:left w:w="15" w:type="dxa"/>
              <w:bottom w:w="0" w:type="dxa"/>
              <w:right w:w="15" w:type="dxa"/>
            </w:tcMar>
            <w:vAlign w:val="center"/>
          </w:tcPr>
          <w:p w:rsidR="00EB686F" w:rsidRDefault="00EB686F" w:rsidP="00EB686F">
            <w:pPr>
              <w:spacing w:line="360" w:lineRule="auto"/>
              <w:jc w:val="center"/>
              <w:rPr>
                <w:sz w:val="18"/>
                <w:szCs w:val="18"/>
              </w:rPr>
            </w:pPr>
            <w:r>
              <w:rPr>
                <w:sz w:val="18"/>
                <w:szCs w:val="18"/>
              </w:rPr>
              <w:t>July</w:t>
            </w:r>
          </w:p>
        </w:tc>
        <w:tc>
          <w:tcPr>
            <w:tcW w:w="881" w:type="dxa"/>
            <w:tcBorders>
              <w:top w:val="nil"/>
              <w:left w:val="single" w:sz="4" w:space="0" w:color="339966"/>
              <w:bottom w:val="nil"/>
              <w:right w:val="single" w:sz="4" w:space="0" w:color="339966"/>
            </w:tcBorders>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9.59</w:t>
            </w:r>
          </w:p>
        </w:tc>
        <w:tc>
          <w:tcPr>
            <w:tcW w:w="963" w:type="dxa"/>
            <w:tcBorders>
              <w:top w:val="nil"/>
              <w:left w:val="single" w:sz="4" w:space="0" w:color="339966"/>
              <w:bottom w:val="nil"/>
              <w:right w:val="single" w:sz="4" w:space="0" w:color="339966"/>
            </w:tcBorders>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14.08</w:t>
            </w:r>
          </w:p>
        </w:tc>
        <w:tc>
          <w:tcPr>
            <w:tcW w:w="709" w:type="dxa"/>
            <w:tcBorders>
              <w:top w:val="nil"/>
              <w:left w:val="single" w:sz="4" w:space="0" w:color="339966"/>
              <w:bottom w:val="nil"/>
              <w:right w:val="single" w:sz="4" w:space="0" w:color="339966"/>
            </w:tcBorders>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76.33</w:t>
            </w:r>
          </w:p>
        </w:tc>
        <w:tc>
          <w:tcPr>
            <w:tcW w:w="992" w:type="dxa"/>
            <w:tcBorders>
              <w:top w:val="nil"/>
              <w:left w:val="single" w:sz="4" w:space="0" w:color="339966"/>
              <w:bottom w:val="nil"/>
              <w:right w:val="single" w:sz="4" w:space="0" w:color="339966"/>
            </w:tcBorders>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14.96</w:t>
            </w:r>
          </w:p>
        </w:tc>
        <w:tc>
          <w:tcPr>
            <w:tcW w:w="890" w:type="dxa"/>
            <w:tcBorders>
              <w:top w:val="nil"/>
              <w:left w:val="single" w:sz="4" w:space="0" w:color="339966"/>
              <w:bottom w:val="nil"/>
              <w:right w:val="single" w:sz="4" w:space="0" w:color="339966"/>
            </w:tcBorders>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21.08</w:t>
            </w:r>
          </w:p>
        </w:tc>
        <w:tc>
          <w:tcPr>
            <w:tcW w:w="1080" w:type="dxa"/>
            <w:tcBorders>
              <w:top w:val="nil"/>
              <w:left w:val="single" w:sz="4" w:space="0" w:color="339966"/>
              <w:bottom w:val="nil"/>
              <w:right w:val="single" w:sz="4" w:space="0" w:color="339966"/>
            </w:tcBorders>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14.07</w:t>
            </w:r>
          </w:p>
        </w:tc>
        <w:tc>
          <w:tcPr>
            <w:tcW w:w="1252" w:type="dxa"/>
            <w:tcBorders>
              <w:top w:val="nil"/>
              <w:left w:val="single" w:sz="4" w:space="0" w:color="339966"/>
              <w:bottom w:val="nil"/>
              <w:right w:val="single" w:sz="4" w:space="0" w:color="339966"/>
            </w:tcBorders>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16.63</w:t>
            </w:r>
          </w:p>
        </w:tc>
        <w:tc>
          <w:tcPr>
            <w:tcW w:w="900" w:type="dxa"/>
            <w:tcBorders>
              <w:top w:val="nil"/>
              <w:left w:val="single" w:sz="4" w:space="0" w:color="339966"/>
              <w:bottom w:val="nil"/>
              <w:right w:val="nil"/>
            </w:tcBorders>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9.59</w:t>
            </w:r>
          </w:p>
        </w:tc>
      </w:tr>
      <w:tr w:rsidR="00EB686F" w:rsidTr="00EB686F">
        <w:trPr>
          <w:trHeight w:val="285"/>
        </w:trPr>
        <w:tc>
          <w:tcPr>
            <w:tcW w:w="1009" w:type="dxa"/>
            <w:tcBorders>
              <w:top w:val="nil"/>
              <w:left w:val="nil"/>
              <w:bottom w:val="nil"/>
              <w:right w:val="single" w:sz="4" w:space="0" w:color="339966"/>
            </w:tcBorders>
            <w:shd w:val="clear" w:color="auto" w:fill="CCFFCC"/>
            <w:tcMar>
              <w:top w:w="15" w:type="dxa"/>
              <w:left w:w="15" w:type="dxa"/>
              <w:bottom w:w="0" w:type="dxa"/>
              <w:right w:w="15" w:type="dxa"/>
            </w:tcMar>
            <w:vAlign w:val="center"/>
          </w:tcPr>
          <w:p w:rsidR="00EB686F" w:rsidRDefault="00EB686F" w:rsidP="00EB686F">
            <w:pPr>
              <w:spacing w:line="360" w:lineRule="auto"/>
              <w:jc w:val="center"/>
              <w:rPr>
                <w:sz w:val="18"/>
                <w:szCs w:val="18"/>
              </w:rPr>
            </w:pPr>
            <w:r>
              <w:rPr>
                <w:sz w:val="18"/>
                <w:szCs w:val="18"/>
              </w:rPr>
              <w:t>August</w:t>
            </w:r>
          </w:p>
        </w:tc>
        <w:tc>
          <w:tcPr>
            <w:tcW w:w="881"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sz w:val="18"/>
                <w:szCs w:val="18"/>
              </w:rPr>
            </w:pPr>
            <w:r>
              <w:rPr>
                <w:sz w:val="18"/>
                <w:szCs w:val="18"/>
              </w:rPr>
              <w:t>11.87</w:t>
            </w:r>
          </w:p>
        </w:tc>
        <w:tc>
          <w:tcPr>
            <w:tcW w:w="963"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sz w:val="18"/>
                <w:szCs w:val="18"/>
              </w:rPr>
            </w:pPr>
            <w:r>
              <w:rPr>
                <w:sz w:val="18"/>
                <w:szCs w:val="18"/>
              </w:rPr>
              <w:t>13.33</w:t>
            </w:r>
          </w:p>
        </w:tc>
        <w:tc>
          <w:tcPr>
            <w:tcW w:w="709"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sz w:val="18"/>
                <w:szCs w:val="18"/>
              </w:rPr>
            </w:pPr>
            <w:r>
              <w:rPr>
                <w:sz w:val="18"/>
                <w:szCs w:val="18"/>
              </w:rPr>
              <w:t>74.81</w:t>
            </w:r>
          </w:p>
        </w:tc>
        <w:tc>
          <w:tcPr>
            <w:tcW w:w="992"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sz w:val="18"/>
                <w:szCs w:val="18"/>
              </w:rPr>
            </w:pPr>
            <w:r>
              <w:rPr>
                <w:sz w:val="18"/>
                <w:szCs w:val="18"/>
              </w:rPr>
              <w:t>13.20</w:t>
            </w:r>
          </w:p>
        </w:tc>
        <w:tc>
          <w:tcPr>
            <w:tcW w:w="89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sz w:val="18"/>
                <w:szCs w:val="18"/>
              </w:rPr>
            </w:pPr>
            <w:r>
              <w:rPr>
                <w:sz w:val="18"/>
                <w:szCs w:val="18"/>
              </w:rPr>
              <w:t>20.53</w:t>
            </w:r>
          </w:p>
        </w:tc>
        <w:tc>
          <w:tcPr>
            <w:tcW w:w="108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sz w:val="18"/>
                <w:szCs w:val="18"/>
              </w:rPr>
            </w:pPr>
            <w:r>
              <w:rPr>
                <w:sz w:val="18"/>
                <w:szCs w:val="18"/>
              </w:rPr>
              <w:t>14.23</w:t>
            </w:r>
          </w:p>
        </w:tc>
        <w:tc>
          <w:tcPr>
            <w:tcW w:w="1252"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sz w:val="18"/>
                <w:szCs w:val="18"/>
              </w:rPr>
            </w:pPr>
            <w:r>
              <w:rPr>
                <w:sz w:val="18"/>
                <w:szCs w:val="18"/>
              </w:rPr>
              <w:t>16.31</w:t>
            </w:r>
          </w:p>
        </w:tc>
        <w:tc>
          <w:tcPr>
            <w:tcW w:w="900" w:type="dxa"/>
            <w:tcBorders>
              <w:top w:val="nil"/>
              <w:left w:val="single" w:sz="4" w:space="0" w:color="339966"/>
              <w:bottom w:val="nil"/>
              <w:right w:val="nil"/>
            </w:tcBorders>
            <w:shd w:val="clear" w:color="auto" w:fill="CCFFCC"/>
            <w:tcMar>
              <w:top w:w="15" w:type="dxa"/>
              <w:left w:w="15" w:type="dxa"/>
              <w:bottom w:w="0" w:type="dxa"/>
              <w:right w:w="15" w:type="dxa"/>
            </w:tcMar>
            <w:vAlign w:val="bottom"/>
          </w:tcPr>
          <w:p w:rsidR="00EB686F" w:rsidRDefault="00EB686F" w:rsidP="00EB686F">
            <w:pPr>
              <w:spacing w:line="360" w:lineRule="auto"/>
              <w:jc w:val="center"/>
              <w:rPr>
                <w:sz w:val="18"/>
                <w:szCs w:val="18"/>
              </w:rPr>
            </w:pPr>
            <w:r>
              <w:rPr>
                <w:sz w:val="18"/>
                <w:szCs w:val="18"/>
              </w:rPr>
              <w:t>10.55</w:t>
            </w:r>
          </w:p>
        </w:tc>
      </w:tr>
      <w:tr w:rsidR="00EB686F" w:rsidTr="00EB686F">
        <w:trPr>
          <w:trHeight w:val="285"/>
        </w:trPr>
        <w:tc>
          <w:tcPr>
            <w:tcW w:w="1009" w:type="dxa"/>
            <w:tcBorders>
              <w:top w:val="nil"/>
              <w:left w:val="nil"/>
              <w:bottom w:val="single" w:sz="12" w:space="0" w:color="339966"/>
              <w:right w:val="single" w:sz="4" w:space="0" w:color="339966"/>
            </w:tcBorders>
            <w:tcMar>
              <w:top w:w="15" w:type="dxa"/>
              <w:left w:w="15" w:type="dxa"/>
              <w:bottom w:w="0" w:type="dxa"/>
              <w:right w:w="15" w:type="dxa"/>
            </w:tcMar>
            <w:vAlign w:val="center"/>
          </w:tcPr>
          <w:p w:rsidR="00EB686F" w:rsidRDefault="00EB686F" w:rsidP="00EB686F">
            <w:pPr>
              <w:spacing w:line="360" w:lineRule="auto"/>
              <w:jc w:val="center"/>
              <w:rPr>
                <w:sz w:val="18"/>
                <w:szCs w:val="18"/>
              </w:rPr>
            </w:pPr>
            <w:r>
              <w:rPr>
                <w:sz w:val="18"/>
                <w:szCs w:val="18"/>
              </w:rPr>
              <w:t>September</w:t>
            </w:r>
          </w:p>
        </w:tc>
        <w:tc>
          <w:tcPr>
            <w:tcW w:w="881" w:type="dxa"/>
            <w:tcBorders>
              <w:top w:val="nil"/>
              <w:left w:val="single" w:sz="4" w:space="0" w:color="339966"/>
              <w:bottom w:val="single" w:sz="12" w:space="0" w:color="339966"/>
              <w:right w:val="single" w:sz="4" w:space="0" w:color="339966"/>
            </w:tcBorders>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12.60</w:t>
            </w:r>
          </w:p>
        </w:tc>
        <w:tc>
          <w:tcPr>
            <w:tcW w:w="963" w:type="dxa"/>
            <w:tcBorders>
              <w:top w:val="nil"/>
              <w:left w:val="single" w:sz="4" w:space="0" w:color="339966"/>
              <w:bottom w:val="single" w:sz="12" w:space="0" w:color="339966"/>
              <w:right w:val="single" w:sz="4" w:space="0" w:color="339966"/>
            </w:tcBorders>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13.64</w:t>
            </w:r>
          </w:p>
        </w:tc>
        <w:tc>
          <w:tcPr>
            <w:tcW w:w="709" w:type="dxa"/>
            <w:tcBorders>
              <w:top w:val="nil"/>
              <w:left w:val="single" w:sz="4" w:space="0" w:color="339966"/>
              <w:bottom w:val="single" w:sz="12" w:space="0" w:color="339966"/>
              <w:right w:val="single" w:sz="4" w:space="0" w:color="339966"/>
            </w:tcBorders>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73.76</w:t>
            </w:r>
          </w:p>
        </w:tc>
        <w:tc>
          <w:tcPr>
            <w:tcW w:w="992" w:type="dxa"/>
            <w:tcBorders>
              <w:top w:val="nil"/>
              <w:left w:val="single" w:sz="4" w:space="0" w:color="339966"/>
              <w:bottom w:val="single" w:sz="12" w:space="0" w:color="339966"/>
              <w:right w:val="single" w:sz="4" w:space="0" w:color="339966"/>
            </w:tcBorders>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12.79</w:t>
            </w:r>
          </w:p>
        </w:tc>
        <w:tc>
          <w:tcPr>
            <w:tcW w:w="890" w:type="dxa"/>
            <w:tcBorders>
              <w:top w:val="nil"/>
              <w:left w:val="single" w:sz="4" w:space="0" w:color="339966"/>
              <w:bottom w:val="single" w:sz="12" w:space="0" w:color="339966"/>
              <w:right w:val="single" w:sz="4" w:space="0" w:color="339966"/>
            </w:tcBorders>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21.26</w:t>
            </w:r>
          </w:p>
        </w:tc>
        <w:tc>
          <w:tcPr>
            <w:tcW w:w="1080" w:type="dxa"/>
            <w:tcBorders>
              <w:top w:val="nil"/>
              <w:left w:val="single" w:sz="4" w:space="0" w:color="339966"/>
              <w:bottom w:val="single" w:sz="12" w:space="0" w:color="339966"/>
              <w:right w:val="single" w:sz="4" w:space="0" w:color="339966"/>
            </w:tcBorders>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13.87</w:t>
            </w:r>
          </w:p>
        </w:tc>
        <w:tc>
          <w:tcPr>
            <w:tcW w:w="1252" w:type="dxa"/>
            <w:tcBorders>
              <w:top w:val="nil"/>
              <w:left w:val="single" w:sz="4" w:space="0" w:color="339966"/>
              <w:bottom w:val="single" w:sz="12" w:space="0" w:color="339966"/>
              <w:right w:val="single" w:sz="4" w:space="0" w:color="339966"/>
            </w:tcBorders>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16.06</w:t>
            </w:r>
          </w:p>
        </w:tc>
        <w:tc>
          <w:tcPr>
            <w:tcW w:w="900" w:type="dxa"/>
            <w:tcBorders>
              <w:top w:val="nil"/>
              <w:left w:val="single" w:sz="4" w:space="0" w:color="339966"/>
              <w:bottom w:val="single" w:sz="12" w:space="0" w:color="339966"/>
              <w:right w:val="nil"/>
            </w:tcBorders>
            <w:tcMar>
              <w:top w:w="15" w:type="dxa"/>
              <w:left w:w="15" w:type="dxa"/>
              <w:bottom w:w="0" w:type="dxa"/>
              <w:right w:w="15" w:type="dxa"/>
            </w:tcMar>
            <w:vAlign w:val="bottom"/>
          </w:tcPr>
          <w:p w:rsidR="00EB686F" w:rsidRDefault="00EB686F" w:rsidP="00EB686F">
            <w:pPr>
              <w:spacing w:line="360" w:lineRule="auto"/>
              <w:jc w:val="center"/>
              <w:rPr>
                <w:color w:val="000000"/>
                <w:sz w:val="18"/>
                <w:szCs w:val="18"/>
              </w:rPr>
            </w:pPr>
            <w:r>
              <w:rPr>
                <w:color w:val="000000"/>
                <w:sz w:val="18"/>
                <w:szCs w:val="18"/>
              </w:rPr>
              <w:t>9.78</w:t>
            </w:r>
          </w:p>
        </w:tc>
      </w:tr>
    </w:tbl>
    <w:p w:rsidR="00EB686F" w:rsidRDefault="00EB686F" w:rsidP="00EB686F">
      <w:pPr>
        <w:spacing w:line="360" w:lineRule="auto"/>
        <w:rPr>
          <w:rFonts w:eastAsia="FangSong_GB2312"/>
          <w:sz w:val="24"/>
        </w:rPr>
      </w:pPr>
      <w:r>
        <w:rPr>
          <w:rFonts w:eastAsia="KaiTi_GB2312"/>
          <w:sz w:val="24"/>
        </w:rPr>
        <w:t>Source: People’s Bank of China.</w:t>
      </w:r>
    </w:p>
    <w:p w:rsidR="00EB686F" w:rsidRDefault="00EB686F" w:rsidP="00EB686F">
      <w:pPr>
        <w:spacing w:line="360" w:lineRule="auto"/>
        <w:textAlignment w:val="center"/>
        <w:rPr>
          <w:rFonts w:eastAsia="FangSong_GB2312"/>
          <w:sz w:val="24"/>
        </w:rPr>
      </w:pPr>
      <w:r>
        <w:rPr>
          <w:rFonts w:eastAsia="FangSong_GB2312"/>
          <w:b/>
          <w:bCs/>
          <w:sz w:val="24"/>
        </w:rPr>
        <w:t xml:space="preserve">As the Federal Reserve continued to raise interest rates and the balance between supply and demand in domestic foreign-currency funds changed, interest rates </w:t>
      </w:r>
      <w:r>
        <w:rPr>
          <w:rFonts w:eastAsia="FangSong_GB2312"/>
          <w:b/>
          <w:bCs/>
          <w:sz w:val="24"/>
        </w:rPr>
        <w:lastRenderedPageBreak/>
        <w:t>on foreign-currency deposits and loans went up somewhat.</w:t>
      </w:r>
      <w:r>
        <w:rPr>
          <w:rFonts w:eastAsia="FangSong_GB2312"/>
          <w:sz w:val="24"/>
        </w:rPr>
        <w:t xml:space="preserve"> In September, the weighted average interest rates on large-value USD demand deposits and deposits with maturities within 3 months registered 0.40 percent and 2.34 percent respectively, up 0.07 and 0.19 percentage point from June. The weighted average interest rates of USD loans with maturities within 3 months and with maturities between 3 months (including 3 months) and 6 months registered 3.49 percent and 3.66 percent respectively, up 0.14 and 0.05 percentage point from June.</w:t>
      </w:r>
    </w:p>
    <w:p w:rsidR="00EB686F" w:rsidRDefault="00EB686F" w:rsidP="00EB686F">
      <w:pPr>
        <w:spacing w:line="360" w:lineRule="auto"/>
        <w:textAlignment w:val="center"/>
        <w:rPr>
          <w:rFonts w:eastAsia="FangSong_GB2312"/>
          <w:sz w:val="24"/>
        </w:rPr>
      </w:pPr>
    </w:p>
    <w:tbl>
      <w:tblPr>
        <w:tblpPr w:leftFromText="180" w:rightFromText="180" w:vertAnchor="text" w:horzAnchor="margin" w:tblpY="1211"/>
        <w:tblOverlap w:val="never"/>
        <w:tblW w:w="8808" w:type="dxa"/>
        <w:tblLayout w:type="fixed"/>
        <w:tblCellMar>
          <w:left w:w="0" w:type="dxa"/>
          <w:right w:w="0" w:type="dxa"/>
        </w:tblCellMar>
        <w:tblLook w:val="04A0"/>
      </w:tblPr>
      <w:tblGrid>
        <w:gridCol w:w="8808"/>
      </w:tblGrid>
      <w:tr w:rsidR="00EB686F" w:rsidTr="00EB686F">
        <w:trPr>
          <w:trHeight w:val="176"/>
        </w:trPr>
        <w:tc>
          <w:tcPr>
            <w:tcW w:w="8808" w:type="dxa"/>
            <w:tcBorders>
              <w:top w:val="nil"/>
              <w:left w:val="nil"/>
              <w:bottom w:val="single" w:sz="12" w:space="0" w:color="339966"/>
              <w:right w:val="nil"/>
            </w:tcBorders>
            <w:vAlign w:val="bottom"/>
          </w:tcPr>
          <w:p w:rsidR="00EB686F" w:rsidRDefault="00EB686F" w:rsidP="00EB686F">
            <w:pPr>
              <w:spacing w:line="360" w:lineRule="auto"/>
              <w:jc w:val="right"/>
              <w:rPr>
                <w:kern w:val="0"/>
              </w:rPr>
            </w:pPr>
            <w:r>
              <w:rPr>
                <w:kern w:val="0"/>
                <w:sz w:val="18"/>
                <w:szCs w:val="18"/>
              </w:rPr>
              <w:t>Unit: %</w:t>
            </w:r>
          </w:p>
        </w:tc>
      </w:tr>
    </w:tbl>
    <w:p w:rsidR="00EB686F" w:rsidRDefault="00EB686F" w:rsidP="00EE3C76">
      <w:pPr>
        <w:keepNext/>
        <w:spacing w:line="360" w:lineRule="auto"/>
        <w:jc w:val="center"/>
        <w:rPr>
          <w:b/>
          <w:sz w:val="24"/>
        </w:rPr>
      </w:pPr>
      <w:bookmarkStart w:id="25" w:name="_Toc532203067"/>
      <w:r>
        <w:rPr>
          <w:b/>
          <w:sz w:val="24"/>
        </w:rPr>
        <w:t xml:space="preserve">Table </w:t>
      </w:r>
      <w:r w:rsidR="002447A7">
        <w:rPr>
          <w:b/>
          <w:sz w:val="24"/>
        </w:rPr>
        <w:fldChar w:fldCharType="begin"/>
      </w:r>
      <w:r w:rsidR="00EE3C76">
        <w:rPr>
          <w:b/>
          <w:sz w:val="24"/>
        </w:rPr>
        <w:instrText xml:space="preserve"> SEQ Table \* ARABIC </w:instrText>
      </w:r>
      <w:r w:rsidR="002447A7">
        <w:rPr>
          <w:b/>
          <w:sz w:val="24"/>
        </w:rPr>
        <w:fldChar w:fldCharType="separate"/>
      </w:r>
      <w:r w:rsidR="00EC1136">
        <w:rPr>
          <w:b/>
          <w:noProof/>
          <w:sz w:val="24"/>
        </w:rPr>
        <w:t>4</w:t>
      </w:r>
      <w:r w:rsidR="002447A7">
        <w:rPr>
          <w:b/>
          <w:sz w:val="24"/>
        </w:rPr>
        <w:fldChar w:fldCharType="end"/>
      </w:r>
      <w:r>
        <w:rPr>
          <w:b/>
          <w:sz w:val="24"/>
        </w:rPr>
        <w:t xml:space="preserve"> Average Interest Rates of Large-Value Deposits and Loans in USD, January through September 2018</w:t>
      </w:r>
      <w:bookmarkEnd w:id="25"/>
    </w:p>
    <w:tbl>
      <w:tblPr>
        <w:tblW w:w="8856" w:type="dxa"/>
        <w:tblLayout w:type="fixed"/>
        <w:tblCellMar>
          <w:left w:w="0" w:type="dxa"/>
          <w:right w:w="0" w:type="dxa"/>
        </w:tblCellMar>
        <w:tblLook w:val="04A0"/>
      </w:tblPr>
      <w:tblGrid>
        <w:gridCol w:w="865"/>
        <w:gridCol w:w="713"/>
        <w:gridCol w:w="688"/>
        <w:gridCol w:w="855"/>
        <w:gridCol w:w="810"/>
        <w:gridCol w:w="639"/>
        <w:gridCol w:w="685"/>
        <w:gridCol w:w="690"/>
        <w:gridCol w:w="862"/>
        <w:gridCol w:w="810"/>
        <w:gridCol w:w="576"/>
        <w:gridCol w:w="663"/>
      </w:tblGrid>
      <w:tr w:rsidR="00EB686F" w:rsidTr="00EB686F">
        <w:trPr>
          <w:cantSplit/>
          <w:trHeight w:val="342"/>
        </w:trPr>
        <w:tc>
          <w:tcPr>
            <w:tcW w:w="865" w:type="dxa"/>
            <w:vMerge w:val="restart"/>
            <w:tcBorders>
              <w:top w:val="single" w:sz="12" w:space="0" w:color="339966"/>
              <w:left w:val="nil"/>
              <w:bottom w:val="single" w:sz="8" w:space="0" w:color="339966"/>
              <w:right w:val="single" w:sz="4" w:space="0" w:color="339966"/>
            </w:tcBorders>
            <w:shd w:val="clear" w:color="auto" w:fill="CCFFCC"/>
            <w:vAlign w:val="center"/>
          </w:tcPr>
          <w:p w:rsidR="00EB686F" w:rsidRDefault="00EB686F" w:rsidP="00EB686F">
            <w:pPr>
              <w:widowControl/>
              <w:spacing w:line="360" w:lineRule="auto"/>
              <w:jc w:val="center"/>
              <w:rPr>
                <w:rFonts w:ascii="SimSun" w:hAnsi="SimSun" w:cs="SimSun" w:hint="eastAsia"/>
                <w:kern w:val="0"/>
              </w:rPr>
            </w:pPr>
            <w:r>
              <w:rPr>
                <w:kern w:val="0"/>
                <w:sz w:val="18"/>
                <w:szCs w:val="18"/>
              </w:rPr>
              <w:t>Month</w:t>
            </w:r>
          </w:p>
        </w:tc>
        <w:tc>
          <w:tcPr>
            <w:tcW w:w="4390" w:type="dxa"/>
            <w:gridSpan w:val="6"/>
            <w:tcBorders>
              <w:top w:val="single" w:sz="12" w:space="0" w:color="339966"/>
              <w:left w:val="nil"/>
              <w:bottom w:val="single" w:sz="4" w:space="0" w:color="339966"/>
              <w:right w:val="single" w:sz="4" w:space="0" w:color="339966"/>
            </w:tcBorders>
            <w:shd w:val="clear" w:color="auto" w:fill="CCFFCC"/>
            <w:vAlign w:val="center"/>
          </w:tcPr>
          <w:p w:rsidR="00EB686F" w:rsidRDefault="00EB686F" w:rsidP="00EB686F">
            <w:pPr>
              <w:widowControl/>
              <w:spacing w:line="360" w:lineRule="auto"/>
              <w:jc w:val="center"/>
              <w:rPr>
                <w:rFonts w:ascii="SimSun" w:hAnsi="SimSun" w:cs="SimSun" w:hint="eastAsia"/>
                <w:kern w:val="0"/>
                <w:sz w:val="18"/>
                <w:szCs w:val="18"/>
              </w:rPr>
            </w:pPr>
            <w:r>
              <w:rPr>
                <w:kern w:val="0"/>
                <w:sz w:val="18"/>
                <w:szCs w:val="18"/>
              </w:rPr>
              <w:t>Large-value deposits</w:t>
            </w:r>
          </w:p>
        </w:tc>
        <w:tc>
          <w:tcPr>
            <w:tcW w:w="3601" w:type="dxa"/>
            <w:gridSpan w:val="5"/>
            <w:tcBorders>
              <w:top w:val="single" w:sz="12" w:space="0" w:color="339966"/>
              <w:left w:val="single" w:sz="8" w:space="0" w:color="339966"/>
              <w:bottom w:val="single" w:sz="4" w:space="0" w:color="339966"/>
              <w:right w:val="nil"/>
            </w:tcBorders>
            <w:shd w:val="clear" w:color="auto" w:fill="CCFFCC"/>
            <w:vAlign w:val="center"/>
          </w:tcPr>
          <w:p w:rsidR="00EB686F" w:rsidRDefault="00EB686F" w:rsidP="00EB686F">
            <w:pPr>
              <w:widowControl/>
              <w:spacing w:line="360" w:lineRule="auto"/>
              <w:jc w:val="center"/>
              <w:rPr>
                <w:rFonts w:ascii="SimSun" w:hAnsi="SimSun" w:cs="SimSun" w:hint="eastAsia"/>
                <w:kern w:val="0"/>
                <w:sz w:val="18"/>
                <w:szCs w:val="18"/>
              </w:rPr>
            </w:pPr>
            <w:r>
              <w:rPr>
                <w:kern w:val="0"/>
                <w:sz w:val="18"/>
                <w:szCs w:val="18"/>
              </w:rPr>
              <w:t>Loans</w:t>
            </w:r>
          </w:p>
        </w:tc>
      </w:tr>
      <w:tr w:rsidR="00EB686F" w:rsidTr="00EB686F">
        <w:trPr>
          <w:cantSplit/>
          <w:trHeight w:val="495"/>
        </w:trPr>
        <w:tc>
          <w:tcPr>
            <w:tcW w:w="865" w:type="dxa"/>
            <w:vMerge/>
            <w:tcBorders>
              <w:top w:val="single" w:sz="12" w:space="0" w:color="339966"/>
              <w:left w:val="nil"/>
              <w:bottom w:val="single" w:sz="8" w:space="0" w:color="339966"/>
              <w:right w:val="single" w:sz="4" w:space="0" w:color="339966"/>
            </w:tcBorders>
            <w:vAlign w:val="center"/>
          </w:tcPr>
          <w:p w:rsidR="00EB686F" w:rsidRDefault="00EB686F" w:rsidP="00EB686F">
            <w:pPr>
              <w:widowControl/>
              <w:jc w:val="left"/>
              <w:rPr>
                <w:rFonts w:ascii="SimSun" w:hAnsi="SimSun" w:cs="SimSun" w:hint="eastAsia"/>
                <w:kern w:val="0"/>
              </w:rPr>
            </w:pPr>
          </w:p>
        </w:tc>
        <w:tc>
          <w:tcPr>
            <w:tcW w:w="713" w:type="dxa"/>
            <w:tcBorders>
              <w:top w:val="nil"/>
              <w:left w:val="nil"/>
              <w:bottom w:val="single" w:sz="8" w:space="0" w:color="339966"/>
              <w:right w:val="single" w:sz="4" w:space="0" w:color="339966"/>
            </w:tcBorders>
            <w:shd w:val="clear" w:color="auto" w:fill="CCFFCC"/>
            <w:vAlign w:val="center"/>
          </w:tcPr>
          <w:p w:rsidR="00EB686F" w:rsidRDefault="00EB686F" w:rsidP="00EB686F">
            <w:pPr>
              <w:widowControl/>
              <w:spacing w:line="360" w:lineRule="auto"/>
              <w:jc w:val="center"/>
              <w:rPr>
                <w:kern w:val="0"/>
                <w:sz w:val="18"/>
              </w:rPr>
            </w:pPr>
            <w:r>
              <w:rPr>
                <w:kern w:val="0"/>
                <w:sz w:val="18"/>
              </w:rPr>
              <w:t xml:space="preserve">Demand deposits </w:t>
            </w:r>
          </w:p>
        </w:tc>
        <w:tc>
          <w:tcPr>
            <w:tcW w:w="688" w:type="dxa"/>
            <w:tcBorders>
              <w:top w:val="nil"/>
              <w:left w:val="nil"/>
              <w:bottom w:val="single" w:sz="8" w:space="0" w:color="339966"/>
              <w:right w:val="single" w:sz="4" w:space="0" w:color="339966"/>
            </w:tcBorders>
            <w:shd w:val="clear" w:color="auto" w:fill="CCFFCC"/>
            <w:vAlign w:val="center"/>
          </w:tcPr>
          <w:p w:rsidR="00EB686F" w:rsidRDefault="00EB686F" w:rsidP="00EB686F">
            <w:pPr>
              <w:widowControl/>
              <w:spacing w:line="360" w:lineRule="auto"/>
              <w:jc w:val="center"/>
              <w:rPr>
                <w:kern w:val="0"/>
                <w:sz w:val="18"/>
              </w:rPr>
            </w:pPr>
            <w:r>
              <w:rPr>
                <w:kern w:val="0"/>
                <w:sz w:val="18"/>
              </w:rPr>
              <w:t>Within 3 months</w:t>
            </w:r>
          </w:p>
        </w:tc>
        <w:tc>
          <w:tcPr>
            <w:tcW w:w="855" w:type="dxa"/>
            <w:tcBorders>
              <w:top w:val="nil"/>
              <w:left w:val="nil"/>
              <w:bottom w:val="single" w:sz="8" w:space="0" w:color="339966"/>
              <w:right w:val="single" w:sz="4" w:space="0" w:color="339966"/>
            </w:tcBorders>
            <w:shd w:val="clear" w:color="auto" w:fill="CCFFCC"/>
            <w:vAlign w:val="center"/>
          </w:tcPr>
          <w:p w:rsidR="00EB686F" w:rsidRDefault="00EB686F" w:rsidP="00EB686F">
            <w:pPr>
              <w:widowControl/>
              <w:spacing w:line="360" w:lineRule="auto"/>
              <w:jc w:val="center"/>
              <w:rPr>
                <w:kern w:val="0"/>
                <w:sz w:val="18"/>
              </w:rPr>
            </w:pPr>
            <w:r>
              <w:rPr>
                <w:kern w:val="0"/>
                <w:sz w:val="18"/>
              </w:rPr>
              <w:t>3–6 months (including 3 months)</w:t>
            </w:r>
          </w:p>
        </w:tc>
        <w:tc>
          <w:tcPr>
            <w:tcW w:w="810" w:type="dxa"/>
            <w:tcBorders>
              <w:top w:val="nil"/>
              <w:left w:val="nil"/>
              <w:bottom w:val="single" w:sz="8" w:space="0" w:color="339966"/>
              <w:right w:val="single" w:sz="4" w:space="0" w:color="339966"/>
            </w:tcBorders>
            <w:shd w:val="clear" w:color="auto" w:fill="CCFFCC"/>
            <w:vAlign w:val="center"/>
          </w:tcPr>
          <w:p w:rsidR="00EB686F" w:rsidRDefault="00EB686F" w:rsidP="00EB686F">
            <w:pPr>
              <w:widowControl/>
              <w:spacing w:line="360" w:lineRule="auto"/>
              <w:jc w:val="center"/>
              <w:rPr>
                <w:kern w:val="0"/>
                <w:sz w:val="18"/>
              </w:rPr>
            </w:pPr>
            <w:r>
              <w:rPr>
                <w:kern w:val="0"/>
                <w:sz w:val="18"/>
              </w:rPr>
              <w:t>6–12 months</w:t>
            </w:r>
          </w:p>
          <w:p w:rsidR="00EB686F" w:rsidRDefault="00EB686F" w:rsidP="00EB686F">
            <w:pPr>
              <w:widowControl/>
              <w:spacing w:line="360" w:lineRule="auto"/>
              <w:jc w:val="center"/>
              <w:rPr>
                <w:kern w:val="0"/>
                <w:sz w:val="18"/>
              </w:rPr>
            </w:pPr>
            <w:r>
              <w:rPr>
                <w:kern w:val="0"/>
                <w:sz w:val="18"/>
              </w:rPr>
              <w:t>(including 6 months)</w:t>
            </w:r>
          </w:p>
        </w:tc>
        <w:tc>
          <w:tcPr>
            <w:tcW w:w="639" w:type="dxa"/>
            <w:tcBorders>
              <w:top w:val="nil"/>
              <w:left w:val="nil"/>
              <w:bottom w:val="single" w:sz="8" w:space="0" w:color="339966"/>
              <w:right w:val="single" w:sz="4" w:space="0" w:color="339966"/>
            </w:tcBorders>
            <w:shd w:val="clear" w:color="auto" w:fill="CCFFCC"/>
            <w:vAlign w:val="center"/>
          </w:tcPr>
          <w:p w:rsidR="00EB686F" w:rsidRDefault="00EB686F" w:rsidP="00EB686F">
            <w:pPr>
              <w:widowControl/>
              <w:spacing w:line="360" w:lineRule="auto"/>
              <w:jc w:val="center"/>
              <w:rPr>
                <w:kern w:val="0"/>
                <w:sz w:val="18"/>
              </w:rPr>
            </w:pPr>
            <w:r>
              <w:rPr>
                <w:kern w:val="0"/>
                <w:sz w:val="18"/>
              </w:rPr>
              <w:t xml:space="preserve">1 year </w:t>
            </w:r>
          </w:p>
        </w:tc>
        <w:tc>
          <w:tcPr>
            <w:tcW w:w="685" w:type="dxa"/>
            <w:tcBorders>
              <w:top w:val="nil"/>
              <w:left w:val="nil"/>
              <w:bottom w:val="single" w:sz="8" w:space="0" w:color="339966"/>
              <w:right w:val="nil"/>
            </w:tcBorders>
            <w:shd w:val="clear" w:color="auto" w:fill="CCFFCC"/>
            <w:vAlign w:val="center"/>
          </w:tcPr>
          <w:p w:rsidR="00EB686F" w:rsidRDefault="00EB686F" w:rsidP="00EB686F">
            <w:pPr>
              <w:widowControl/>
              <w:spacing w:line="360" w:lineRule="auto"/>
              <w:jc w:val="center"/>
              <w:rPr>
                <w:kern w:val="0"/>
                <w:sz w:val="18"/>
              </w:rPr>
            </w:pPr>
            <w:r>
              <w:rPr>
                <w:kern w:val="0"/>
                <w:sz w:val="18"/>
              </w:rPr>
              <w:t>More than 1 year</w:t>
            </w:r>
          </w:p>
        </w:tc>
        <w:tc>
          <w:tcPr>
            <w:tcW w:w="690" w:type="dxa"/>
            <w:tcBorders>
              <w:top w:val="nil"/>
              <w:left w:val="single" w:sz="8" w:space="0" w:color="339966"/>
              <w:bottom w:val="single" w:sz="8" w:space="0" w:color="339966"/>
              <w:right w:val="single" w:sz="4" w:space="0" w:color="339966"/>
            </w:tcBorders>
            <w:shd w:val="clear" w:color="auto" w:fill="CCFFCC"/>
            <w:vAlign w:val="center"/>
          </w:tcPr>
          <w:p w:rsidR="00EB686F" w:rsidRDefault="00EB686F" w:rsidP="00EB686F">
            <w:pPr>
              <w:widowControl/>
              <w:spacing w:line="360" w:lineRule="auto"/>
              <w:jc w:val="center"/>
              <w:rPr>
                <w:kern w:val="0"/>
                <w:sz w:val="18"/>
              </w:rPr>
            </w:pPr>
            <w:r>
              <w:rPr>
                <w:kern w:val="0"/>
                <w:sz w:val="18"/>
              </w:rPr>
              <w:t>Within</w:t>
            </w:r>
          </w:p>
          <w:p w:rsidR="00EB686F" w:rsidRDefault="00EB686F" w:rsidP="00EB686F">
            <w:pPr>
              <w:widowControl/>
              <w:spacing w:line="360" w:lineRule="auto"/>
              <w:jc w:val="center"/>
              <w:rPr>
                <w:kern w:val="0"/>
                <w:sz w:val="18"/>
              </w:rPr>
            </w:pPr>
            <w:r>
              <w:rPr>
                <w:kern w:val="0"/>
                <w:sz w:val="18"/>
              </w:rPr>
              <w:t xml:space="preserve">3 months </w:t>
            </w:r>
          </w:p>
        </w:tc>
        <w:tc>
          <w:tcPr>
            <w:tcW w:w="862" w:type="dxa"/>
            <w:tcBorders>
              <w:top w:val="nil"/>
              <w:left w:val="nil"/>
              <w:bottom w:val="single" w:sz="8" w:space="0" w:color="339966"/>
              <w:right w:val="single" w:sz="4" w:space="0" w:color="339966"/>
            </w:tcBorders>
            <w:shd w:val="clear" w:color="auto" w:fill="CCFFCC"/>
            <w:vAlign w:val="center"/>
          </w:tcPr>
          <w:p w:rsidR="00EB686F" w:rsidRDefault="00EB686F" w:rsidP="00EB686F">
            <w:pPr>
              <w:widowControl/>
              <w:spacing w:line="360" w:lineRule="auto"/>
              <w:jc w:val="center"/>
              <w:rPr>
                <w:kern w:val="0"/>
                <w:sz w:val="18"/>
              </w:rPr>
            </w:pPr>
            <w:r>
              <w:rPr>
                <w:kern w:val="0"/>
                <w:sz w:val="18"/>
              </w:rPr>
              <w:t>3–6 months (including 3 months)</w:t>
            </w:r>
          </w:p>
        </w:tc>
        <w:tc>
          <w:tcPr>
            <w:tcW w:w="810" w:type="dxa"/>
            <w:tcBorders>
              <w:top w:val="nil"/>
              <w:left w:val="nil"/>
              <w:bottom w:val="single" w:sz="8" w:space="0" w:color="339966"/>
              <w:right w:val="single" w:sz="4" w:space="0" w:color="339966"/>
            </w:tcBorders>
            <w:shd w:val="clear" w:color="auto" w:fill="CCFFCC"/>
            <w:vAlign w:val="center"/>
          </w:tcPr>
          <w:p w:rsidR="00EB686F" w:rsidRDefault="00EB686F" w:rsidP="00EB686F">
            <w:pPr>
              <w:widowControl/>
              <w:spacing w:line="360" w:lineRule="auto"/>
              <w:jc w:val="center"/>
              <w:rPr>
                <w:kern w:val="0"/>
                <w:sz w:val="18"/>
              </w:rPr>
            </w:pPr>
            <w:r>
              <w:rPr>
                <w:kern w:val="0"/>
                <w:sz w:val="18"/>
              </w:rPr>
              <w:t>6–12 months</w:t>
            </w:r>
          </w:p>
          <w:p w:rsidR="00EB686F" w:rsidRDefault="00EB686F" w:rsidP="00EB686F">
            <w:pPr>
              <w:widowControl/>
              <w:spacing w:line="360" w:lineRule="auto"/>
              <w:jc w:val="center"/>
              <w:rPr>
                <w:kern w:val="0"/>
                <w:sz w:val="18"/>
              </w:rPr>
            </w:pPr>
            <w:r>
              <w:rPr>
                <w:kern w:val="0"/>
                <w:sz w:val="18"/>
              </w:rPr>
              <w:t>(including 6 months)</w:t>
            </w:r>
          </w:p>
        </w:tc>
        <w:tc>
          <w:tcPr>
            <w:tcW w:w="576" w:type="dxa"/>
            <w:tcBorders>
              <w:top w:val="nil"/>
              <w:left w:val="nil"/>
              <w:bottom w:val="single" w:sz="8" w:space="0" w:color="339966"/>
              <w:right w:val="single" w:sz="4" w:space="0" w:color="339966"/>
            </w:tcBorders>
            <w:shd w:val="clear" w:color="auto" w:fill="CCFFCC"/>
            <w:vAlign w:val="center"/>
          </w:tcPr>
          <w:p w:rsidR="00EB686F" w:rsidRDefault="00EB686F" w:rsidP="00EB686F">
            <w:pPr>
              <w:widowControl/>
              <w:spacing w:line="360" w:lineRule="auto"/>
              <w:jc w:val="center"/>
              <w:rPr>
                <w:kern w:val="0"/>
                <w:sz w:val="18"/>
              </w:rPr>
            </w:pPr>
            <w:r>
              <w:rPr>
                <w:kern w:val="0"/>
                <w:sz w:val="18"/>
              </w:rPr>
              <w:t xml:space="preserve">1 year </w:t>
            </w:r>
          </w:p>
        </w:tc>
        <w:tc>
          <w:tcPr>
            <w:tcW w:w="663" w:type="dxa"/>
            <w:tcBorders>
              <w:top w:val="nil"/>
              <w:left w:val="nil"/>
              <w:bottom w:val="single" w:sz="8" w:space="0" w:color="339966"/>
              <w:right w:val="nil"/>
            </w:tcBorders>
            <w:shd w:val="clear" w:color="auto" w:fill="CCFFCC"/>
            <w:vAlign w:val="center"/>
          </w:tcPr>
          <w:p w:rsidR="00EB686F" w:rsidRDefault="00EB686F" w:rsidP="00EB686F">
            <w:pPr>
              <w:widowControl/>
              <w:spacing w:line="360" w:lineRule="auto"/>
              <w:jc w:val="center"/>
              <w:rPr>
                <w:kern w:val="0"/>
                <w:sz w:val="18"/>
                <w:szCs w:val="18"/>
              </w:rPr>
            </w:pPr>
            <w:r>
              <w:rPr>
                <w:kern w:val="0"/>
                <w:sz w:val="18"/>
              </w:rPr>
              <w:t>More than 1 year</w:t>
            </w:r>
          </w:p>
        </w:tc>
      </w:tr>
      <w:tr w:rsidR="00EB686F" w:rsidTr="00EB686F">
        <w:trPr>
          <w:trHeight w:val="319"/>
        </w:trPr>
        <w:tc>
          <w:tcPr>
            <w:tcW w:w="865" w:type="dxa"/>
            <w:tcBorders>
              <w:top w:val="nil"/>
              <w:left w:val="nil"/>
              <w:bottom w:val="nil"/>
              <w:right w:val="single" w:sz="4" w:space="0" w:color="339966"/>
            </w:tcBorders>
            <w:vAlign w:val="center"/>
          </w:tcPr>
          <w:p w:rsidR="00EB686F" w:rsidRDefault="00EB686F" w:rsidP="00EB686F">
            <w:pPr>
              <w:spacing w:line="360" w:lineRule="auto"/>
              <w:jc w:val="center"/>
              <w:rPr>
                <w:sz w:val="18"/>
                <w:szCs w:val="18"/>
              </w:rPr>
            </w:pPr>
            <w:r>
              <w:rPr>
                <w:sz w:val="18"/>
                <w:szCs w:val="18"/>
              </w:rPr>
              <w:t xml:space="preserve">January </w:t>
            </w:r>
          </w:p>
        </w:tc>
        <w:tc>
          <w:tcPr>
            <w:tcW w:w="713" w:type="dxa"/>
            <w:tcBorders>
              <w:top w:val="nil"/>
              <w:left w:val="nil"/>
              <w:bottom w:val="nil"/>
              <w:right w:val="single" w:sz="4" w:space="0" w:color="339966"/>
            </w:tcBorders>
            <w:shd w:val="clear" w:color="auto" w:fill="FFFFFF"/>
          </w:tcPr>
          <w:p w:rsidR="00EB686F" w:rsidRDefault="00EB686F" w:rsidP="00EB686F">
            <w:pPr>
              <w:spacing w:line="360" w:lineRule="auto"/>
              <w:jc w:val="center"/>
              <w:rPr>
                <w:color w:val="000000"/>
                <w:sz w:val="18"/>
                <w:szCs w:val="18"/>
              </w:rPr>
            </w:pPr>
            <w:r>
              <w:rPr>
                <w:sz w:val="18"/>
                <w:szCs w:val="18"/>
              </w:rPr>
              <w:t>0.19</w:t>
            </w:r>
          </w:p>
        </w:tc>
        <w:tc>
          <w:tcPr>
            <w:tcW w:w="688" w:type="dxa"/>
            <w:tcBorders>
              <w:top w:val="nil"/>
              <w:left w:val="nil"/>
              <w:bottom w:val="nil"/>
              <w:right w:val="single" w:sz="4" w:space="0" w:color="339966"/>
            </w:tcBorders>
            <w:shd w:val="clear" w:color="auto" w:fill="FFFFFF"/>
          </w:tcPr>
          <w:p w:rsidR="00EB686F" w:rsidRDefault="00EB686F" w:rsidP="00EB686F">
            <w:pPr>
              <w:spacing w:line="360" w:lineRule="auto"/>
              <w:jc w:val="center"/>
              <w:rPr>
                <w:color w:val="000000"/>
                <w:sz w:val="18"/>
                <w:szCs w:val="18"/>
              </w:rPr>
            </w:pPr>
            <w:r>
              <w:rPr>
                <w:sz w:val="18"/>
                <w:szCs w:val="18"/>
              </w:rPr>
              <w:t>1.79</w:t>
            </w:r>
          </w:p>
        </w:tc>
        <w:tc>
          <w:tcPr>
            <w:tcW w:w="855" w:type="dxa"/>
            <w:tcBorders>
              <w:top w:val="nil"/>
              <w:left w:val="nil"/>
              <w:bottom w:val="nil"/>
              <w:right w:val="single" w:sz="4" w:space="0" w:color="339966"/>
            </w:tcBorders>
            <w:shd w:val="clear" w:color="auto" w:fill="FFFFFF"/>
          </w:tcPr>
          <w:p w:rsidR="00EB686F" w:rsidRDefault="00EB686F" w:rsidP="00EB686F">
            <w:pPr>
              <w:spacing w:line="360" w:lineRule="auto"/>
              <w:jc w:val="center"/>
              <w:rPr>
                <w:color w:val="000000"/>
                <w:sz w:val="18"/>
                <w:szCs w:val="18"/>
              </w:rPr>
            </w:pPr>
            <w:r>
              <w:rPr>
                <w:sz w:val="18"/>
                <w:szCs w:val="18"/>
              </w:rPr>
              <w:t>2.37</w:t>
            </w:r>
          </w:p>
        </w:tc>
        <w:tc>
          <w:tcPr>
            <w:tcW w:w="810" w:type="dxa"/>
            <w:tcBorders>
              <w:top w:val="nil"/>
              <w:left w:val="nil"/>
              <w:bottom w:val="nil"/>
              <w:right w:val="single" w:sz="4" w:space="0" w:color="339966"/>
            </w:tcBorders>
            <w:shd w:val="clear" w:color="auto" w:fill="FFFFFF"/>
          </w:tcPr>
          <w:p w:rsidR="00EB686F" w:rsidRDefault="00EB686F" w:rsidP="00EB686F">
            <w:pPr>
              <w:spacing w:line="360" w:lineRule="auto"/>
              <w:jc w:val="center"/>
              <w:rPr>
                <w:color w:val="000000"/>
                <w:sz w:val="18"/>
                <w:szCs w:val="18"/>
              </w:rPr>
            </w:pPr>
            <w:r>
              <w:rPr>
                <w:sz w:val="18"/>
                <w:szCs w:val="18"/>
              </w:rPr>
              <w:t>2.61</w:t>
            </w:r>
          </w:p>
        </w:tc>
        <w:tc>
          <w:tcPr>
            <w:tcW w:w="639" w:type="dxa"/>
            <w:tcBorders>
              <w:top w:val="nil"/>
              <w:left w:val="nil"/>
              <w:bottom w:val="nil"/>
              <w:right w:val="single" w:sz="4" w:space="0" w:color="339966"/>
            </w:tcBorders>
            <w:shd w:val="clear" w:color="auto" w:fill="FFFFFF"/>
          </w:tcPr>
          <w:p w:rsidR="00EB686F" w:rsidRDefault="00EB686F" w:rsidP="00EB686F">
            <w:pPr>
              <w:spacing w:line="360" w:lineRule="auto"/>
              <w:jc w:val="center"/>
              <w:rPr>
                <w:color w:val="000000"/>
                <w:sz w:val="18"/>
                <w:szCs w:val="18"/>
              </w:rPr>
            </w:pPr>
            <w:r>
              <w:rPr>
                <w:sz w:val="18"/>
                <w:szCs w:val="18"/>
              </w:rPr>
              <w:t>2.77</w:t>
            </w:r>
          </w:p>
        </w:tc>
        <w:tc>
          <w:tcPr>
            <w:tcW w:w="685" w:type="dxa"/>
            <w:shd w:val="clear" w:color="auto" w:fill="FFFFFF"/>
          </w:tcPr>
          <w:p w:rsidR="00EB686F" w:rsidRDefault="00EB686F" w:rsidP="00EB686F">
            <w:pPr>
              <w:spacing w:line="360" w:lineRule="auto"/>
              <w:jc w:val="center"/>
              <w:rPr>
                <w:color w:val="000000"/>
                <w:sz w:val="18"/>
                <w:szCs w:val="18"/>
              </w:rPr>
            </w:pPr>
            <w:r>
              <w:rPr>
                <w:sz w:val="18"/>
                <w:szCs w:val="18"/>
              </w:rPr>
              <w:t>2.87</w:t>
            </w:r>
          </w:p>
        </w:tc>
        <w:tc>
          <w:tcPr>
            <w:tcW w:w="690" w:type="dxa"/>
            <w:tcBorders>
              <w:top w:val="nil"/>
              <w:left w:val="single" w:sz="8" w:space="0" w:color="339966"/>
              <w:bottom w:val="nil"/>
              <w:right w:val="single" w:sz="4" w:space="0" w:color="339966"/>
            </w:tcBorders>
            <w:shd w:val="clear" w:color="auto" w:fill="FFFFFF"/>
          </w:tcPr>
          <w:p w:rsidR="00EB686F" w:rsidRDefault="00EB686F" w:rsidP="00EB686F">
            <w:pPr>
              <w:spacing w:line="360" w:lineRule="auto"/>
              <w:jc w:val="center"/>
              <w:rPr>
                <w:color w:val="000000"/>
                <w:sz w:val="18"/>
                <w:szCs w:val="18"/>
              </w:rPr>
            </w:pPr>
            <w:r>
              <w:rPr>
                <w:sz w:val="18"/>
                <w:szCs w:val="18"/>
              </w:rPr>
              <w:t>2.72</w:t>
            </w:r>
          </w:p>
        </w:tc>
        <w:tc>
          <w:tcPr>
            <w:tcW w:w="862" w:type="dxa"/>
            <w:tcBorders>
              <w:top w:val="nil"/>
              <w:left w:val="nil"/>
              <w:bottom w:val="nil"/>
              <w:right w:val="single" w:sz="4" w:space="0" w:color="339966"/>
            </w:tcBorders>
            <w:shd w:val="clear" w:color="auto" w:fill="FFFFFF"/>
          </w:tcPr>
          <w:p w:rsidR="00EB686F" w:rsidRDefault="00EB686F" w:rsidP="00EB686F">
            <w:pPr>
              <w:spacing w:line="360" w:lineRule="auto"/>
              <w:jc w:val="center"/>
              <w:rPr>
                <w:color w:val="000000"/>
                <w:sz w:val="18"/>
                <w:szCs w:val="18"/>
              </w:rPr>
            </w:pPr>
            <w:r>
              <w:rPr>
                <w:sz w:val="18"/>
                <w:szCs w:val="18"/>
              </w:rPr>
              <w:t>3.10</w:t>
            </w:r>
          </w:p>
        </w:tc>
        <w:tc>
          <w:tcPr>
            <w:tcW w:w="810" w:type="dxa"/>
            <w:tcBorders>
              <w:top w:val="nil"/>
              <w:left w:val="nil"/>
              <w:bottom w:val="nil"/>
              <w:right w:val="single" w:sz="4" w:space="0" w:color="339966"/>
            </w:tcBorders>
            <w:shd w:val="clear" w:color="auto" w:fill="FFFFFF"/>
          </w:tcPr>
          <w:p w:rsidR="00EB686F" w:rsidRDefault="00EB686F" w:rsidP="00EB686F">
            <w:pPr>
              <w:spacing w:line="360" w:lineRule="auto"/>
              <w:jc w:val="center"/>
              <w:rPr>
                <w:color w:val="000000"/>
                <w:sz w:val="18"/>
                <w:szCs w:val="18"/>
              </w:rPr>
            </w:pPr>
            <w:r>
              <w:rPr>
                <w:sz w:val="18"/>
                <w:szCs w:val="18"/>
              </w:rPr>
              <w:t>2.84</w:t>
            </w:r>
          </w:p>
        </w:tc>
        <w:tc>
          <w:tcPr>
            <w:tcW w:w="576" w:type="dxa"/>
            <w:tcBorders>
              <w:top w:val="nil"/>
              <w:left w:val="nil"/>
              <w:bottom w:val="nil"/>
              <w:right w:val="single" w:sz="4" w:space="0" w:color="339966"/>
            </w:tcBorders>
            <w:shd w:val="clear" w:color="auto" w:fill="FFFFFF"/>
          </w:tcPr>
          <w:p w:rsidR="00EB686F" w:rsidRDefault="00EB686F" w:rsidP="00EB686F">
            <w:pPr>
              <w:spacing w:line="360" w:lineRule="auto"/>
              <w:jc w:val="center"/>
              <w:rPr>
                <w:color w:val="000000"/>
                <w:sz w:val="18"/>
                <w:szCs w:val="18"/>
              </w:rPr>
            </w:pPr>
            <w:r>
              <w:rPr>
                <w:sz w:val="18"/>
                <w:szCs w:val="18"/>
              </w:rPr>
              <w:t>3.04</w:t>
            </w:r>
          </w:p>
        </w:tc>
        <w:tc>
          <w:tcPr>
            <w:tcW w:w="663" w:type="dxa"/>
            <w:shd w:val="clear" w:color="auto" w:fill="FFFFFF"/>
          </w:tcPr>
          <w:p w:rsidR="00EB686F" w:rsidRDefault="00EB686F" w:rsidP="00EB686F">
            <w:pPr>
              <w:spacing w:line="360" w:lineRule="auto"/>
              <w:jc w:val="center"/>
              <w:rPr>
                <w:color w:val="000000"/>
                <w:sz w:val="18"/>
                <w:szCs w:val="18"/>
              </w:rPr>
            </w:pPr>
            <w:r>
              <w:rPr>
                <w:sz w:val="18"/>
                <w:szCs w:val="18"/>
              </w:rPr>
              <w:t>4.48</w:t>
            </w:r>
          </w:p>
        </w:tc>
      </w:tr>
      <w:tr w:rsidR="00EB686F" w:rsidTr="00EB686F">
        <w:trPr>
          <w:trHeight w:val="319"/>
        </w:trPr>
        <w:tc>
          <w:tcPr>
            <w:tcW w:w="865" w:type="dxa"/>
            <w:tcBorders>
              <w:top w:val="nil"/>
              <w:left w:val="nil"/>
              <w:bottom w:val="nil"/>
              <w:right w:val="single" w:sz="4" w:space="0" w:color="339966"/>
            </w:tcBorders>
            <w:shd w:val="clear" w:color="auto" w:fill="CCFFCC"/>
            <w:vAlign w:val="center"/>
          </w:tcPr>
          <w:p w:rsidR="00EB686F" w:rsidRDefault="00EB686F" w:rsidP="00EB686F">
            <w:pPr>
              <w:spacing w:line="360" w:lineRule="auto"/>
              <w:jc w:val="center"/>
              <w:rPr>
                <w:sz w:val="18"/>
                <w:szCs w:val="18"/>
              </w:rPr>
            </w:pPr>
            <w:r>
              <w:rPr>
                <w:sz w:val="18"/>
                <w:szCs w:val="18"/>
              </w:rPr>
              <w:t>February</w:t>
            </w:r>
          </w:p>
        </w:tc>
        <w:tc>
          <w:tcPr>
            <w:tcW w:w="713" w:type="dxa"/>
            <w:tcBorders>
              <w:top w:val="nil"/>
              <w:left w:val="nil"/>
              <w:bottom w:val="nil"/>
              <w:right w:val="single" w:sz="4" w:space="0" w:color="339966"/>
            </w:tcBorders>
            <w:shd w:val="clear" w:color="auto" w:fill="CCFFCC"/>
          </w:tcPr>
          <w:p w:rsidR="00EB686F" w:rsidRDefault="00EB686F" w:rsidP="00EB686F">
            <w:pPr>
              <w:spacing w:line="360" w:lineRule="auto"/>
              <w:jc w:val="center"/>
              <w:rPr>
                <w:color w:val="000000"/>
                <w:sz w:val="18"/>
                <w:szCs w:val="18"/>
              </w:rPr>
            </w:pPr>
            <w:r>
              <w:rPr>
                <w:sz w:val="18"/>
                <w:szCs w:val="18"/>
              </w:rPr>
              <w:t>0.18</w:t>
            </w:r>
          </w:p>
        </w:tc>
        <w:tc>
          <w:tcPr>
            <w:tcW w:w="688" w:type="dxa"/>
            <w:tcBorders>
              <w:top w:val="nil"/>
              <w:left w:val="nil"/>
              <w:bottom w:val="nil"/>
              <w:right w:val="single" w:sz="4" w:space="0" w:color="339966"/>
            </w:tcBorders>
            <w:shd w:val="clear" w:color="auto" w:fill="CCFFCC"/>
          </w:tcPr>
          <w:p w:rsidR="00EB686F" w:rsidRDefault="00EB686F" w:rsidP="00EB686F">
            <w:pPr>
              <w:spacing w:line="360" w:lineRule="auto"/>
              <w:jc w:val="center"/>
              <w:rPr>
                <w:color w:val="000000"/>
                <w:sz w:val="18"/>
                <w:szCs w:val="18"/>
              </w:rPr>
            </w:pPr>
            <w:r>
              <w:rPr>
                <w:sz w:val="18"/>
                <w:szCs w:val="18"/>
              </w:rPr>
              <w:t>1.82</w:t>
            </w:r>
          </w:p>
        </w:tc>
        <w:tc>
          <w:tcPr>
            <w:tcW w:w="855" w:type="dxa"/>
            <w:tcBorders>
              <w:top w:val="nil"/>
              <w:left w:val="nil"/>
              <w:bottom w:val="nil"/>
              <w:right w:val="single" w:sz="4" w:space="0" w:color="339966"/>
            </w:tcBorders>
            <w:shd w:val="clear" w:color="auto" w:fill="CCFFCC"/>
          </w:tcPr>
          <w:p w:rsidR="00EB686F" w:rsidRDefault="00EB686F" w:rsidP="00EB686F">
            <w:pPr>
              <w:spacing w:line="360" w:lineRule="auto"/>
              <w:jc w:val="center"/>
              <w:rPr>
                <w:color w:val="000000"/>
                <w:sz w:val="18"/>
                <w:szCs w:val="18"/>
              </w:rPr>
            </w:pPr>
            <w:r>
              <w:rPr>
                <w:sz w:val="18"/>
                <w:szCs w:val="18"/>
              </w:rPr>
              <w:t>2.39</w:t>
            </w:r>
          </w:p>
        </w:tc>
        <w:tc>
          <w:tcPr>
            <w:tcW w:w="810" w:type="dxa"/>
            <w:tcBorders>
              <w:top w:val="nil"/>
              <w:left w:val="nil"/>
              <w:bottom w:val="nil"/>
              <w:right w:val="single" w:sz="4" w:space="0" w:color="339966"/>
            </w:tcBorders>
            <w:shd w:val="clear" w:color="auto" w:fill="CCFFCC"/>
          </w:tcPr>
          <w:p w:rsidR="00EB686F" w:rsidRDefault="00EB686F" w:rsidP="00EB686F">
            <w:pPr>
              <w:spacing w:line="360" w:lineRule="auto"/>
              <w:jc w:val="center"/>
              <w:rPr>
                <w:color w:val="000000"/>
                <w:sz w:val="18"/>
                <w:szCs w:val="18"/>
              </w:rPr>
            </w:pPr>
            <w:r>
              <w:rPr>
                <w:sz w:val="18"/>
                <w:szCs w:val="18"/>
              </w:rPr>
              <w:t>2.70</w:t>
            </w:r>
          </w:p>
        </w:tc>
        <w:tc>
          <w:tcPr>
            <w:tcW w:w="639" w:type="dxa"/>
            <w:tcBorders>
              <w:top w:val="nil"/>
              <w:left w:val="nil"/>
              <w:bottom w:val="nil"/>
              <w:right w:val="single" w:sz="4" w:space="0" w:color="339966"/>
            </w:tcBorders>
            <w:shd w:val="clear" w:color="auto" w:fill="CCFFCC"/>
          </w:tcPr>
          <w:p w:rsidR="00EB686F" w:rsidRDefault="00EB686F" w:rsidP="00EB686F">
            <w:pPr>
              <w:spacing w:line="360" w:lineRule="auto"/>
              <w:jc w:val="center"/>
              <w:rPr>
                <w:color w:val="000000"/>
                <w:sz w:val="18"/>
                <w:szCs w:val="18"/>
              </w:rPr>
            </w:pPr>
            <w:r>
              <w:rPr>
                <w:sz w:val="18"/>
                <w:szCs w:val="18"/>
              </w:rPr>
              <w:t>2.97</w:t>
            </w:r>
          </w:p>
        </w:tc>
        <w:tc>
          <w:tcPr>
            <w:tcW w:w="685" w:type="dxa"/>
            <w:shd w:val="clear" w:color="auto" w:fill="CCFFCC"/>
          </w:tcPr>
          <w:p w:rsidR="00EB686F" w:rsidRDefault="00EB686F" w:rsidP="00EB686F">
            <w:pPr>
              <w:spacing w:line="360" w:lineRule="auto"/>
              <w:jc w:val="center"/>
              <w:rPr>
                <w:color w:val="000000"/>
                <w:sz w:val="18"/>
                <w:szCs w:val="18"/>
              </w:rPr>
            </w:pPr>
            <w:r>
              <w:rPr>
                <w:sz w:val="18"/>
                <w:szCs w:val="18"/>
              </w:rPr>
              <w:t>2.81</w:t>
            </w:r>
          </w:p>
        </w:tc>
        <w:tc>
          <w:tcPr>
            <w:tcW w:w="690" w:type="dxa"/>
            <w:tcBorders>
              <w:top w:val="nil"/>
              <w:left w:val="single" w:sz="8" w:space="0" w:color="339966"/>
              <w:bottom w:val="nil"/>
              <w:right w:val="single" w:sz="4" w:space="0" w:color="339966"/>
            </w:tcBorders>
            <w:shd w:val="clear" w:color="auto" w:fill="CCFFCC"/>
          </w:tcPr>
          <w:p w:rsidR="00EB686F" w:rsidRDefault="00EB686F" w:rsidP="00EB686F">
            <w:pPr>
              <w:spacing w:line="360" w:lineRule="auto"/>
              <w:jc w:val="center"/>
              <w:rPr>
                <w:color w:val="000000"/>
                <w:sz w:val="18"/>
                <w:szCs w:val="18"/>
              </w:rPr>
            </w:pPr>
            <w:r>
              <w:rPr>
                <w:sz w:val="18"/>
                <w:szCs w:val="18"/>
              </w:rPr>
              <w:t>2.79</w:t>
            </w:r>
          </w:p>
        </w:tc>
        <w:tc>
          <w:tcPr>
            <w:tcW w:w="862" w:type="dxa"/>
            <w:tcBorders>
              <w:top w:val="nil"/>
              <w:left w:val="nil"/>
              <w:bottom w:val="nil"/>
              <w:right w:val="single" w:sz="4" w:space="0" w:color="339966"/>
            </w:tcBorders>
            <w:shd w:val="clear" w:color="auto" w:fill="CCFFCC"/>
          </w:tcPr>
          <w:p w:rsidR="00EB686F" w:rsidRDefault="00EB686F" w:rsidP="00EB686F">
            <w:pPr>
              <w:spacing w:line="360" w:lineRule="auto"/>
              <w:jc w:val="center"/>
              <w:rPr>
                <w:color w:val="000000"/>
                <w:sz w:val="18"/>
                <w:szCs w:val="18"/>
              </w:rPr>
            </w:pPr>
            <w:r>
              <w:rPr>
                <w:sz w:val="18"/>
                <w:szCs w:val="18"/>
              </w:rPr>
              <w:t>3.28</w:t>
            </w:r>
          </w:p>
        </w:tc>
        <w:tc>
          <w:tcPr>
            <w:tcW w:w="810" w:type="dxa"/>
            <w:tcBorders>
              <w:top w:val="nil"/>
              <w:left w:val="nil"/>
              <w:bottom w:val="nil"/>
              <w:right w:val="single" w:sz="4" w:space="0" w:color="339966"/>
            </w:tcBorders>
            <w:shd w:val="clear" w:color="auto" w:fill="CCFFCC"/>
          </w:tcPr>
          <w:p w:rsidR="00EB686F" w:rsidRDefault="00EB686F" w:rsidP="00EB686F">
            <w:pPr>
              <w:spacing w:line="360" w:lineRule="auto"/>
              <w:jc w:val="center"/>
              <w:rPr>
                <w:color w:val="000000"/>
                <w:sz w:val="18"/>
                <w:szCs w:val="18"/>
              </w:rPr>
            </w:pPr>
            <w:r>
              <w:rPr>
                <w:sz w:val="18"/>
                <w:szCs w:val="18"/>
              </w:rPr>
              <w:t>2.95</w:t>
            </w:r>
          </w:p>
        </w:tc>
        <w:tc>
          <w:tcPr>
            <w:tcW w:w="576" w:type="dxa"/>
            <w:tcBorders>
              <w:top w:val="nil"/>
              <w:left w:val="nil"/>
              <w:bottom w:val="nil"/>
              <w:right w:val="single" w:sz="4" w:space="0" w:color="339966"/>
            </w:tcBorders>
            <w:shd w:val="clear" w:color="auto" w:fill="CCFFCC"/>
          </w:tcPr>
          <w:p w:rsidR="00EB686F" w:rsidRDefault="00EB686F" w:rsidP="00EB686F">
            <w:pPr>
              <w:spacing w:line="360" w:lineRule="auto"/>
              <w:jc w:val="center"/>
              <w:rPr>
                <w:color w:val="000000"/>
                <w:sz w:val="18"/>
                <w:szCs w:val="18"/>
              </w:rPr>
            </w:pPr>
            <w:r>
              <w:rPr>
                <w:sz w:val="18"/>
                <w:szCs w:val="18"/>
              </w:rPr>
              <w:t>3.21</w:t>
            </w:r>
          </w:p>
        </w:tc>
        <w:tc>
          <w:tcPr>
            <w:tcW w:w="663" w:type="dxa"/>
            <w:shd w:val="clear" w:color="auto" w:fill="CCFFCC"/>
          </w:tcPr>
          <w:p w:rsidR="00EB686F" w:rsidRDefault="00EB686F" w:rsidP="00EB686F">
            <w:pPr>
              <w:spacing w:line="360" w:lineRule="auto"/>
              <w:jc w:val="center"/>
              <w:rPr>
                <w:color w:val="000000"/>
                <w:sz w:val="18"/>
                <w:szCs w:val="18"/>
              </w:rPr>
            </w:pPr>
            <w:r>
              <w:rPr>
                <w:sz w:val="18"/>
                <w:szCs w:val="18"/>
              </w:rPr>
              <w:t>4.11</w:t>
            </w:r>
          </w:p>
        </w:tc>
      </w:tr>
      <w:tr w:rsidR="00EB686F" w:rsidTr="00EB686F">
        <w:trPr>
          <w:trHeight w:val="319"/>
        </w:trPr>
        <w:tc>
          <w:tcPr>
            <w:tcW w:w="865" w:type="dxa"/>
            <w:tcBorders>
              <w:top w:val="nil"/>
              <w:left w:val="nil"/>
              <w:bottom w:val="nil"/>
              <w:right w:val="single" w:sz="4" w:space="0" w:color="008000"/>
            </w:tcBorders>
            <w:vAlign w:val="center"/>
          </w:tcPr>
          <w:p w:rsidR="00EB686F" w:rsidRDefault="00EB686F" w:rsidP="00EB686F">
            <w:pPr>
              <w:spacing w:line="360" w:lineRule="auto"/>
              <w:jc w:val="center"/>
              <w:rPr>
                <w:sz w:val="18"/>
                <w:szCs w:val="18"/>
              </w:rPr>
            </w:pPr>
            <w:r>
              <w:rPr>
                <w:sz w:val="18"/>
                <w:szCs w:val="18"/>
              </w:rPr>
              <w:t>March</w:t>
            </w:r>
          </w:p>
        </w:tc>
        <w:tc>
          <w:tcPr>
            <w:tcW w:w="713" w:type="dxa"/>
            <w:tcBorders>
              <w:top w:val="nil"/>
              <w:left w:val="single" w:sz="4" w:space="0" w:color="008000"/>
              <w:bottom w:val="nil"/>
              <w:right w:val="single" w:sz="4" w:space="0" w:color="008000"/>
            </w:tcBorders>
            <w:shd w:val="clear" w:color="auto" w:fill="FFFFFF"/>
          </w:tcPr>
          <w:p w:rsidR="00EB686F" w:rsidRDefault="00EB686F" w:rsidP="00EB686F">
            <w:pPr>
              <w:spacing w:line="360" w:lineRule="auto"/>
              <w:jc w:val="center"/>
              <w:rPr>
                <w:color w:val="000000"/>
                <w:sz w:val="18"/>
                <w:szCs w:val="18"/>
              </w:rPr>
            </w:pPr>
            <w:r>
              <w:rPr>
                <w:sz w:val="18"/>
                <w:szCs w:val="18"/>
              </w:rPr>
              <w:t>0.30</w:t>
            </w:r>
          </w:p>
        </w:tc>
        <w:tc>
          <w:tcPr>
            <w:tcW w:w="688" w:type="dxa"/>
            <w:tcBorders>
              <w:top w:val="nil"/>
              <w:left w:val="single" w:sz="4" w:space="0" w:color="008000"/>
              <w:bottom w:val="nil"/>
              <w:right w:val="single" w:sz="4" w:space="0" w:color="008000"/>
            </w:tcBorders>
            <w:shd w:val="clear" w:color="auto" w:fill="FFFFFF"/>
          </w:tcPr>
          <w:p w:rsidR="00EB686F" w:rsidRDefault="00EB686F" w:rsidP="00EB686F">
            <w:pPr>
              <w:spacing w:line="360" w:lineRule="auto"/>
              <w:jc w:val="center"/>
              <w:rPr>
                <w:color w:val="000000"/>
                <w:sz w:val="18"/>
                <w:szCs w:val="18"/>
              </w:rPr>
            </w:pPr>
            <w:r>
              <w:rPr>
                <w:sz w:val="18"/>
                <w:szCs w:val="18"/>
              </w:rPr>
              <w:t>1.92</w:t>
            </w:r>
          </w:p>
        </w:tc>
        <w:tc>
          <w:tcPr>
            <w:tcW w:w="855" w:type="dxa"/>
            <w:tcBorders>
              <w:top w:val="nil"/>
              <w:left w:val="single" w:sz="4" w:space="0" w:color="008000"/>
              <w:bottom w:val="nil"/>
              <w:right w:val="single" w:sz="4" w:space="0" w:color="008000"/>
            </w:tcBorders>
            <w:shd w:val="clear" w:color="auto" w:fill="FFFFFF"/>
          </w:tcPr>
          <w:p w:rsidR="00EB686F" w:rsidRDefault="00EB686F" w:rsidP="00EB686F">
            <w:pPr>
              <w:spacing w:line="360" w:lineRule="auto"/>
              <w:jc w:val="center"/>
              <w:rPr>
                <w:color w:val="000000"/>
                <w:sz w:val="18"/>
                <w:szCs w:val="18"/>
              </w:rPr>
            </w:pPr>
            <w:r>
              <w:rPr>
                <w:sz w:val="18"/>
                <w:szCs w:val="18"/>
              </w:rPr>
              <w:t>2.70</w:t>
            </w:r>
          </w:p>
        </w:tc>
        <w:tc>
          <w:tcPr>
            <w:tcW w:w="810" w:type="dxa"/>
            <w:tcBorders>
              <w:top w:val="nil"/>
              <w:left w:val="single" w:sz="4" w:space="0" w:color="008000"/>
              <w:bottom w:val="nil"/>
              <w:right w:val="single" w:sz="4" w:space="0" w:color="008000"/>
            </w:tcBorders>
            <w:shd w:val="clear" w:color="auto" w:fill="FFFFFF"/>
          </w:tcPr>
          <w:p w:rsidR="00EB686F" w:rsidRDefault="00EB686F" w:rsidP="00EB686F">
            <w:pPr>
              <w:spacing w:line="360" w:lineRule="auto"/>
              <w:jc w:val="center"/>
              <w:rPr>
                <w:color w:val="000000"/>
                <w:sz w:val="18"/>
                <w:szCs w:val="18"/>
              </w:rPr>
            </w:pPr>
            <w:r>
              <w:rPr>
                <w:sz w:val="18"/>
                <w:szCs w:val="18"/>
              </w:rPr>
              <w:t>3.09</w:t>
            </w:r>
          </w:p>
        </w:tc>
        <w:tc>
          <w:tcPr>
            <w:tcW w:w="639" w:type="dxa"/>
            <w:tcBorders>
              <w:top w:val="nil"/>
              <w:left w:val="single" w:sz="4" w:space="0" w:color="008000"/>
              <w:bottom w:val="nil"/>
              <w:right w:val="single" w:sz="4" w:space="0" w:color="008000"/>
            </w:tcBorders>
            <w:shd w:val="clear" w:color="auto" w:fill="FFFFFF"/>
          </w:tcPr>
          <w:p w:rsidR="00EB686F" w:rsidRDefault="00EB686F" w:rsidP="00EB686F">
            <w:pPr>
              <w:spacing w:line="360" w:lineRule="auto"/>
              <w:jc w:val="center"/>
              <w:rPr>
                <w:color w:val="000000"/>
                <w:sz w:val="18"/>
                <w:szCs w:val="18"/>
              </w:rPr>
            </w:pPr>
            <w:r>
              <w:rPr>
                <w:sz w:val="18"/>
                <w:szCs w:val="18"/>
              </w:rPr>
              <w:t>3.28</w:t>
            </w:r>
          </w:p>
        </w:tc>
        <w:tc>
          <w:tcPr>
            <w:tcW w:w="685" w:type="dxa"/>
            <w:tcBorders>
              <w:top w:val="nil"/>
              <w:left w:val="single" w:sz="4" w:space="0" w:color="008000"/>
              <w:bottom w:val="nil"/>
              <w:right w:val="single" w:sz="4" w:space="0" w:color="008000"/>
            </w:tcBorders>
            <w:shd w:val="clear" w:color="auto" w:fill="FFFFFF"/>
          </w:tcPr>
          <w:p w:rsidR="00EB686F" w:rsidRDefault="00EB686F" w:rsidP="00EB686F">
            <w:pPr>
              <w:spacing w:line="360" w:lineRule="auto"/>
              <w:jc w:val="center"/>
              <w:rPr>
                <w:color w:val="000000"/>
                <w:sz w:val="18"/>
                <w:szCs w:val="18"/>
              </w:rPr>
            </w:pPr>
            <w:r>
              <w:rPr>
                <w:sz w:val="18"/>
                <w:szCs w:val="18"/>
              </w:rPr>
              <w:t>3.33</w:t>
            </w:r>
          </w:p>
        </w:tc>
        <w:tc>
          <w:tcPr>
            <w:tcW w:w="690" w:type="dxa"/>
            <w:tcBorders>
              <w:top w:val="nil"/>
              <w:left w:val="single" w:sz="4" w:space="0" w:color="008000"/>
              <w:bottom w:val="nil"/>
              <w:right w:val="single" w:sz="4" w:space="0" w:color="008000"/>
            </w:tcBorders>
            <w:shd w:val="clear" w:color="auto" w:fill="FFFFFF"/>
          </w:tcPr>
          <w:p w:rsidR="00EB686F" w:rsidRDefault="00EB686F" w:rsidP="00EB686F">
            <w:pPr>
              <w:spacing w:line="360" w:lineRule="auto"/>
              <w:jc w:val="center"/>
              <w:rPr>
                <w:color w:val="000000"/>
                <w:sz w:val="18"/>
                <w:szCs w:val="18"/>
              </w:rPr>
            </w:pPr>
            <w:r>
              <w:rPr>
                <w:sz w:val="18"/>
                <w:szCs w:val="18"/>
              </w:rPr>
              <w:t>3.17</w:t>
            </w:r>
          </w:p>
        </w:tc>
        <w:tc>
          <w:tcPr>
            <w:tcW w:w="862" w:type="dxa"/>
            <w:tcBorders>
              <w:top w:val="nil"/>
              <w:left w:val="single" w:sz="4" w:space="0" w:color="008000"/>
              <w:bottom w:val="nil"/>
              <w:right w:val="single" w:sz="4" w:space="0" w:color="008000"/>
            </w:tcBorders>
            <w:shd w:val="clear" w:color="auto" w:fill="FFFFFF"/>
          </w:tcPr>
          <w:p w:rsidR="00EB686F" w:rsidRDefault="00EB686F" w:rsidP="00EB686F">
            <w:pPr>
              <w:spacing w:line="360" w:lineRule="auto"/>
              <w:jc w:val="center"/>
              <w:rPr>
                <w:color w:val="000000"/>
                <w:sz w:val="18"/>
                <w:szCs w:val="18"/>
              </w:rPr>
            </w:pPr>
            <w:r>
              <w:rPr>
                <w:sz w:val="18"/>
                <w:szCs w:val="18"/>
              </w:rPr>
              <w:t>3.42</w:t>
            </w:r>
          </w:p>
        </w:tc>
        <w:tc>
          <w:tcPr>
            <w:tcW w:w="810" w:type="dxa"/>
            <w:tcBorders>
              <w:top w:val="nil"/>
              <w:left w:val="single" w:sz="4" w:space="0" w:color="008000"/>
              <w:bottom w:val="nil"/>
              <w:right w:val="single" w:sz="4" w:space="0" w:color="008000"/>
            </w:tcBorders>
            <w:shd w:val="clear" w:color="auto" w:fill="FFFFFF"/>
          </w:tcPr>
          <w:p w:rsidR="00EB686F" w:rsidRDefault="00EB686F" w:rsidP="00EB686F">
            <w:pPr>
              <w:spacing w:line="360" w:lineRule="auto"/>
              <w:jc w:val="center"/>
              <w:rPr>
                <w:color w:val="000000"/>
                <w:sz w:val="18"/>
                <w:szCs w:val="18"/>
              </w:rPr>
            </w:pPr>
            <w:r>
              <w:rPr>
                <w:sz w:val="18"/>
                <w:szCs w:val="18"/>
              </w:rPr>
              <w:t>3.21</w:t>
            </w:r>
          </w:p>
        </w:tc>
        <w:tc>
          <w:tcPr>
            <w:tcW w:w="576" w:type="dxa"/>
            <w:tcBorders>
              <w:top w:val="nil"/>
              <w:left w:val="single" w:sz="4" w:space="0" w:color="008000"/>
              <w:bottom w:val="nil"/>
              <w:right w:val="single" w:sz="4" w:space="0" w:color="008000"/>
            </w:tcBorders>
            <w:shd w:val="clear" w:color="auto" w:fill="FFFFFF"/>
          </w:tcPr>
          <w:p w:rsidR="00EB686F" w:rsidRDefault="00EB686F" w:rsidP="00EB686F">
            <w:pPr>
              <w:spacing w:line="360" w:lineRule="auto"/>
              <w:jc w:val="center"/>
              <w:rPr>
                <w:color w:val="000000"/>
                <w:sz w:val="18"/>
                <w:szCs w:val="18"/>
              </w:rPr>
            </w:pPr>
            <w:r>
              <w:rPr>
                <w:sz w:val="18"/>
                <w:szCs w:val="18"/>
              </w:rPr>
              <w:t>3.73</w:t>
            </w:r>
          </w:p>
        </w:tc>
        <w:tc>
          <w:tcPr>
            <w:tcW w:w="663" w:type="dxa"/>
            <w:tcBorders>
              <w:top w:val="nil"/>
              <w:left w:val="single" w:sz="4" w:space="0" w:color="008000"/>
              <w:bottom w:val="nil"/>
              <w:right w:val="nil"/>
            </w:tcBorders>
            <w:shd w:val="clear" w:color="auto" w:fill="FFFFFF"/>
          </w:tcPr>
          <w:p w:rsidR="00EB686F" w:rsidRDefault="00EB686F" w:rsidP="00EB686F">
            <w:pPr>
              <w:spacing w:line="360" w:lineRule="auto"/>
              <w:jc w:val="center"/>
              <w:rPr>
                <w:color w:val="000000"/>
                <w:sz w:val="18"/>
                <w:szCs w:val="18"/>
              </w:rPr>
            </w:pPr>
            <w:r>
              <w:rPr>
                <w:sz w:val="18"/>
                <w:szCs w:val="18"/>
              </w:rPr>
              <w:t>4.23</w:t>
            </w:r>
          </w:p>
        </w:tc>
      </w:tr>
      <w:tr w:rsidR="00EB686F" w:rsidTr="00EB686F">
        <w:trPr>
          <w:trHeight w:val="319"/>
        </w:trPr>
        <w:tc>
          <w:tcPr>
            <w:tcW w:w="865" w:type="dxa"/>
            <w:tcBorders>
              <w:top w:val="nil"/>
              <w:left w:val="nil"/>
              <w:bottom w:val="nil"/>
              <w:right w:val="single" w:sz="4" w:space="0" w:color="008000"/>
            </w:tcBorders>
            <w:shd w:val="clear" w:color="auto" w:fill="CCFFCC"/>
            <w:vAlign w:val="center"/>
          </w:tcPr>
          <w:p w:rsidR="00EB686F" w:rsidRDefault="00EB686F" w:rsidP="00EB686F">
            <w:pPr>
              <w:spacing w:line="360" w:lineRule="auto"/>
              <w:jc w:val="center"/>
              <w:rPr>
                <w:sz w:val="18"/>
                <w:szCs w:val="18"/>
              </w:rPr>
            </w:pPr>
            <w:r>
              <w:rPr>
                <w:sz w:val="18"/>
                <w:szCs w:val="18"/>
              </w:rPr>
              <w:t>April</w:t>
            </w:r>
          </w:p>
        </w:tc>
        <w:tc>
          <w:tcPr>
            <w:tcW w:w="713"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0.31 </w:t>
            </w:r>
          </w:p>
        </w:tc>
        <w:tc>
          <w:tcPr>
            <w:tcW w:w="688"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2.00 </w:t>
            </w:r>
          </w:p>
        </w:tc>
        <w:tc>
          <w:tcPr>
            <w:tcW w:w="855"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2.90 </w:t>
            </w:r>
          </w:p>
        </w:tc>
        <w:tc>
          <w:tcPr>
            <w:tcW w:w="810"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3.21 </w:t>
            </w:r>
          </w:p>
        </w:tc>
        <w:tc>
          <w:tcPr>
            <w:tcW w:w="639"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2.82 </w:t>
            </w:r>
          </w:p>
        </w:tc>
        <w:tc>
          <w:tcPr>
            <w:tcW w:w="685"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3.26 </w:t>
            </w:r>
          </w:p>
        </w:tc>
        <w:tc>
          <w:tcPr>
            <w:tcW w:w="690"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3.28 </w:t>
            </w:r>
          </w:p>
        </w:tc>
        <w:tc>
          <w:tcPr>
            <w:tcW w:w="862"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3.63 </w:t>
            </w:r>
          </w:p>
        </w:tc>
        <w:tc>
          <w:tcPr>
            <w:tcW w:w="810"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3.39 </w:t>
            </w:r>
          </w:p>
        </w:tc>
        <w:tc>
          <w:tcPr>
            <w:tcW w:w="576"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3.67 </w:t>
            </w:r>
          </w:p>
        </w:tc>
        <w:tc>
          <w:tcPr>
            <w:tcW w:w="663" w:type="dxa"/>
            <w:tcBorders>
              <w:top w:val="nil"/>
              <w:left w:val="single" w:sz="4" w:space="0" w:color="008000"/>
              <w:bottom w:val="nil"/>
              <w:right w:val="nil"/>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4.99 </w:t>
            </w:r>
          </w:p>
        </w:tc>
      </w:tr>
      <w:tr w:rsidR="00EB686F" w:rsidTr="00EB686F">
        <w:trPr>
          <w:trHeight w:val="319"/>
        </w:trPr>
        <w:tc>
          <w:tcPr>
            <w:tcW w:w="865" w:type="dxa"/>
            <w:tcBorders>
              <w:top w:val="nil"/>
              <w:left w:val="nil"/>
              <w:bottom w:val="nil"/>
              <w:right w:val="single" w:sz="4" w:space="0" w:color="008000"/>
            </w:tcBorders>
            <w:vAlign w:val="center"/>
          </w:tcPr>
          <w:p w:rsidR="00EB686F" w:rsidRDefault="00EB686F" w:rsidP="00EB686F">
            <w:pPr>
              <w:spacing w:line="360" w:lineRule="auto"/>
              <w:jc w:val="center"/>
              <w:rPr>
                <w:sz w:val="18"/>
                <w:szCs w:val="18"/>
              </w:rPr>
            </w:pPr>
            <w:r>
              <w:rPr>
                <w:sz w:val="18"/>
                <w:szCs w:val="18"/>
              </w:rPr>
              <w:t>May</w:t>
            </w:r>
          </w:p>
        </w:tc>
        <w:tc>
          <w:tcPr>
            <w:tcW w:w="713"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 xml:space="preserve">0.32 </w:t>
            </w:r>
          </w:p>
        </w:tc>
        <w:tc>
          <w:tcPr>
            <w:tcW w:w="688"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 xml:space="preserve">2.06 </w:t>
            </w:r>
          </w:p>
        </w:tc>
        <w:tc>
          <w:tcPr>
            <w:tcW w:w="855"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 xml:space="preserve">3.30 </w:t>
            </w:r>
          </w:p>
        </w:tc>
        <w:tc>
          <w:tcPr>
            <w:tcW w:w="810"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 xml:space="preserve">3.45 </w:t>
            </w:r>
          </w:p>
        </w:tc>
        <w:tc>
          <w:tcPr>
            <w:tcW w:w="639"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 xml:space="preserve">3.31 </w:t>
            </w:r>
          </w:p>
        </w:tc>
        <w:tc>
          <w:tcPr>
            <w:tcW w:w="685"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 xml:space="preserve">3.23 </w:t>
            </w:r>
          </w:p>
        </w:tc>
        <w:tc>
          <w:tcPr>
            <w:tcW w:w="690"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 xml:space="preserve">3.30 </w:t>
            </w:r>
          </w:p>
        </w:tc>
        <w:tc>
          <w:tcPr>
            <w:tcW w:w="862"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 xml:space="preserve">3.60 </w:t>
            </w:r>
          </w:p>
        </w:tc>
        <w:tc>
          <w:tcPr>
            <w:tcW w:w="810"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 xml:space="preserve">3.49 </w:t>
            </w:r>
          </w:p>
        </w:tc>
        <w:tc>
          <w:tcPr>
            <w:tcW w:w="576"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 xml:space="preserve">3.60 </w:t>
            </w:r>
          </w:p>
        </w:tc>
        <w:tc>
          <w:tcPr>
            <w:tcW w:w="663" w:type="dxa"/>
            <w:tcBorders>
              <w:top w:val="nil"/>
              <w:left w:val="single" w:sz="4" w:space="0" w:color="008000"/>
              <w:bottom w:val="nil"/>
              <w:right w:val="nil"/>
            </w:tcBorders>
            <w:vAlign w:val="bottom"/>
          </w:tcPr>
          <w:p w:rsidR="00EB686F" w:rsidRDefault="00EB686F" w:rsidP="00EB686F">
            <w:pPr>
              <w:spacing w:line="360" w:lineRule="auto"/>
              <w:jc w:val="center"/>
              <w:rPr>
                <w:color w:val="000000"/>
                <w:sz w:val="18"/>
                <w:szCs w:val="18"/>
              </w:rPr>
            </w:pPr>
            <w:r>
              <w:rPr>
                <w:color w:val="000000"/>
                <w:sz w:val="18"/>
                <w:szCs w:val="18"/>
              </w:rPr>
              <w:t xml:space="preserve">4.60 </w:t>
            </w:r>
          </w:p>
        </w:tc>
      </w:tr>
      <w:tr w:rsidR="00EB686F" w:rsidTr="00EB686F">
        <w:trPr>
          <w:trHeight w:val="319"/>
        </w:trPr>
        <w:tc>
          <w:tcPr>
            <w:tcW w:w="865" w:type="dxa"/>
            <w:tcBorders>
              <w:top w:val="nil"/>
              <w:left w:val="nil"/>
              <w:bottom w:val="nil"/>
              <w:right w:val="single" w:sz="4" w:space="0" w:color="008000"/>
            </w:tcBorders>
            <w:shd w:val="clear" w:color="auto" w:fill="CCFFCC"/>
            <w:vAlign w:val="center"/>
          </w:tcPr>
          <w:p w:rsidR="00EB686F" w:rsidRDefault="00EB686F" w:rsidP="00EB686F">
            <w:pPr>
              <w:spacing w:line="360" w:lineRule="auto"/>
              <w:jc w:val="center"/>
              <w:rPr>
                <w:sz w:val="18"/>
                <w:szCs w:val="18"/>
              </w:rPr>
            </w:pPr>
            <w:r>
              <w:rPr>
                <w:sz w:val="18"/>
                <w:szCs w:val="18"/>
              </w:rPr>
              <w:t>June</w:t>
            </w:r>
          </w:p>
        </w:tc>
        <w:tc>
          <w:tcPr>
            <w:tcW w:w="713"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0.33 </w:t>
            </w:r>
          </w:p>
        </w:tc>
        <w:tc>
          <w:tcPr>
            <w:tcW w:w="688"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2.15 </w:t>
            </w:r>
          </w:p>
        </w:tc>
        <w:tc>
          <w:tcPr>
            <w:tcW w:w="855"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2.95</w:t>
            </w:r>
          </w:p>
        </w:tc>
        <w:tc>
          <w:tcPr>
            <w:tcW w:w="810"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2.95 </w:t>
            </w:r>
          </w:p>
        </w:tc>
        <w:tc>
          <w:tcPr>
            <w:tcW w:w="639"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3.40 </w:t>
            </w:r>
          </w:p>
        </w:tc>
        <w:tc>
          <w:tcPr>
            <w:tcW w:w="685"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3.43 </w:t>
            </w:r>
          </w:p>
        </w:tc>
        <w:tc>
          <w:tcPr>
            <w:tcW w:w="690"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3.35</w:t>
            </w:r>
          </w:p>
        </w:tc>
        <w:tc>
          <w:tcPr>
            <w:tcW w:w="862"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3.61 </w:t>
            </w:r>
          </w:p>
        </w:tc>
        <w:tc>
          <w:tcPr>
            <w:tcW w:w="810"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3.55 </w:t>
            </w:r>
          </w:p>
        </w:tc>
        <w:tc>
          <w:tcPr>
            <w:tcW w:w="576"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3.67 </w:t>
            </w:r>
          </w:p>
        </w:tc>
        <w:tc>
          <w:tcPr>
            <w:tcW w:w="663" w:type="dxa"/>
            <w:tcBorders>
              <w:top w:val="nil"/>
              <w:left w:val="single" w:sz="4" w:space="0" w:color="008000"/>
              <w:bottom w:val="nil"/>
              <w:right w:val="nil"/>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 xml:space="preserve">4.32 </w:t>
            </w:r>
          </w:p>
        </w:tc>
      </w:tr>
      <w:tr w:rsidR="00EB686F" w:rsidTr="00EB686F">
        <w:trPr>
          <w:trHeight w:val="319"/>
        </w:trPr>
        <w:tc>
          <w:tcPr>
            <w:tcW w:w="865" w:type="dxa"/>
            <w:tcBorders>
              <w:top w:val="nil"/>
              <w:left w:val="nil"/>
              <w:bottom w:val="nil"/>
              <w:right w:val="single" w:sz="4" w:space="0" w:color="008000"/>
            </w:tcBorders>
            <w:vAlign w:val="center"/>
          </w:tcPr>
          <w:p w:rsidR="00EB686F" w:rsidRDefault="00EB686F" w:rsidP="00EB686F">
            <w:pPr>
              <w:spacing w:line="360" w:lineRule="auto"/>
              <w:jc w:val="center"/>
              <w:rPr>
                <w:sz w:val="18"/>
                <w:szCs w:val="18"/>
              </w:rPr>
            </w:pPr>
            <w:r>
              <w:rPr>
                <w:sz w:val="18"/>
                <w:szCs w:val="18"/>
              </w:rPr>
              <w:t>July</w:t>
            </w:r>
          </w:p>
        </w:tc>
        <w:tc>
          <w:tcPr>
            <w:tcW w:w="713"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0.30</w:t>
            </w:r>
          </w:p>
        </w:tc>
        <w:tc>
          <w:tcPr>
            <w:tcW w:w="688"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2.18</w:t>
            </w:r>
          </w:p>
        </w:tc>
        <w:tc>
          <w:tcPr>
            <w:tcW w:w="855"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2.94</w:t>
            </w:r>
          </w:p>
        </w:tc>
        <w:tc>
          <w:tcPr>
            <w:tcW w:w="810"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3.11</w:t>
            </w:r>
          </w:p>
        </w:tc>
        <w:tc>
          <w:tcPr>
            <w:tcW w:w="639"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3.41</w:t>
            </w:r>
          </w:p>
        </w:tc>
        <w:tc>
          <w:tcPr>
            <w:tcW w:w="685"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3.34</w:t>
            </w:r>
          </w:p>
        </w:tc>
        <w:tc>
          <w:tcPr>
            <w:tcW w:w="690"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3.47</w:t>
            </w:r>
          </w:p>
        </w:tc>
        <w:tc>
          <w:tcPr>
            <w:tcW w:w="862"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3.67</w:t>
            </w:r>
          </w:p>
        </w:tc>
        <w:tc>
          <w:tcPr>
            <w:tcW w:w="810"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3.57</w:t>
            </w:r>
          </w:p>
        </w:tc>
        <w:tc>
          <w:tcPr>
            <w:tcW w:w="576" w:type="dxa"/>
            <w:tcBorders>
              <w:top w:val="nil"/>
              <w:left w:val="single" w:sz="4" w:space="0" w:color="008000"/>
              <w:bottom w:val="nil"/>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3.61</w:t>
            </w:r>
          </w:p>
        </w:tc>
        <w:tc>
          <w:tcPr>
            <w:tcW w:w="663" w:type="dxa"/>
            <w:tcBorders>
              <w:top w:val="nil"/>
              <w:left w:val="single" w:sz="4" w:space="0" w:color="008000"/>
              <w:bottom w:val="nil"/>
              <w:right w:val="nil"/>
            </w:tcBorders>
            <w:vAlign w:val="bottom"/>
          </w:tcPr>
          <w:p w:rsidR="00EB686F" w:rsidRDefault="00EB686F" w:rsidP="00EB686F">
            <w:pPr>
              <w:spacing w:line="360" w:lineRule="auto"/>
              <w:jc w:val="center"/>
              <w:rPr>
                <w:color w:val="000000"/>
                <w:sz w:val="18"/>
                <w:szCs w:val="18"/>
              </w:rPr>
            </w:pPr>
            <w:r>
              <w:rPr>
                <w:color w:val="000000"/>
                <w:sz w:val="18"/>
                <w:szCs w:val="18"/>
              </w:rPr>
              <w:t>4.66</w:t>
            </w:r>
          </w:p>
        </w:tc>
      </w:tr>
      <w:tr w:rsidR="00EB686F" w:rsidTr="00EB686F">
        <w:trPr>
          <w:trHeight w:val="319"/>
        </w:trPr>
        <w:tc>
          <w:tcPr>
            <w:tcW w:w="865" w:type="dxa"/>
            <w:tcBorders>
              <w:top w:val="nil"/>
              <w:left w:val="nil"/>
              <w:bottom w:val="nil"/>
              <w:right w:val="single" w:sz="4" w:space="0" w:color="008000"/>
            </w:tcBorders>
            <w:shd w:val="clear" w:color="auto" w:fill="CCFFCC"/>
            <w:vAlign w:val="center"/>
          </w:tcPr>
          <w:p w:rsidR="00EB686F" w:rsidRDefault="00EB686F" w:rsidP="00EB686F">
            <w:pPr>
              <w:spacing w:line="360" w:lineRule="auto"/>
              <w:jc w:val="center"/>
              <w:rPr>
                <w:sz w:val="18"/>
                <w:szCs w:val="18"/>
              </w:rPr>
            </w:pPr>
            <w:r>
              <w:rPr>
                <w:sz w:val="18"/>
                <w:szCs w:val="18"/>
              </w:rPr>
              <w:t>August</w:t>
            </w:r>
          </w:p>
        </w:tc>
        <w:tc>
          <w:tcPr>
            <w:tcW w:w="713"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0.38</w:t>
            </w:r>
          </w:p>
        </w:tc>
        <w:tc>
          <w:tcPr>
            <w:tcW w:w="688"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2.23</w:t>
            </w:r>
          </w:p>
        </w:tc>
        <w:tc>
          <w:tcPr>
            <w:tcW w:w="855"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3.00</w:t>
            </w:r>
          </w:p>
        </w:tc>
        <w:tc>
          <w:tcPr>
            <w:tcW w:w="810"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3.20</w:t>
            </w:r>
          </w:p>
        </w:tc>
        <w:tc>
          <w:tcPr>
            <w:tcW w:w="639"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2.80</w:t>
            </w:r>
          </w:p>
        </w:tc>
        <w:tc>
          <w:tcPr>
            <w:tcW w:w="685"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3.54</w:t>
            </w:r>
          </w:p>
        </w:tc>
        <w:tc>
          <w:tcPr>
            <w:tcW w:w="690"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3.50</w:t>
            </w:r>
          </w:p>
        </w:tc>
        <w:tc>
          <w:tcPr>
            <w:tcW w:w="862"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3.71</w:t>
            </w:r>
          </w:p>
        </w:tc>
        <w:tc>
          <w:tcPr>
            <w:tcW w:w="810"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3.59</w:t>
            </w:r>
          </w:p>
        </w:tc>
        <w:tc>
          <w:tcPr>
            <w:tcW w:w="576" w:type="dxa"/>
            <w:tcBorders>
              <w:top w:val="nil"/>
              <w:left w:val="single" w:sz="4" w:space="0" w:color="008000"/>
              <w:bottom w:val="nil"/>
              <w:right w:val="single" w:sz="4" w:space="0" w:color="008000"/>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4.01</w:t>
            </w:r>
          </w:p>
        </w:tc>
        <w:tc>
          <w:tcPr>
            <w:tcW w:w="663" w:type="dxa"/>
            <w:tcBorders>
              <w:top w:val="nil"/>
              <w:left w:val="single" w:sz="4" w:space="0" w:color="008000"/>
              <w:bottom w:val="nil"/>
              <w:right w:val="nil"/>
            </w:tcBorders>
            <w:shd w:val="clear" w:color="auto" w:fill="CCFFCC"/>
            <w:vAlign w:val="bottom"/>
          </w:tcPr>
          <w:p w:rsidR="00EB686F" w:rsidRDefault="00EB686F" w:rsidP="00EB686F">
            <w:pPr>
              <w:spacing w:line="360" w:lineRule="auto"/>
              <w:jc w:val="center"/>
              <w:rPr>
                <w:color w:val="000000"/>
                <w:sz w:val="18"/>
                <w:szCs w:val="18"/>
              </w:rPr>
            </w:pPr>
            <w:r>
              <w:rPr>
                <w:color w:val="000000"/>
                <w:sz w:val="18"/>
                <w:szCs w:val="18"/>
              </w:rPr>
              <w:t>4.39</w:t>
            </w:r>
          </w:p>
        </w:tc>
      </w:tr>
      <w:tr w:rsidR="00EB686F" w:rsidTr="00EB686F">
        <w:trPr>
          <w:trHeight w:val="319"/>
        </w:trPr>
        <w:tc>
          <w:tcPr>
            <w:tcW w:w="865" w:type="dxa"/>
            <w:tcBorders>
              <w:top w:val="nil"/>
              <w:left w:val="nil"/>
              <w:bottom w:val="single" w:sz="12" w:space="0" w:color="339966"/>
              <w:right w:val="single" w:sz="4" w:space="0" w:color="008000"/>
            </w:tcBorders>
            <w:vAlign w:val="center"/>
          </w:tcPr>
          <w:p w:rsidR="00EB686F" w:rsidRDefault="00EB686F" w:rsidP="00EB686F">
            <w:pPr>
              <w:spacing w:line="360" w:lineRule="auto"/>
              <w:jc w:val="center"/>
              <w:rPr>
                <w:sz w:val="18"/>
                <w:szCs w:val="18"/>
              </w:rPr>
            </w:pPr>
            <w:r>
              <w:rPr>
                <w:sz w:val="18"/>
                <w:szCs w:val="18"/>
              </w:rPr>
              <w:t>September</w:t>
            </w:r>
          </w:p>
        </w:tc>
        <w:tc>
          <w:tcPr>
            <w:tcW w:w="713" w:type="dxa"/>
            <w:tcBorders>
              <w:top w:val="nil"/>
              <w:left w:val="single" w:sz="4" w:space="0" w:color="008000"/>
              <w:bottom w:val="single" w:sz="12" w:space="0" w:color="339966"/>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0.40</w:t>
            </w:r>
          </w:p>
        </w:tc>
        <w:tc>
          <w:tcPr>
            <w:tcW w:w="688" w:type="dxa"/>
            <w:tcBorders>
              <w:top w:val="nil"/>
              <w:left w:val="single" w:sz="4" w:space="0" w:color="008000"/>
              <w:bottom w:val="single" w:sz="12" w:space="0" w:color="339966"/>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2.34</w:t>
            </w:r>
          </w:p>
        </w:tc>
        <w:tc>
          <w:tcPr>
            <w:tcW w:w="855" w:type="dxa"/>
            <w:tcBorders>
              <w:top w:val="nil"/>
              <w:left w:val="single" w:sz="4" w:space="0" w:color="008000"/>
              <w:bottom w:val="single" w:sz="12" w:space="0" w:color="339966"/>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2.95</w:t>
            </w:r>
          </w:p>
        </w:tc>
        <w:tc>
          <w:tcPr>
            <w:tcW w:w="810" w:type="dxa"/>
            <w:tcBorders>
              <w:top w:val="nil"/>
              <w:left w:val="single" w:sz="4" w:space="0" w:color="008000"/>
              <w:bottom w:val="single" w:sz="12" w:space="0" w:color="339966"/>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3.37</w:t>
            </w:r>
          </w:p>
        </w:tc>
        <w:tc>
          <w:tcPr>
            <w:tcW w:w="639" w:type="dxa"/>
            <w:tcBorders>
              <w:top w:val="nil"/>
              <w:left w:val="single" w:sz="4" w:space="0" w:color="008000"/>
              <w:bottom w:val="single" w:sz="12" w:space="0" w:color="339966"/>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3.03</w:t>
            </w:r>
          </w:p>
        </w:tc>
        <w:tc>
          <w:tcPr>
            <w:tcW w:w="685" w:type="dxa"/>
            <w:tcBorders>
              <w:top w:val="nil"/>
              <w:left w:val="single" w:sz="4" w:space="0" w:color="008000"/>
              <w:bottom w:val="single" w:sz="12" w:space="0" w:color="339966"/>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3.19</w:t>
            </w:r>
          </w:p>
        </w:tc>
        <w:tc>
          <w:tcPr>
            <w:tcW w:w="690" w:type="dxa"/>
            <w:tcBorders>
              <w:top w:val="nil"/>
              <w:left w:val="single" w:sz="4" w:space="0" w:color="008000"/>
              <w:bottom w:val="single" w:sz="12" w:space="0" w:color="339966"/>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3.49</w:t>
            </w:r>
          </w:p>
        </w:tc>
        <w:tc>
          <w:tcPr>
            <w:tcW w:w="862" w:type="dxa"/>
            <w:tcBorders>
              <w:top w:val="nil"/>
              <w:left w:val="single" w:sz="4" w:space="0" w:color="008000"/>
              <w:bottom w:val="single" w:sz="12" w:space="0" w:color="339966"/>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3.66</w:t>
            </w:r>
          </w:p>
        </w:tc>
        <w:tc>
          <w:tcPr>
            <w:tcW w:w="810" w:type="dxa"/>
            <w:tcBorders>
              <w:top w:val="nil"/>
              <w:left w:val="single" w:sz="4" w:space="0" w:color="008000"/>
              <w:bottom w:val="single" w:sz="12" w:space="0" w:color="339966"/>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3.56</w:t>
            </w:r>
          </w:p>
        </w:tc>
        <w:tc>
          <w:tcPr>
            <w:tcW w:w="576" w:type="dxa"/>
            <w:tcBorders>
              <w:top w:val="nil"/>
              <w:left w:val="single" w:sz="4" w:space="0" w:color="008000"/>
              <w:bottom w:val="single" w:sz="12" w:space="0" w:color="339966"/>
              <w:right w:val="single" w:sz="4" w:space="0" w:color="008000"/>
            </w:tcBorders>
            <w:vAlign w:val="bottom"/>
          </w:tcPr>
          <w:p w:rsidR="00EB686F" w:rsidRDefault="00EB686F" w:rsidP="00EB686F">
            <w:pPr>
              <w:spacing w:line="360" w:lineRule="auto"/>
              <w:jc w:val="center"/>
              <w:rPr>
                <w:color w:val="000000"/>
                <w:sz w:val="18"/>
                <w:szCs w:val="18"/>
              </w:rPr>
            </w:pPr>
            <w:r>
              <w:rPr>
                <w:color w:val="000000"/>
                <w:sz w:val="18"/>
                <w:szCs w:val="18"/>
              </w:rPr>
              <w:t>3.82</w:t>
            </w:r>
          </w:p>
        </w:tc>
        <w:tc>
          <w:tcPr>
            <w:tcW w:w="663" w:type="dxa"/>
            <w:tcBorders>
              <w:top w:val="nil"/>
              <w:left w:val="single" w:sz="4" w:space="0" w:color="008000"/>
              <w:bottom w:val="single" w:sz="12" w:space="0" w:color="339966"/>
              <w:right w:val="nil"/>
            </w:tcBorders>
            <w:vAlign w:val="bottom"/>
          </w:tcPr>
          <w:p w:rsidR="00EB686F" w:rsidRDefault="00EB686F" w:rsidP="00EB686F">
            <w:pPr>
              <w:spacing w:line="360" w:lineRule="auto"/>
              <w:jc w:val="center"/>
              <w:rPr>
                <w:color w:val="000000"/>
                <w:sz w:val="18"/>
                <w:szCs w:val="18"/>
              </w:rPr>
            </w:pPr>
            <w:r>
              <w:rPr>
                <w:color w:val="000000"/>
                <w:sz w:val="18"/>
                <w:szCs w:val="18"/>
              </w:rPr>
              <w:t>4.49</w:t>
            </w:r>
          </w:p>
        </w:tc>
      </w:tr>
    </w:tbl>
    <w:p w:rsidR="00EB686F" w:rsidRDefault="00EB686F" w:rsidP="00EB686F">
      <w:pPr>
        <w:widowControl/>
        <w:spacing w:line="360" w:lineRule="auto"/>
        <w:rPr>
          <w:rFonts w:eastAsia="FangSong_GB2312"/>
          <w:sz w:val="24"/>
        </w:rPr>
      </w:pPr>
      <w:r>
        <w:rPr>
          <w:rFonts w:eastAsia="KaiTi_GB2312"/>
          <w:sz w:val="24"/>
        </w:rPr>
        <w:t>Source: People’s Bank of China.</w:t>
      </w:r>
    </w:p>
    <w:p w:rsidR="00EB686F" w:rsidRDefault="00EB686F" w:rsidP="00EB686F">
      <w:pPr>
        <w:spacing w:line="360" w:lineRule="auto"/>
        <w:rPr>
          <w:rFonts w:eastAsia="FangSong_GB2312"/>
          <w:sz w:val="24"/>
        </w:rPr>
      </w:pPr>
      <w:r>
        <w:rPr>
          <w:rFonts w:eastAsia="FangSong_GB2312"/>
          <w:b/>
          <w:bCs/>
          <w:sz w:val="24"/>
        </w:rPr>
        <w:t xml:space="preserve">Deposits grew steadily, with term deposits accounting for a large share of the total new deposits. </w:t>
      </w:r>
      <w:r>
        <w:rPr>
          <w:rFonts w:eastAsia="FangSong_GB2312"/>
          <w:sz w:val="24"/>
        </w:rPr>
        <w:t xml:space="preserve">At end-September, outstanding deposits in domestic and foreign currency in all financial institutions posted RMB 181.2 trillion, up 8.3 percent year on </w:t>
      </w:r>
      <w:r>
        <w:rPr>
          <w:rFonts w:eastAsia="FangSong_GB2312"/>
          <w:sz w:val="24"/>
        </w:rPr>
        <w:lastRenderedPageBreak/>
        <w:t>year and an acceleration of 0.2 percentage point from end-June. This also marked an increase of RMB 12.0 trillion from the beginning of the year and an increase of RMB 79.3 billion year on year. Outstanding RMB deposits registered RMB 176.1 trillion, up 8.5 percent year on year and an acceleration of 0.1 percentage point from end-June. This represented an increase of RMB 12.0 trillion from the start of the year and an increase of RMB 325.7 billion year on year. Outstanding deposits in foreign currencies stood at USD 743.7 billion, a decrease of USD 47.3 billion from the beginning of the year. During the first three quarters, term deposits accounted for 109.4 percent of new deposits by households and non-financial enterprises, up 39.5 percentage points year on year. Broken down by sectors, deposits by households and non-banking financial institutions registered a year-on-year acceleration of RMB 1.2 trillion and RMB 657.8 billion respectively, whereas deposits by non-financial enterprises recorded a year-on-year deceleration of RMB 1.4 trillion.</w:t>
      </w:r>
    </w:p>
    <w:p w:rsidR="00EB686F" w:rsidRDefault="00EB686F" w:rsidP="00EB686F">
      <w:pPr>
        <w:keepNext/>
        <w:spacing w:line="360" w:lineRule="auto"/>
        <w:jc w:val="center"/>
        <w:rPr>
          <w:b/>
          <w:sz w:val="24"/>
        </w:rPr>
      </w:pPr>
      <w:bookmarkStart w:id="26" w:name="_Toc532203068"/>
      <w:r>
        <w:rPr>
          <w:b/>
          <w:sz w:val="24"/>
        </w:rPr>
        <w:t xml:space="preserve">Table </w:t>
      </w:r>
      <w:r w:rsidR="002447A7">
        <w:rPr>
          <w:b/>
          <w:sz w:val="24"/>
        </w:rPr>
        <w:fldChar w:fldCharType="begin"/>
      </w:r>
      <w:r w:rsidR="00EE3C76">
        <w:rPr>
          <w:b/>
          <w:sz w:val="24"/>
        </w:rPr>
        <w:instrText xml:space="preserve"> SEQ Table \* ARABIC </w:instrText>
      </w:r>
      <w:r w:rsidR="002447A7">
        <w:rPr>
          <w:b/>
          <w:sz w:val="24"/>
        </w:rPr>
        <w:fldChar w:fldCharType="separate"/>
      </w:r>
      <w:r w:rsidR="00EC1136">
        <w:rPr>
          <w:b/>
          <w:noProof/>
          <w:sz w:val="24"/>
        </w:rPr>
        <w:t>5</w:t>
      </w:r>
      <w:r w:rsidR="002447A7">
        <w:rPr>
          <w:b/>
          <w:sz w:val="24"/>
        </w:rPr>
        <w:fldChar w:fldCharType="end"/>
      </w:r>
      <w:r>
        <w:rPr>
          <w:b/>
          <w:sz w:val="24"/>
        </w:rPr>
        <w:t xml:space="preserve"> The Structure of RMB Deposits during the First Three Quarters of 2018</w:t>
      </w:r>
      <w:bookmarkEnd w:id="26"/>
    </w:p>
    <w:p w:rsidR="00EB686F" w:rsidRDefault="00EB686F" w:rsidP="00EB686F">
      <w:pPr>
        <w:spacing w:line="360" w:lineRule="auto"/>
        <w:ind w:right="210"/>
        <w:jc w:val="right"/>
        <w:rPr>
          <w:sz w:val="24"/>
        </w:rPr>
      </w:pPr>
      <w:r>
        <w:rPr>
          <w:sz w:val="24"/>
        </w:rPr>
        <w:t>RMB 100 million</w:t>
      </w:r>
    </w:p>
    <w:tbl>
      <w:tblPr>
        <w:tblW w:w="8112" w:type="dxa"/>
        <w:jc w:val="center"/>
        <w:tblLayout w:type="fixed"/>
        <w:tblCellMar>
          <w:left w:w="0" w:type="dxa"/>
          <w:right w:w="0" w:type="dxa"/>
        </w:tblCellMar>
        <w:tblLook w:val="04A0"/>
      </w:tblPr>
      <w:tblGrid>
        <w:gridCol w:w="2315"/>
        <w:gridCol w:w="1370"/>
        <w:gridCol w:w="1134"/>
        <w:gridCol w:w="1747"/>
        <w:gridCol w:w="1546"/>
      </w:tblGrid>
      <w:tr w:rsidR="00EB686F" w:rsidTr="00EB686F">
        <w:trPr>
          <w:trHeight w:val="1683"/>
          <w:jc w:val="center"/>
        </w:trPr>
        <w:tc>
          <w:tcPr>
            <w:tcW w:w="2315" w:type="dxa"/>
            <w:tcBorders>
              <w:top w:val="single" w:sz="12" w:space="0" w:color="339966"/>
              <w:left w:val="nil"/>
              <w:bottom w:val="single" w:sz="12" w:space="0" w:color="339966"/>
              <w:right w:val="single" w:sz="4" w:space="0" w:color="339966"/>
            </w:tcBorders>
            <w:shd w:val="clear" w:color="auto" w:fill="CCFFCC"/>
            <w:vAlign w:val="center"/>
          </w:tcPr>
          <w:p w:rsidR="00EB686F" w:rsidRDefault="00EB686F" w:rsidP="00EB686F">
            <w:pPr>
              <w:spacing w:line="360" w:lineRule="auto"/>
              <w:rPr>
                <w:sz w:val="18"/>
                <w:szCs w:val="18"/>
              </w:rPr>
            </w:pPr>
            <w:r>
              <w:rPr>
                <w:rFonts w:hint="eastAsia"/>
                <w:sz w:val="18"/>
                <w:szCs w:val="18"/>
              </w:rPr>
              <w:t xml:space="preserve">　</w:t>
            </w:r>
          </w:p>
        </w:tc>
        <w:tc>
          <w:tcPr>
            <w:tcW w:w="1370" w:type="dxa"/>
            <w:tcBorders>
              <w:top w:val="single" w:sz="12" w:space="0" w:color="339966"/>
              <w:left w:val="nil"/>
              <w:bottom w:val="single" w:sz="12" w:space="0" w:color="339966"/>
              <w:right w:val="single" w:sz="6" w:space="0" w:color="339966"/>
            </w:tcBorders>
            <w:shd w:val="clear" w:color="auto" w:fill="CCFFCC"/>
            <w:vAlign w:val="center"/>
          </w:tcPr>
          <w:p w:rsidR="00EB686F" w:rsidRDefault="00EB686F" w:rsidP="00EB686F">
            <w:pPr>
              <w:spacing w:line="360" w:lineRule="auto"/>
              <w:jc w:val="left"/>
              <w:rPr>
                <w:sz w:val="18"/>
                <w:szCs w:val="18"/>
              </w:rPr>
            </w:pPr>
            <w:r>
              <w:rPr>
                <w:sz w:val="18"/>
                <w:szCs w:val="18"/>
              </w:rPr>
              <w:t>Deposits at end-September</w:t>
            </w:r>
          </w:p>
        </w:tc>
        <w:tc>
          <w:tcPr>
            <w:tcW w:w="1134" w:type="dxa"/>
            <w:tcBorders>
              <w:top w:val="single" w:sz="12" w:space="0" w:color="339966"/>
              <w:left w:val="nil"/>
              <w:bottom w:val="single" w:sz="12" w:space="0" w:color="339966"/>
              <w:right w:val="single" w:sz="6" w:space="0" w:color="339966"/>
            </w:tcBorders>
            <w:shd w:val="clear" w:color="auto" w:fill="CCFFCC"/>
            <w:vAlign w:val="center"/>
          </w:tcPr>
          <w:p w:rsidR="00EB686F" w:rsidRDefault="00EB686F" w:rsidP="00EB686F">
            <w:pPr>
              <w:spacing w:line="360" w:lineRule="auto"/>
              <w:rPr>
                <w:color w:val="000000"/>
                <w:sz w:val="18"/>
                <w:szCs w:val="18"/>
              </w:rPr>
            </w:pPr>
            <w:r>
              <w:rPr>
                <w:color w:val="000000"/>
                <w:sz w:val="18"/>
                <w:szCs w:val="18"/>
              </w:rPr>
              <w:t>Year-on-</w:t>
            </w:r>
          </w:p>
          <w:p w:rsidR="00EB686F" w:rsidRDefault="00EB686F" w:rsidP="00EB686F">
            <w:pPr>
              <w:spacing w:line="360" w:lineRule="auto"/>
              <w:rPr>
                <w:sz w:val="18"/>
                <w:szCs w:val="18"/>
              </w:rPr>
            </w:pPr>
            <w:r>
              <w:rPr>
                <w:color w:val="000000"/>
                <w:sz w:val="18"/>
                <w:szCs w:val="18"/>
              </w:rPr>
              <w:t xml:space="preserve">year </w:t>
            </w:r>
            <w:r>
              <w:rPr>
                <w:sz w:val="18"/>
                <w:szCs w:val="18"/>
              </w:rPr>
              <w:t>growth</w:t>
            </w:r>
          </w:p>
        </w:tc>
        <w:tc>
          <w:tcPr>
            <w:tcW w:w="1747" w:type="dxa"/>
            <w:tcBorders>
              <w:top w:val="single" w:sz="12" w:space="0" w:color="339966"/>
              <w:left w:val="nil"/>
              <w:bottom w:val="single" w:sz="12" w:space="0" w:color="339966"/>
              <w:right w:val="single" w:sz="6" w:space="0" w:color="339966"/>
            </w:tcBorders>
            <w:shd w:val="clear" w:color="auto" w:fill="CCFFCC"/>
            <w:vAlign w:val="center"/>
          </w:tcPr>
          <w:p w:rsidR="00EB686F" w:rsidRDefault="00EB686F" w:rsidP="00EB686F">
            <w:pPr>
              <w:spacing w:line="360" w:lineRule="auto"/>
              <w:jc w:val="left"/>
              <w:rPr>
                <w:sz w:val="18"/>
                <w:szCs w:val="18"/>
              </w:rPr>
            </w:pPr>
            <w:r>
              <w:rPr>
                <w:sz w:val="18"/>
                <w:szCs w:val="18"/>
              </w:rPr>
              <w:t>Increase from the beginning of the year</w:t>
            </w:r>
          </w:p>
        </w:tc>
        <w:tc>
          <w:tcPr>
            <w:tcW w:w="1546" w:type="dxa"/>
            <w:tcBorders>
              <w:top w:val="single" w:sz="12" w:space="0" w:color="339966"/>
              <w:left w:val="nil"/>
              <w:bottom w:val="single" w:sz="12" w:space="0" w:color="339966"/>
              <w:right w:val="nil"/>
            </w:tcBorders>
            <w:shd w:val="clear" w:color="auto" w:fill="CCFFCC"/>
            <w:vAlign w:val="center"/>
          </w:tcPr>
          <w:p w:rsidR="00EB686F" w:rsidRDefault="00EB686F" w:rsidP="00EB686F">
            <w:pPr>
              <w:spacing w:line="360" w:lineRule="auto"/>
              <w:jc w:val="left"/>
              <w:rPr>
                <w:sz w:val="18"/>
                <w:szCs w:val="18"/>
              </w:rPr>
            </w:pPr>
            <w:r>
              <w:rPr>
                <w:sz w:val="18"/>
                <w:szCs w:val="18"/>
              </w:rPr>
              <w:t>Change in the increase from the same period of the last year</w:t>
            </w:r>
          </w:p>
        </w:tc>
      </w:tr>
      <w:tr w:rsidR="00EB686F" w:rsidTr="00EB686F">
        <w:trPr>
          <w:trHeight w:val="300"/>
          <w:jc w:val="center"/>
        </w:trPr>
        <w:tc>
          <w:tcPr>
            <w:tcW w:w="2315" w:type="dxa"/>
            <w:tcBorders>
              <w:top w:val="nil"/>
              <w:left w:val="nil"/>
              <w:bottom w:val="nil"/>
              <w:right w:val="single" w:sz="4" w:space="0" w:color="339966"/>
            </w:tcBorders>
            <w:vAlign w:val="center"/>
          </w:tcPr>
          <w:p w:rsidR="00EB686F" w:rsidRDefault="00EB686F" w:rsidP="00EB686F">
            <w:pPr>
              <w:spacing w:line="360" w:lineRule="auto"/>
              <w:rPr>
                <w:sz w:val="18"/>
                <w:szCs w:val="18"/>
              </w:rPr>
            </w:pPr>
            <w:r>
              <w:rPr>
                <w:sz w:val="18"/>
                <w:szCs w:val="18"/>
              </w:rPr>
              <w:t>RMB deposits</w:t>
            </w:r>
          </w:p>
        </w:tc>
        <w:tc>
          <w:tcPr>
            <w:tcW w:w="1370" w:type="dxa"/>
            <w:tcBorders>
              <w:top w:val="nil"/>
              <w:left w:val="nil"/>
              <w:bottom w:val="nil"/>
              <w:right w:val="single" w:sz="6" w:space="0" w:color="339966"/>
            </w:tcBorders>
            <w:vAlign w:val="center"/>
          </w:tcPr>
          <w:p w:rsidR="00EB686F" w:rsidRDefault="00EB686F" w:rsidP="00EB686F">
            <w:pPr>
              <w:spacing w:line="360" w:lineRule="auto"/>
              <w:ind w:left="2" w:firstLineChars="100" w:firstLine="180"/>
              <w:jc w:val="right"/>
              <w:rPr>
                <w:sz w:val="18"/>
                <w:szCs w:val="18"/>
              </w:rPr>
            </w:pPr>
            <w:r>
              <w:rPr>
                <w:sz w:val="18"/>
                <w:szCs w:val="18"/>
              </w:rPr>
              <w:t>1,761,267</w:t>
            </w:r>
          </w:p>
        </w:tc>
        <w:tc>
          <w:tcPr>
            <w:tcW w:w="1134" w:type="dxa"/>
            <w:tcBorders>
              <w:top w:val="nil"/>
              <w:left w:val="nil"/>
              <w:bottom w:val="nil"/>
              <w:right w:val="single" w:sz="6" w:space="0" w:color="339966"/>
            </w:tcBorders>
            <w:vAlign w:val="center"/>
          </w:tcPr>
          <w:p w:rsidR="00EB686F" w:rsidRDefault="00EB686F" w:rsidP="00EB686F">
            <w:pPr>
              <w:spacing w:line="360" w:lineRule="auto"/>
              <w:ind w:leftChars="135" w:left="283"/>
              <w:jc w:val="right"/>
              <w:rPr>
                <w:sz w:val="18"/>
                <w:szCs w:val="18"/>
              </w:rPr>
            </w:pPr>
            <w:r>
              <w:rPr>
                <w:sz w:val="18"/>
                <w:szCs w:val="18"/>
              </w:rPr>
              <w:t>8.5%</w:t>
            </w:r>
          </w:p>
        </w:tc>
        <w:tc>
          <w:tcPr>
            <w:tcW w:w="1747" w:type="dxa"/>
            <w:tcBorders>
              <w:top w:val="nil"/>
              <w:left w:val="nil"/>
              <w:bottom w:val="nil"/>
              <w:right w:val="single" w:sz="6" w:space="0" w:color="339966"/>
            </w:tcBorders>
            <w:vAlign w:val="center"/>
          </w:tcPr>
          <w:p w:rsidR="00EB686F" w:rsidRDefault="00EB686F" w:rsidP="00EB686F">
            <w:pPr>
              <w:spacing w:line="360" w:lineRule="auto"/>
              <w:jc w:val="right"/>
              <w:rPr>
                <w:sz w:val="18"/>
                <w:szCs w:val="18"/>
              </w:rPr>
            </w:pPr>
            <w:r>
              <w:rPr>
                <w:sz w:val="18"/>
                <w:szCs w:val="18"/>
              </w:rPr>
              <w:t>120,091</w:t>
            </w:r>
          </w:p>
        </w:tc>
        <w:tc>
          <w:tcPr>
            <w:tcW w:w="1546" w:type="dxa"/>
            <w:vAlign w:val="center"/>
          </w:tcPr>
          <w:p w:rsidR="00EB686F" w:rsidRDefault="00EB686F" w:rsidP="00EB686F">
            <w:pPr>
              <w:spacing w:line="360" w:lineRule="auto"/>
              <w:ind w:firstLineChars="400" w:firstLine="720"/>
              <w:jc w:val="right"/>
              <w:rPr>
                <w:sz w:val="18"/>
                <w:szCs w:val="18"/>
              </w:rPr>
            </w:pPr>
            <w:r>
              <w:rPr>
                <w:sz w:val="18"/>
                <w:szCs w:val="18"/>
              </w:rPr>
              <w:t>3,257</w:t>
            </w:r>
          </w:p>
        </w:tc>
      </w:tr>
      <w:tr w:rsidR="00EB686F" w:rsidTr="00EB686F">
        <w:trPr>
          <w:trHeight w:val="285"/>
          <w:jc w:val="center"/>
        </w:trPr>
        <w:tc>
          <w:tcPr>
            <w:tcW w:w="2315" w:type="dxa"/>
            <w:tcBorders>
              <w:top w:val="nil"/>
              <w:left w:val="nil"/>
              <w:bottom w:val="nil"/>
              <w:right w:val="single" w:sz="4" w:space="0" w:color="339966"/>
            </w:tcBorders>
            <w:shd w:val="clear" w:color="auto" w:fill="CCFFCC"/>
            <w:vAlign w:val="center"/>
          </w:tcPr>
          <w:p w:rsidR="00EB686F" w:rsidRDefault="00EB686F" w:rsidP="00EB686F">
            <w:pPr>
              <w:spacing w:line="360" w:lineRule="auto"/>
              <w:ind w:left="441"/>
              <w:rPr>
                <w:sz w:val="18"/>
                <w:szCs w:val="18"/>
              </w:rPr>
            </w:pPr>
            <w:r>
              <w:rPr>
                <w:sz w:val="18"/>
                <w:szCs w:val="18"/>
              </w:rPr>
              <w:t xml:space="preserve">Households </w:t>
            </w:r>
          </w:p>
        </w:tc>
        <w:tc>
          <w:tcPr>
            <w:tcW w:w="1370" w:type="dxa"/>
            <w:tcBorders>
              <w:top w:val="nil"/>
              <w:left w:val="nil"/>
              <w:bottom w:val="nil"/>
              <w:right w:val="single" w:sz="6" w:space="0" w:color="339966"/>
            </w:tcBorders>
            <w:shd w:val="clear" w:color="auto" w:fill="CCFFCC"/>
            <w:vAlign w:val="center"/>
          </w:tcPr>
          <w:p w:rsidR="00EB686F" w:rsidRDefault="00EB686F" w:rsidP="00EB686F">
            <w:pPr>
              <w:spacing w:line="360" w:lineRule="auto"/>
              <w:ind w:leftChars="135" w:left="283"/>
              <w:jc w:val="right"/>
              <w:rPr>
                <w:sz w:val="18"/>
                <w:szCs w:val="18"/>
              </w:rPr>
            </w:pPr>
            <w:r>
              <w:rPr>
                <w:sz w:val="18"/>
                <w:szCs w:val="18"/>
              </w:rPr>
              <w:t>700,518</w:t>
            </w:r>
          </w:p>
        </w:tc>
        <w:tc>
          <w:tcPr>
            <w:tcW w:w="1134" w:type="dxa"/>
            <w:tcBorders>
              <w:top w:val="nil"/>
              <w:left w:val="nil"/>
              <w:bottom w:val="nil"/>
              <w:right w:val="single" w:sz="6" w:space="0" w:color="339966"/>
            </w:tcBorders>
            <w:shd w:val="clear" w:color="auto" w:fill="CCFFCC"/>
            <w:vAlign w:val="center"/>
          </w:tcPr>
          <w:p w:rsidR="00EB686F" w:rsidRDefault="00EB686F" w:rsidP="00EB686F">
            <w:pPr>
              <w:spacing w:line="360" w:lineRule="auto"/>
              <w:ind w:leftChars="135" w:left="283"/>
              <w:jc w:val="right"/>
              <w:rPr>
                <w:sz w:val="18"/>
                <w:szCs w:val="18"/>
              </w:rPr>
            </w:pPr>
            <w:r>
              <w:rPr>
                <w:sz w:val="18"/>
                <w:szCs w:val="18"/>
              </w:rPr>
              <w:t>9.0%</w:t>
            </w:r>
          </w:p>
        </w:tc>
        <w:tc>
          <w:tcPr>
            <w:tcW w:w="1747" w:type="dxa"/>
            <w:tcBorders>
              <w:top w:val="nil"/>
              <w:left w:val="nil"/>
              <w:bottom w:val="nil"/>
              <w:right w:val="single" w:sz="6" w:space="0" w:color="339966"/>
            </w:tcBorders>
            <w:shd w:val="clear" w:color="auto" w:fill="CCFFCC"/>
            <w:vAlign w:val="center"/>
          </w:tcPr>
          <w:p w:rsidR="00EB686F" w:rsidRDefault="00EB686F" w:rsidP="00EB686F">
            <w:pPr>
              <w:spacing w:line="360" w:lineRule="auto"/>
              <w:ind w:leftChars="135" w:left="283"/>
              <w:jc w:val="right"/>
              <w:rPr>
                <w:sz w:val="18"/>
                <w:szCs w:val="18"/>
              </w:rPr>
            </w:pPr>
            <w:r>
              <w:rPr>
                <w:sz w:val="18"/>
                <w:szCs w:val="18"/>
              </w:rPr>
              <w:t>56,449</w:t>
            </w:r>
          </w:p>
        </w:tc>
        <w:tc>
          <w:tcPr>
            <w:tcW w:w="1546" w:type="dxa"/>
            <w:shd w:val="clear" w:color="auto" w:fill="CCFFCC"/>
            <w:vAlign w:val="center"/>
          </w:tcPr>
          <w:p w:rsidR="00EB686F" w:rsidRDefault="00EB686F" w:rsidP="00EB686F">
            <w:pPr>
              <w:spacing w:line="360" w:lineRule="auto"/>
              <w:ind w:firstLineChars="300" w:firstLine="540"/>
              <w:jc w:val="right"/>
              <w:rPr>
                <w:sz w:val="18"/>
                <w:szCs w:val="18"/>
              </w:rPr>
            </w:pPr>
            <w:r>
              <w:rPr>
                <w:sz w:val="18"/>
                <w:szCs w:val="18"/>
              </w:rPr>
              <w:t>11,641</w:t>
            </w:r>
          </w:p>
        </w:tc>
      </w:tr>
      <w:tr w:rsidR="00EB686F" w:rsidTr="00EB686F">
        <w:trPr>
          <w:trHeight w:val="441"/>
          <w:jc w:val="center"/>
        </w:trPr>
        <w:tc>
          <w:tcPr>
            <w:tcW w:w="2315" w:type="dxa"/>
            <w:tcBorders>
              <w:top w:val="nil"/>
              <w:left w:val="nil"/>
              <w:bottom w:val="nil"/>
              <w:right w:val="single" w:sz="4" w:space="0" w:color="339966"/>
            </w:tcBorders>
            <w:vAlign w:val="center"/>
          </w:tcPr>
          <w:p w:rsidR="00EB686F" w:rsidRDefault="00EB686F" w:rsidP="00EB686F">
            <w:pPr>
              <w:spacing w:line="360" w:lineRule="auto"/>
              <w:ind w:left="441"/>
              <w:rPr>
                <w:sz w:val="18"/>
                <w:szCs w:val="18"/>
              </w:rPr>
            </w:pPr>
            <w:r>
              <w:rPr>
                <w:sz w:val="18"/>
                <w:szCs w:val="18"/>
              </w:rPr>
              <w:t>Non-financial enterprises</w:t>
            </w:r>
          </w:p>
        </w:tc>
        <w:tc>
          <w:tcPr>
            <w:tcW w:w="1370" w:type="dxa"/>
            <w:tcBorders>
              <w:top w:val="nil"/>
              <w:left w:val="nil"/>
              <w:bottom w:val="nil"/>
              <w:right w:val="single" w:sz="6" w:space="0" w:color="339966"/>
            </w:tcBorders>
            <w:vAlign w:val="center"/>
          </w:tcPr>
          <w:p w:rsidR="00EB686F" w:rsidRDefault="00EB686F" w:rsidP="00EB686F">
            <w:pPr>
              <w:spacing w:line="360" w:lineRule="auto"/>
              <w:ind w:leftChars="135" w:left="283"/>
              <w:jc w:val="right"/>
              <w:rPr>
                <w:sz w:val="18"/>
                <w:szCs w:val="18"/>
              </w:rPr>
            </w:pPr>
            <w:r>
              <w:rPr>
                <w:sz w:val="18"/>
                <w:szCs w:val="18"/>
              </w:rPr>
              <w:t>547,417</w:t>
            </w:r>
          </w:p>
        </w:tc>
        <w:tc>
          <w:tcPr>
            <w:tcW w:w="1134" w:type="dxa"/>
            <w:tcBorders>
              <w:top w:val="nil"/>
              <w:left w:val="nil"/>
              <w:bottom w:val="nil"/>
              <w:right w:val="single" w:sz="6" w:space="0" w:color="339966"/>
            </w:tcBorders>
            <w:vAlign w:val="center"/>
          </w:tcPr>
          <w:p w:rsidR="00EB686F" w:rsidRDefault="00EB686F" w:rsidP="00EB686F">
            <w:pPr>
              <w:spacing w:line="360" w:lineRule="auto"/>
              <w:ind w:leftChars="135" w:left="283"/>
              <w:jc w:val="right"/>
              <w:rPr>
                <w:sz w:val="18"/>
                <w:szCs w:val="18"/>
              </w:rPr>
            </w:pPr>
            <w:r>
              <w:rPr>
                <w:sz w:val="18"/>
                <w:szCs w:val="18"/>
              </w:rPr>
              <w:t>4.9%</w:t>
            </w:r>
          </w:p>
        </w:tc>
        <w:tc>
          <w:tcPr>
            <w:tcW w:w="1747" w:type="dxa"/>
            <w:tcBorders>
              <w:top w:val="nil"/>
              <w:left w:val="nil"/>
              <w:bottom w:val="nil"/>
              <w:right w:val="single" w:sz="6" w:space="0" w:color="339966"/>
            </w:tcBorders>
            <w:vAlign w:val="center"/>
          </w:tcPr>
          <w:p w:rsidR="00EB686F" w:rsidRDefault="00EB686F" w:rsidP="00EB686F">
            <w:pPr>
              <w:spacing w:line="360" w:lineRule="auto"/>
              <w:ind w:leftChars="135" w:left="283"/>
              <w:jc w:val="right"/>
              <w:rPr>
                <w:sz w:val="18"/>
                <w:szCs w:val="18"/>
              </w:rPr>
            </w:pPr>
            <w:r>
              <w:rPr>
                <w:sz w:val="18"/>
                <w:szCs w:val="18"/>
              </w:rPr>
              <w:t>6,025</w:t>
            </w:r>
          </w:p>
        </w:tc>
        <w:tc>
          <w:tcPr>
            <w:tcW w:w="1546" w:type="dxa"/>
            <w:vAlign w:val="center"/>
          </w:tcPr>
          <w:p w:rsidR="00EB686F" w:rsidRDefault="00EB686F" w:rsidP="00EB686F">
            <w:pPr>
              <w:spacing w:line="360" w:lineRule="auto"/>
              <w:ind w:leftChars="135" w:left="283" w:firstLineChars="100" w:firstLine="180"/>
              <w:jc w:val="right"/>
              <w:rPr>
                <w:sz w:val="18"/>
                <w:szCs w:val="18"/>
              </w:rPr>
            </w:pPr>
            <w:r>
              <w:rPr>
                <w:sz w:val="18"/>
                <w:szCs w:val="18"/>
              </w:rPr>
              <w:t>-14,297</w:t>
            </w:r>
          </w:p>
        </w:tc>
      </w:tr>
      <w:tr w:rsidR="00EB686F" w:rsidTr="00EB686F">
        <w:trPr>
          <w:trHeight w:val="315"/>
          <w:jc w:val="center"/>
        </w:trPr>
        <w:tc>
          <w:tcPr>
            <w:tcW w:w="2315" w:type="dxa"/>
            <w:tcBorders>
              <w:top w:val="nil"/>
              <w:left w:val="nil"/>
              <w:bottom w:val="nil"/>
              <w:right w:val="single" w:sz="4" w:space="0" w:color="339966"/>
            </w:tcBorders>
            <w:shd w:val="clear" w:color="auto" w:fill="CCFFCC"/>
            <w:vAlign w:val="center"/>
          </w:tcPr>
          <w:p w:rsidR="00EB686F" w:rsidRDefault="00EB686F" w:rsidP="00EB686F">
            <w:pPr>
              <w:spacing w:line="360" w:lineRule="auto"/>
              <w:ind w:left="441"/>
              <w:rPr>
                <w:sz w:val="18"/>
                <w:szCs w:val="18"/>
              </w:rPr>
            </w:pPr>
            <w:r>
              <w:rPr>
                <w:sz w:val="18"/>
                <w:szCs w:val="18"/>
              </w:rPr>
              <w:t>Government</w:t>
            </w:r>
          </w:p>
        </w:tc>
        <w:tc>
          <w:tcPr>
            <w:tcW w:w="1370" w:type="dxa"/>
            <w:tcBorders>
              <w:top w:val="nil"/>
              <w:left w:val="nil"/>
              <w:bottom w:val="nil"/>
              <w:right w:val="single" w:sz="6" w:space="0" w:color="339966"/>
            </w:tcBorders>
            <w:shd w:val="clear" w:color="auto" w:fill="CCFFCC"/>
            <w:vAlign w:val="center"/>
          </w:tcPr>
          <w:p w:rsidR="00EB686F" w:rsidRDefault="00EB686F" w:rsidP="00EB686F">
            <w:pPr>
              <w:spacing w:line="360" w:lineRule="auto"/>
              <w:ind w:leftChars="135" w:left="283"/>
              <w:jc w:val="right"/>
              <w:rPr>
                <w:sz w:val="18"/>
                <w:szCs w:val="18"/>
              </w:rPr>
            </w:pPr>
            <w:r>
              <w:rPr>
                <w:sz w:val="18"/>
                <w:szCs w:val="18"/>
              </w:rPr>
              <w:t>342,685</w:t>
            </w:r>
          </w:p>
        </w:tc>
        <w:tc>
          <w:tcPr>
            <w:tcW w:w="1134" w:type="dxa"/>
            <w:tcBorders>
              <w:top w:val="nil"/>
              <w:left w:val="nil"/>
              <w:bottom w:val="nil"/>
              <w:right w:val="single" w:sz="6" w:space="0" w:color="339966"/>
            </w:tcBorders>
            <w:shd w:val="clear" w:color="auto" w:fill="CCFFCC"/>
            <w:vAlign w:val="center"/>
          </w:tcPr>
          <w:p w:rsidR="00EB686F" w:rsidRDefault="00EB686F" w:rsidP="00EB686F">
            <w:pPr>
              <w:spacing w:line="360" w:lineRule="auto"/>
              <w:ind w:leftChars="135" w:left="283"/>
              <w:jc w:val="right"/>
              <w:rPr>
                <w:sz w:val="18"/>
                <w:szCs w:val="18"/>
              </w:rPr>
            </w:pPr>
            <w:r>
              <w:rPr>
                <w:sz w:val="18"/>
                <w:szCs w:val="18"/>
              </w:rPr>
              <w:t>11.3%</w:t>
            </w:r>
          </w:p>
        </w:tc>
        <w:tc>
          <w:tcPr>
            <w:tcW w:w="1747" w:type="dxa"/>
            <w:tcBorders>
              <w:top w:val="nil"/>
              <w:left w:val="nil"/>
              <w:bottom w:val="nil"/>
              <w:right w:val="single" w:sz="6" w:space="0" w:color="339966"/>
            </w:tcBorders>
            <w:shd w:val="clear" w:color="auto" w:fill="CCFFCC"/>
            <w:vAlign w:val="center"/>
          </w:tcPr>
          <w:p w:rsidR="00EB686F" w:rsidRDefault="00EB686F" w:rsidP="00EB686F">
            <w:pPr>
              <w:spacing w:line="360" w:lineRule="auto"/>
              <w:ind w:leftChars="135" w:left="283"/>
              <w:jc w:val="right"/>
              <w:rPr>
                <w:sz w:val="18"/>
                <w:szCs w:val="18"/>
              </w:rPr>
            </w:pPr>
            <w:r>
              <w:rPr>
                <w:sz w:val="18"/>
                <w:szCs w:val="18"/>
              </w:rPr>
              <w:t>37,666</w:t>
            </w:r>
          </w:p>
        </w:tc>
        <w:tc>
          <w:tcPr>
            <w:tcW w:w="1546" w:type="dxa"/>
            <w:shd w:val="clear" w:color="auto" w:fill="CCFFCC"/>
            <w:vAlign w:val="center"/>
          </w:tcPr>
          <w:p w:rsidR="00EB686F" w:rsidRDefault="00EB686F" w:rsidP="00EB686F">
            <w:pPr>
              <w:spacing w:line="360" w:lineRule="auto"/>
              <w:jc w:val="right"/>
              <w:rPr>
                <w:sz w:val="18"/>
                <w:szCs w:val="18"/>
              </w:rPr>
            </w:pPr>
            <w:r>
              <w:rPr>
                <w:sz w:val="18"/>
                <w:szCs w:val="18"/>
              </w:rPr>
              <w:t>287</w:t>
            </w:r>
          </w:p>
        </w:tc>
      </w:tr>
      <w:tr w:rsidR="00EB686F" w:rsidTr="00EB686F">
        <w:trPr>
          <w:trHeight w:val="315"/>
          <w:jc w:val="center"/>
        </w:trPr>
        <w:tc>
          <w:tcPr>
            <w:tcW w:w="2315" w:type="dxa"/>
            <w:tcBorders>
              <w:top w:val="nil"/>
              <w:left w:val="nil"/>
              <w:bottom w:val="nil"/>
              <w:right w:val="single" w:sz="4" w:space="0" w:color="339966"/>
            </w:tcBorders>
            <w:vAlign w:val="center"/>
          </w:tcPr>
          <w:p w:rsidR="00EB686F" w:rsidRDefault="00EB686F" w:rsidP="00EB686F">
            <w:pPr>
              <w:spacing w:line="360" w:lineRule="auto"/>
              <w:ind w:left="442"/>
              <w:rPr>
                <w:sz w:val="18"/>
                <w:szCs w:val="18"/>
              </w:rPr>
            </w:pPr>
            <w:r>
              <w:rPr>
                <w:sz w:val="18"/>
                <w:szCs w:val="18"/>
              </w:rPr>
              <w:t>Non-banking financial</w:t>
            </w:r>
          </w:p>
          <w:p w:rsidR="00EB686F" w:rsidRDefault="00EB686F" w:rsidP="00EB686F">
            <w:pPr>
              <w:spacing w:line="360" w:lineRule="auto"/>
              <w:ind w:left="442"/>
              <w:rPr>
                <w:sz w:val="18"/>
                <w:szCs w:val="18"/>
              </w:rPr>
            </w:pPr>
            <w:r>
              <w:rPr>
                <w:sz w:val="18"/>
                <w:szCs w:val="18"/>
              </w:rPr>
              <w:t>institutions</w:t>
            </w:r>
          </w:p>
        </w:tc>
        <w:tc>
          <w:tcPr>
            <w:tcW w:w="1370" w:type="dxa"/>
            <w:tcBorders>
              <w:top w:val="nil"/>
              <w:left w:val="nil"/>
              <w:bottom w:val="nil"/>
              <w:right w:val="single" w:sz="6" w:space="0" w:color="339966"/>
            </w:tcBorders>
            <w:vAlign w:val="center"/>
          </w:tcPr>
          <w:p w:rsidR="00EB686F" w:rsidRDefault="00EB686F" w:rsidP="00EB686F">
            <w:pPr>
              <w:spacing w:line="360" w:lineRule="auto"/>
              <w:ind w:leftChars="135" w:left="283"/>
              <w:jc w:val="right"/>
              <w:rPr>
                <w:sz w:val="18"/>
                <w:szCs w:val="18"/>
              </w:rPr>
            </w:pPr>
            <w:r>
              <w:rPr>
                <w:sz w:val="18"/>
                <w:szCs w:val="18"/>
              </w:rPr>
              <w:t>159,206</w:t>
            </w:r>
          </w:p>
        </w:tc>
        <w:tc>
          <w:tcPr>
            <w:tcW w:w="1134" w:type="dxa"/>
            <w:tcBorders>
              <w:top w:val="nil"/>
              <w:left w:val="nil"/>
              <w:bottom w:val="nil"/>
              <w:right w:val="single" w:sz="6" w:space="0" w:color="339966"/>
            </w:tcBorders>
            <w:vAlign w:val="center"/>
          </w:tcPr>
          <w:p w:rsidR="00EB686F" w:rsidRDefault="00EB686F" w:rsidP="00EB686F">
            <w:pPr>
              <w:spacing w:line="360" w:lineRule="auto"/>
              <w:ind w:leftChars="135" w:left="283"/>
              <w:jc w:val="right"/>
              <w:rPr>
                <w:sz w:val="18"/>
                <w:szCs w:val="18"/>
              </w:rPr>
            </w:pPr>
            <w:r>
              <w:rPr>
                <w:sz w:val="18"/>
                <w:szCs w:val="18"/>
              </w:rPr>
              <w:t>14.0%</w:t>
            </w:r>
          </w:p>
        </w:tc>
        <w:tc>
          <w:tcPr>
            <w:tcW w:w="1747" w:type="dxa"/>
            <w:tcBorders>
              <w:top w:val="nil"/>
              <w:left w:val="nil"/>
              <w:bottom w:val="nil"/>
              <w:right w:val="single" w:sz="6" w:space="0" w:color="339966"/>
            </w:tcBorders>
            <w:vAlign w:val="center"/>
          </w:tcPr>
          <w:p w:rsidR="00EB686F" w:rsidRDefault="00EB686F" w:rsidP="00EB686F">
            <w:pPr>
              <w:spacing w:line="360" w:lineRule="auto"/>
              <w:ind w:leftChars="135" w:left="283"/>
              <w:jc w:val="right"/>
              <w:rPr>
                <w:sz w:val="18"/>
                <w:szCs w:val="18"/>
              </w:rPr>
            </w:pPr>
            <w:r>
              <w:rPr>
                <w:sz w:val="18"/>
                <w:szCs w:val="18"/>
              </w:rPr>
              <w:t>18,976</w:t>
            </w:r>
          </w:p>
        </w:tc>
        <w:tc>
          <w:tcPr>
            <w:tcW w:w="1546" w:type="dxa"/>
            <w:vAlign w:val="center"/>
          </w:tcPr>
          <w:p w:rsidR="00EB686F" w:rsidRDefault="00EB686F" w:rsidP="00EB686F">
            <w:pPr>
              <w:keepNext/>
              <w:spacing w:line="360" w:lineRule="auto"/>
              <w:ind w:firstLineChars="200" w:firstLine="360"/>
              <w:jc w:val="right"/>
              <w:rPr>
                <w:sz w:val="18"/>
                <w:szCs w:val="18"/>
              </w:rPr>
            </w:pPr>
            <w:r>
              <w:rPr>
                <w:sz w:val="18"/>
                <w:szCs w:val="18"/>
              </w:rPr>
              <w:t>6,578</w:t>
            </w:r>
          </w:p>
        </w:tc>
      </w:tr>
      <w:tr w:rsidR="00EB686F" w:rsidTr="00EB686F">
        <w:trPr>
          <w:trHeight w:val="315"/>
          <w:jc w:val="center"/>
        </w:trPr>
        <w:tc>
          <w:tcPr>
            <w:tcW w:w="2315" w:type="dxa"/>
            <w:tcBorders>
              <w:top w:val="nil"/>
              <w:left w:val="nil"/>
              <w:bottom w:val="single" w:sz="12" w:space="0" w:color="339966"/>
              <w:right w:val="single" w:sz="4" w:space="0" w:color="339966"/>
            </w:tcBorders>
            <w:shd w:val="clear" w:color="auto" w:fill="CCFFCC"/>
            <w:vAlign w:val="center"/>
          </w:tcPr>
          <w:p w:rsidR="00EB686F" w:rsidRDefault="00EB686F" w:rsidP="00EB686F">
            <w:pPr>
              <w:spacing w:line="360" w:lineRule="auto"/>
              <w:ind w:left="441"/>
              <w:rPr>
                <w:sz w:val="24"/>
              </w:rPr>
            </w:pPr>
            <w:r>
              <w:rPr>
                <w:sz w:val="18"/>
                <w:szCs w:val="18"/>
              </w:rPr>
              <w:t>Overseas</w:t>
            </w:r>
          </w:p>
        </w:tc>
        <w:tc>
          <w:tcPr>
            <w:tcW w:w="1370" w:type="dxa"/>
            <w:tcBorders>
              <w:top w:val="nil"/>
              <w:left w:val="nil"/>
              <w:bottom w:val="single" w:sz="12" w:space="0" w:color="339966"/>
              <w:right w:val="single" w:sz="6" w:space="0" w:color="339966"/>
            </w:tcBorders>
            <w:shd w:val="clear" w:color="auto" w:fill="CCFFCC"/>
            <w:vAlign w:val="center"/>
          </w:tcPr>
          <w:p w:rsidR="00EB686F" w:rsidRDefault="00EB686F" w:rsidP="00EB686F">
            <w:pPr>
              <w:tabs>
                <w:tab w:val="left" w:pos="238"/>
              </w:tabs>
              <w:spacing w:line="360" w:lineRule="auto"/>
              <w:ind w:firstLineChars="200" w:firstLine="360"/>
              <w:jc w:val="right"/>
              <w:rPr>
                <w:sz w:val="18"/>
                <w:szCs w:val="18"/>
              </w:rPr>
            </w:pPr>
            <w:r>
              <w:rPr>
                <w:sz w:val="18"/>
                <w:szCs w:val="18"/>
              </w:rPr>
              <w:t>11,441</w:t>
            </w:r>
          </w:p>
        </w:tc>
        <w:tc>
          <w:tcPr>
            <w:tcW w:w="1134" w:type="dxa"/>
            <w:tcBorders>
              <w:top w:val="nil"/>
              <w:left w:val="nil"/>
              <w:bottom w:val="single" w:sz="12" w:space="0" w:color="339966"/>
              <w:right w:val="single" w:sz="6" w:space="0" w:color="339966"/>
            </w:tcBorders>
            <w:shd w:val="clear" w:color="auto" w:fill="CCFFCC"/>
            <w:vAlign w:val="center"/>
          </w:tcPr>
          <w:p w:rsidR="00EB686F" w:rsidRDefault="00EB686F" w:rsidP="00EB686F">
            <w:pPr>
              <w:spacing w:line="360" w:lineRule="auto"/>
              <w:ind w:leftChars="135" w:left="283"/>
              <w:jc w:val="right"/>
              <w:rPr>
                <w:sz w:val="18"/>
                <w:szCs w:val="18"/>
              </w:rPr>
            </w:pPr>
            <w:r>
              <w:rPr>
                <w:sz w:val="18"/>
                <w:szCs w:val="18"/>
              </w:rPr>
              <w:t>7.7%</w:t>
            </w:r>
          </w:p>
        </w:tc>
        <w:tc>
          <w:tcPr>
            <w:tcW w:w="1747" w:type="dxa"/>
            <w:tcBorders>
              <w:top w:val="nil"/>
              <w:left w:val="nil"/>
              <w:bottom w:val="single" w:sz="12" w:space="0" w:color="339966"/>
              <w:right w:val="single" w:sz="6" w:space="0" w:color="339966"/>
            </w:tcBorders>
            <w:shd w:val="clear" w:color="auto" w:fill="CCFFCC"/>
            <w:vAlign w:val="center"/>
          </w:tcPr>
          <w:p w:rsidR="00EB686F" w:rsidRDefault="00EB686F" w:rsidP="00EB686F">
            <w:pPr>
              <w:spacing w:line="360" w:lineRule="auto"/>
              <w:ind w:leftChars="135" w:left="283"/>
              <w:jc w:val="right"/>
              <w:rPr>
                <w:sz w:val="18"/>
                <w:szCs w:val="18"/>
              </w:rPr>
            </w:pPr>
            <w:r>
              <w:rPr>
                <w:sz w:val="18"/>
                <w:szCs w:val="18"/>
              </w:rPr>
              <w:t>974</w:t>
            </w:r>
          </w:p>
        </w:tc>
        <w:tc>
          <w:tcPr>
            <w:tcW w:w="1546" w:type="dxa"/>
            <w:tcBorders>
              <w:top w:val="nil"/>
              <w:left w:val="nil"/>
              <w:bottom w:val="single" w:sz="12" w:space="0" w:color="339966"/>
              <w:right w:val="nil"/>
            </w:tcBorders>
            <w:shd w:val="clear" w:color="auto" w:fill="CCFFCC"/>
            <w:vAlign w:val="center"/>
          </w:tcPr>
          <w:p w:rsidR="00EB686F" w:rsidRDefault="00EB686F" w:rsidP="00EB686F">
            <w:pPr>
              <w:keepNext/>
              <w:spacing w:line="360" w:lineRule="auto"/>
              <w:jc w:val="right"/>
              <w:rPr>
                <w:sz w:val="18"/>
                <w:szCs w:val="18"/>
              </w:rPr>
            </w:pPr>
            <w:r>
              <w:rPr>
                <w:sz w:val="18"/>
                <w:szCs w:val="18"/>
              </w:rPr>
              <w:t>-953</w:t>
            </w:r>
          </w:p>
        </w:tc>
      </w:tr>
    </w:tbl>
    <w:p w:rsidR="00EB686F" w:rsidRDefault="00EB686F" w:rsidP="00EB686F">
      <w:pPr>
        <w:widowControl/>
        <w:spacing w:line="360" w:lineRule="auto"/>
        <w:rPr>
          <w:rFonts w:eastAsia="KaiTi_GB2312"/>
          <w:sz w:val="24"/>
        </w:rPr>
      </w:pPr>
    </w:p>
    <w:p w:rsidR="00EB686F" w:rsidRPr="00EB686F" w:rsidRDefault="00EB686F" w:rsidP="00EB686F">
      <w:pPr>
        <w:widowControl/>
        <w:spacing w:line="360" w:lineRule="auto"/>
        <w:rPr>
          <w:rFonts w:eastAsiaTheme="minorEastAsia"/>
          <w:sz w:val="24"/>
        </w:rPr>
      </w:pPr>
      <w:r>
        <w:rPr>
          <w:rFonts w:eastAsia="KaiTi_GB2312"/>
          <w:sz w:val="24"/>
        </w:rPr>
        <w:t xml:space="preserve">Source: People’s Bank of China. </w:t>
      </w:r>
    </w:p>
    <w:p w:rsidR="00EB686F" w:rsidRDefault="00EB686F" w:rsidP="00EB686F"/>
    <w:p w:rsidR="00EB686F" w:rsidRDefault="00EB686F" w:rsidP="00EB686F">
      <w:pPr>
        <w:keepNext/>
        <w:widowControl/>
        <w:spacing w:after="240" w:line="360" w:lineRule="auto"/>
        <w:outlineLvl w:val="1"/>
        <w:rPr>
          <w:rFonts w:eastAsia="黑体"/>
          <w:b/>
          <w:bCs/>
          <w:iCs/>
          <w:kern w:val="0"/>
          <w:sz w:val="24"/>
        </w:rPr>
      </w:pPr>
      <w:bookmarkStart w:id="27" w:name="_Toc532201079"/>
      <w:r>
        <w:rPr>
          <w:rFonts w:eastAsia="黑体" w:hint="eastAsia"/>
          <w:b/>
          <w:bCs/>
          <w:iCs/>
          <w:kern w:val="0"/>
          <w:sz w:val="24"/>
        </w:rPr>
        <w:lastRenderedPageBreak/>
        <w:t>III</w:t>
      </w:r>
      <w:r>
        <w:rPr>
          <w:rFonts w:eastAsia="黑体"/>
          <w:b/>
          <w:bCs/>
          <w:iCs/>
          <w:kern w:val="0"/>
          <w:sz w:val="24"/>
          <w:lang w:eastAsia="zh-TW"/>
        </w:rPr>
        <w:t xml:space="preserve">. The </w:t>
      </w:r>
      <w:r>
        <w:rPr>
          <w:rFonts w:eastAsia="黑体" w:hint="eastAsia"/>
          <w:b/>
          <w:sz w:val="24"/>
        </w:rPr>
        <w:t>Money supply and all-system financing a</w:t>
      </w:r>
      <w:r>
        <w:rPr>
          <w:rFonts w:eastAsia="黑体"/>
          <w:b/>
          <w:sz w:val="24"/>
        </w:rPr>
        <w:t xml:space="preserve">ggregates </w:t>
      </w:r>
      <w:r>
        <w:rPr>
          <w:rFonts w:eastAsia="黑体" w:hint="eastAsia"/>
          <w:b/>
          <w:sz w:val="24"/>
        </w:rPr>
        <w:t xml:space="preserve">increased </w:t>
      </w:r>
      <w:r>
        <w:rPr>
          <w:rFonts w:eastAsia="黑体"/>
          <w:b/>
          <w:sz w:val="24"/>
        </w:rPr>
        <w:t>moderately</w:t>
      </w:r>
      <w:bookmarkEnd w:id="27"/>
    </w:p>
    <w:p w:rsidR="00EB686F" w:rsidRDefault="00EB686F" w:rsidP="00EB686F">
      <w:pPr>
        <w:spacing w:line="360" w:lineRule="auto"/>
        <w:rPr>
          <w:rFonts w:eastAsia="仿宋_GB2312"/>
          <w:sz w:val="24"/>
        </w:rPr>
      </w:pPr>
      <w:r>
        <w:rPr>
          <w:rFonts w:eastAsia="仿宋_GB2312"/>
          <w:sz w:val="24"/>
        </w:rPr>
        <w:t xml:space="preserve">The growth of M2 stabilized </w:t>
      </w:r>
      <w:r>
        <w:rPr>
          <w:rFonts w:eastAsia="仿宋_GB2312" w:hint="eastAsia"/>
          <w:sz w:val="24"/>
        </w:rPr>
        <w:t xml:space="preserve">and </w:t>
      </w:r>
      <w:r>
        <w:rPr>
          <w:rFonts w:eastAsia="仿宋_GB2312"/>
          <w:sz w:val="24"/>
        </w:rPr>
        <w:t xml:space="preserve">was </w:t>
      </w:r>
      <w:r>
        <w:rPr>
          <w:rFonts w:eastAsia="仿宋_GB2312" w:hint="eastAsia"/>
          <w:sz w:val="24"/>
        </w:rPr>
        <w:t>roughly equ</w:t>
      </w:r>
      <w:r>
        <w:rPr>
          <w:rFonts w:eastAsia="仿宋_GB2312"/>
          <w:sz w:val="24"/>
        </w:rPr>
        <w:t xml:space="preserve">ivalent to </w:t>
      </w:r>
      <w:r>
        <w:rPr>
          <w:rFonts w:eastAsia="仿宋_GB2312" w:hint="eastAsia"/>
          <w:sz w:val="24"/>
        </w:rPr>
        <w:t xml:space="preserve">nominal GDP </w:t>
      </w:r>
      <w:r>
        <w:rPr>
          <w:rFonts w:eastAsia="仿宋_GB2312"/>
          <w:sz w:val="24"/>
        </w:rPr>
        <w:t>growth</w:t>
      </w:r>
      <w:r>
        <w:rPr>
          <w:rFonts w:eastAsia="仿宋_GB2312" w:hint="eastAsia"/>
          <w:sz w:val="24"/>
        </w:rPr>
        <w:t xml:space="preserve">. </w:t>
      </w:r>
      <w:r>
        <w:rPr>
          <w:rFonts w:eastAsia="仿宋_GB2312"/>
          <w:sz w:val="24"/>
        </w:rPr>
        <w:t>At end-September, outstanding M2 stood at RMB 180</w:t>
      </w:r>
      <w:r>
        <w:rPr>
          <w:rFonts w:eastAsia="仿宋_GB2312" w:hint="eastAsia"/>
          <w:sz w:val="24"/>
        </w:rPr>
        <w:t>.</w:t>
      </w:r>
      <w:r>
        <w:rPr>
          <w:rFonts w:eastAsia="仿宋_GB2312"/>
          <w:sz w:val="24"/>
        </w:rPr>
        <w:t xml:space="preserve">2 trillion, up 8.3 percent year on year and representing an </w:t>
      </w:r>
      <w:r>
        <w:rPr>
          <w:rFonts w:eastAsia="仿宋_GB2312" w:hint="eastAsia"/>
          <w:sz w:val="24"/>
        </w:rPr>
        <w:t>acceleration</w:t>
      </w:r>
      <w:r>
        <w:rPr>
          <w:rFonts w:eastAsia="仿宋_GB2312"/>
          <w:sz w:val="24"/>
        </w:rPr>
        <w:t xml:space="preserve"> of </w:t>
      </w:r>
      <w:r>
        <w:rPr>
          <w:rFonts w:eastAsia="仿宋_GB2312" w:hint="eastAsia"/>
          <w:sz w:val="24"/>
        </w:rPr>
        <w:t>0</w:t>
      </w:r>
      <w:r>
        <w:rPr>
          <w:rFonts w:eastAsia="仿宋_GB2312"/>
          <w:sz w:val="24"/>
        </w:rPr>
        <w:t xml:space="preserve">.3 percentage point from end-June. Outstanding M1 stood at RMB 53.9 trillion, up 4.0 percent year on year. Outstanding M0 reached RMB 7.1 trillion, up 2.2 percent year on year. On a net basis, during the first three quarters the PBC injected RMB 60.9 billion of cash into the economy, </w:t>
      </w:r>
      <w:r>
        <w:rPr>
          <w:rFonts w:eastAsia="仿宋_GB2312" w:hint="eastAsia"/>
          <w:sz w:val="24"/>
        </w:rPr>
        <w:t>a decrease of</w:t>
      </w:r>
      <w:r>
        <w:rPr>
          <w:rFonts w:eastAsia="仿宋_GB2312"/>
          <w:sz w:val="24"/>
        </w:rPr>
        <w:t xml:space="preserve"> RMB 83.6 billion</w:t>
      </w:r>
      <w:r>
        <w:rPr>
          <w:rFonts w:eastAsia="仿宋_GB2312" w:hint="eastAsia"/>
          <w:sz w:val="24"/>
        </w:rPr>
        <w:t xml:space="preserve"> year on year</w:t>
      </w:r>
      <w:r>
        <w:rPr>
          <w:rFonts w:eastAsia="仿宋_GB2312"/>
          <w:sz w:val="24"/>
        </w:rPr>
        <w:t>.</w:t>
      </w:r>
      <w:r>
        <w:rPr>
          <w:rFonts w:eastAsia="仿宋_GB2312" w:hint="eastAsia"/>
          <w:sz w:val="24"/>
        </w:rPr>
        <w:t xml:space="preserve"> The growth of M2 in 201</w:t>
      </w:r>
      <w:r>
        <w:rPr>
          <w:rFonts w:eastAsia="仿宋_GB2312"/>
          <w:sz w:val="24"/>
        </w:rPr>
        <w:t>8</w:t>
      </w:r>
      <w:r>
        <w:rPr>
          <w:rFonts w:eastAsia="仿宋_GB2312" w:hint="eastAsia"/>
          <w:sz w:val="24"/>
        </w:rPr>
        <w:t xml:space="preserve"> </w:t>
      </w:r>
      <w:r>
        <w:rPr>
          <w:rFonts w:eastAsia="仿宋_GB2312"/>
          <w:sz w:val="24"/>
        </w:rPr>
        <w:t>stabilized at over 8 percent, generally in line with nominal GDP growth.</w:t>
      </w:r>
      <w:r>
        <w:rPr>
          <w:rFonts w:eastAsia="仿宋_GB2312" w:hint="eastAsia"/>
          <w:sz w:val="24"/>
        </w:rPr>
        <w:t xml:space="preserve"> </w:t>
      </w:r>
    </w:p>
    <w:p w:rsidR="00EB686F" w:rsidRDefault="00EB686F" w:rsidP="00EB686F">
      <w:pPr>
        <w:spacing w:line="360" w:lineRule="auto"/>
        <w:ind w:firstLine="420"/>
        <w:rPr>
          <w:rFonts w:eastAsia="仿宋_GB2312"/>
          <w:sz w:val="24"/>
        </w:rPr>
      </w:pPr>
      <w:r>
        <w:rPr>
          <w:rFonts w:eastAsia="仿宋_GB2312"/>
          <w:sz w:val="24"/>
        </w:rPr>
        <w:t>All-system financing aggregates increased moderately</w:t>
      </w:r>
      <w:r>
        <w:rPr>
          <w:rFonts w:eastAsia="仿宋_GB2312" w:hint="eastAsia"/>
          <w:sz w:val="24"/>
        </w:rPr>
        <w:t xml:space="preserve">. </w:t>
      </w:r>
      <w:r>
        <w:rPr>
          <w:rFonts w:eastAsia="仿宋_GB2312"/>
          <w:sz w:val="24"/>
        </w:rPr>
        <w:t>According to preliminary statistics, outstanding all-system financing aggregates reached RMB 1</w:t>
      </w:r>
      <w:r>
        <w:rPr>
          <w:rFonts w:eastAsia="仿宋_GB2312" w:hint="eastAsia"/>
          <w:sz w:val="24"/>
        </w:rPr>
        <w:t>97</w:t>
      </w:r>
      <w:r>
        <w:rPr>
          <w:rFonts w:eastAsia="仿宋_GB2312"/>
          <w:sz w:val="24"/>
        </w:rPr>
        <w:t>.3 trillion at end-</w:t>
      </w:r>
      <w:r>
        <w:rPr>
          <w:rFonts w:eastAsia="仿宋_GB2312" w:hint="eastAsia"/>
          <w:sz w:val="24"/>
        </w:rPr>
        <w:t>September</w:t>
      </w:r>
      <w:r>
        <w:rPr>
          <w:rFonts w:eastAsia="仿宋_GB2312"/>
          <w:sz w:val="24"/>
        </w:rPr>
        <w:t xml:space="preserve">, up 10.6 percent year on year and representing a deceleration of 0.5 percentage point from end-June. </w:t>
      </w:r>
      <w:r>
        <w:rPr>
          <w:sz w:val="24"/>
        </w:rPr>
        <w:t>During</w:t>
      </w:r>
      <w:r>
        <w:rPr>
          <w:rFonts w:eastAsia="仿宋_GB2312"/>
          <w:sz w:val="24"/>
        </w:rPr>
        <w:t xml:space="preserve"> </w:t>
      </w:r>
      <w:r>
        <w:rPr>
          <w:rFonts w:eastAsia="仿宋_GB2312" w:hint="eastAsia"/>
          <w:sz w:val="24"/>
        </w:rPr>
        <w:t>the first three quarters</w:t>
      </w:r>
      <w:r>
        <w:rPr>
          <w:rFonts w:eastAsia="仿宋_GB2312"/>
          <w:sz w:val="24"/>
        </w:rPr>
        <w:t xml:space="preserve">, incremental all-system financing aggregates reached RMB 15.37 trillion, </w:t>
      </w:r>
      <w:r>
        <w:rPr>
          <w:rFonts w:eastAsia="仿宋_GB2312" w:hint="eastAsia"/>
          <w:sz w:val="24"/>
        </w:rPr>
        <w:t>down</w:t>
      </w:r>
      <w:r>
        <w:rPr>
          <w:rFonts w:eastAsia="仿宋_GB2312"/>
          <w:sz w:val="24"/>
        </w:rPr>
        <w:t xml:space="preserve"> RMB </w:t>
      </w:r>
      <w:r>
        <w:rPr>
          <w:rFonts w:eastAsia="仿宋_GB2312" w:hint="eastAsia"/>
          <w:sz w:val="24"/>
        </w:rPr>
        <w:t>2.</w:t>
      </w:r>
      <w:r>
        <w:rPr>
          <w:rFonts w:eastAsia="仿宋_GB2312"/>
          <w:sz w:val="24"/>
        </w:rPr>
        <w:t>32 trillion year on year.</w:t>
      </w:r>
      <w:r>
        <w:rPr>
          <w:rFonts w:eastAsia="仿宋_GB2312" w:hint="eastAsia"/>
          <w:sz w:val="24"/>
        </w:rPr>
        <w:t xml:space="preserve"> </w:t>
      </w:r>
      <w:r>
        <w:rPr>
          <w:sz w:val="24"/>
        </w:rPr>
        <w:t>During</w:t>
      </w:r>
      <w:r>
        <w:rPr>
          <w:rFonts w:eastAsia="仿宋_GB2312"/>
          <w:sz w:val="24"/>
        </w:rPr>
        <w:t xml:space="preserve"> the first three quarters, incremental all-system financing aggregates were characterized by the following:</w:t>
      </w:r>
      <w:r>
        <w:rPr>
          <w:rFonts w:eastAsia="仿宋_GB2312" w:hint="eastAsia"/>
          <w:sz w:val="24"/>
        </w:rPr>
        <w:t xml:space="preserve"> </w:t>
      </w:r>
      <w:r>
        <w:rPr>
          <w:rFonts w:eastAsia="仿宋_GB2312"/>
          <w:sz w:val="24"/>
        </w:rPr>
        <w:t xml:space="preserve">First, growth of RMB loans to the real economy registered a year-on-year acceleration. </w:t>
      </w:r>
      <w:r>
        <w:rPr>
          <w:sz w:val="24"/>
        </w:rPr>
        <w:t>During</w:t>
      </w:r>
      <w:r>
        <w:rPr>
          <w:rFonts w:eastAsia="仿宋_GB2312" w:hint="eastAsia"/>
          <w:sz w:val="24"/>
        </w:rPr>
        <w:t xml:space="preserve"> the</w:t>
      </w:r>
      <w:r>
        <w:rPr>
          <w:rFonts w:eastAsia="仿宋_GB2312"/>
          <w:sz w:val="24"/>
        </w:rPr>
        <w:t xml:space="preserve"> first three quarters, RMB loans </w:t>
      </w:r>
      <w:r>
        <w:rPr>
          <w:rFonts w:eastAsia="仿宋_GB2312" w:hint="eastAsia"/>
          <w:sz w:val="24"/>
        </w:rPr>
        <w:t xml:space="preserve">by financial institutions </w:t>
      </w:r>
      <w:r>
        <w:rPr>
          <w:rFonts w:eastAsia="仿宋_GB2312"/>
          <w:sz w:val="24"/>
        </w:rPr>
        <w:t xml:space="preserve">to the real economy increased by RMB 12.8 trillion, an acceleration of RMB 1.34 trillion </w:t>
      </w:r>
      <w:r>
        <w:rPr>
          <w:rFonts w:eastAsia="仿宋_GB2312" w:hint="eastAsia"/>
          <w:sz w:val="24"/>
        </w:rPr>
        <w:t>from the same period of the last year</w:t>
      </w:r>
      <w:r>
        <w:rPr>
          <w:rFonts w:eastAsia="仿宋_GB2312"/>
          <w:sz w:val="24"/>
        </w:rPr>
        <w:t xml:space="preserve"> and accounting for 83</w:t>
      </w:r>
      <w:r>
        <w:rPr>
          <w:rFonts w:eastAsia="仿宋_GB2312" w:hint="eastAsia"/>
          <w:sz w:val="24"/>
        </w:rPr>
        <w:t>.</w:t>
      </w:r>
      <w:r>
        <w:rPr>
          <w:rFonts w:eastAsia="仿宋_GB2312"/>
          <w:sz w:val="24"/>
        </w:rPr>
        <w:t>2 percent of the incremental all-system financing aggregates. Second, the growth of the three types of off-balance sheet financing registered a</w:t>
      </w:r>
      <w:r>
        <w:rPr>
          <w:rFonts w:eastAsia="仿宋_GB2312" w:hint="eastAsia"/>
          <w:sz w:val="24"/>
        </w:rPr>
        <w:t xml:space="preserve"> </w:t>
      </w:r>
      <w:r>
        <w:rPr>
          <w:rFonts w:eastAsia="仿宋_GB2312"/>
          <w:sz w:val="24"/>
        </w:rPr>
        <w:t xml:space="preserve">significant year-on-year </w:t>
      </w:r>
      <w:r>
        <w:rPr>
          <w:rFonts w:eastAsia="仿宋_GB2312" w:hint="eastAsia"/>
          <w:sz w:val="24"/>
        </w:rPr>
        <w:t>de</w:t>
      </w:r>
      <w:r>
        <w:rPr>
          <w:rFonts w:eastAsia="仿宋_GB2312"/>
          <w:sz w:val="24"/>
        </w:rPr>
        <w:t xml:space="preserve">celeration. </w:t>
      </w:r>
      <w:r>
        <w:rPr>
          <w:sz w:val="24"/>
        </w:rPr>
        <w:t>During</w:t>
      </w:r>
      <w:r>
        <w:rPr>
          <w:rFonts w:eastAsia="仿宋_GB2312" w:hint="eastAsia"/>
          <w:sz w:val="24"/>
        </w:rPr>
        <w:t xml:space="preserve"> the first three quarters</w:t>
      </w:r>
      <w:r>
        <w:rPr>
          <w:rFonts w:eastAsia="仿宋_GB2312"/>
          <w:sz w:val="24"/>
        </w:rPr>
        <w:t xml:space="preserve">, </w:t>
      </w:r>
      <w:r>
        <w:rPr>
          <w:rFonts w:eastAsia="仿宋_GB2312" w:hint="eastAsia"/>
          <w:sz w:val="24"/>
        </w:rPr>
        <w:t>en</w:t>
      </w:r>
      <w:r>
        <w:rPr>
          <w:rFonts w:eastAsia="仿宋_GB2312"/>
          <w:sz w:val="24"/>
        </w:rPr>
        <w:t>trust</w:t>
      </w:r>
      <w:r>
        <w:rPr>
          <w:rFonts w:eastAsia="仿宋_GB2312" w:hint="eastAsia"/>
          <w:sz w:val="24"/>
        </w:rPr>
        <w:t>ed</w:t>
      </w:r>
      <w:r>
        <w:rPr>
          <w:rFonts w:eastAsia="仿宋_GB2312"/>
          <w:sz w:val="24"/>
        </w:rPr>
        <w:t xml:space="preserve"> loans, trust loans, and undiscounted bankers’ acceptance bills</w:t>
      </w:r>
      <w:r>
        <w:rPr>
          <w:rFonts w:eastAsia="仿宋_GB2312" w:hint="eastAsia"/>
          <w:sz w:val="24"/>
        </w:rPr>
        <w:t xml:space="preserve"> decreased</w:t>
      </w:r>
      <w:r>
        <w:rPr>
          <w:rFonts w:eastAsia="仿宋_GB2312"/>
          <w:sz w:val="24"/>
        </w:rPr>
        <w:t xml:space="preserve"> </w:t>
      </w:r>
      <w:r>
        <w:rPr>
          <w:rFonts w:eastAsia="仿宋_GB2312" w:hint="eastAsia"/>
          <w:sz w:val="24"/>
        </w:rPr>
        <w:t xml:space="preserve">by </w:t>
      </w:r>
      <w:r>
        <w:rPr>
          <w:rFonts w:eastAsia="仿宋_GB2312"/>
          <w:sz w:val="24"/>
        </w:rPr>
        <w:t xml:space="preserve">RMB 2.3 trillion, representing a </w:t>
      </w:r>
      <w:r>
        <w:rPr>
          <w:rFonts w:eastAsia="仿宋_GB2312" w:hint="eastAsia"/>
          <w:sz w:val="24"/>
        </w:rPr>
        <w:t>de</w:t>
      </w:r>
      <w:r>
        <w:rPr>
          <w:rFonts w:eastAsia="仿宋_GB2312"/>
          <w:sz w:val="24"/>
        </w:rPr>
        <w:t>celeration of RMB 5.24</w:t>
      </w:r>
      <w:r>
        <w:rPr>
          <w:rFonts w:eastAsia="仿宋_GB2312" w:hint="eastAsia"/>
          <w:sz w:val="24"/>
        </w:rPr>
        <w:t xml:space="preserve"> trillion</w:t>
      </w:r>
      <w:r>
        <w:rPr>
          <w:rFonts w:eastAsia="仿宋_GB2312"/>
          <w:sz w:val="24"/>
        </w:rPr>
        <w:t xml:space="preserve"> </w:t>
      </w:r>
      <w:r>
        <w:rPr>
          <w:rFonts w:eastAsia="仿宋_GB2312" w:hint="eastAsia"/>
          <w:sz w:val="24"/>
        </w:rPr>
        <w:t>year on year</w:t>
      </w:r>
      <w:r>
        <w:rPr>
          <w:rFonts w:eastAsia="仿宋_GB2312"/>
          <w:sz w:val="24"/>
        </w:rPr>
        <w:t xml:space="preserve">. Third, corporate </w:t>
      </w:r>
      <w:r>
        <w:rPr>
          <w:rFonts w:eastAsia="仿宋_GB2312" w:hint="eastAsia"/>
          <w:sz w:val="24"/>
        </w:rPr>
        <w:t>debt</w:t>
      </w:r>
      <w:r>
        <w:rPr>
          <w:rFonts w:eastAsia="仿宋_GB2312"/>
          <w:sz w:val="24"/>
        </w:rPr>
        <w:t xml:space="preserve"> financing</w:t>
      </w:r>
      <w:r>
        <w:rPr>
          <w:rFonts w:eastAsia="仿宋_GB2312" w:hint="eastAsia"/>
          <w:sz w:val="24"/>
        </w:rPr>
        <w:t xml:space="preserve"> </w:t>
      </w:r>
      <w:r>
        <w:rPr>
          <w:rFonts w:eastAsia="仿宋_GB2312"/>
          <w:sz w:val="24"/>
        </w:rPr>
        <w:t xml:space="preserve">registered a year-on-year </w:t>
      </w:r>
      <w:r>
        <w:rPr>
          <w:rFonts w:eastAsia="仿宋_GB2312" w:hint="eastAsia"/>
          <w:sz w:val="24"/>
        </w:rPr>
        <w:t>acceleration</w:t>
      </w:r>
      <w:r>
        <w:rPr>
          <w:rFonts w:eastAsia="仿宋_GB2312"/>
          <w:sz w:val="24"/>
        </w:rPr>
        <w:t xml:space="preserve"> and </w:t>
      </w:r>
      <w:r>
        <w:rPr>
          <w:rFonts w:eastAsia="仿宋_GB2312" w:hint="eastAsia"/>
          <w:sz w:val="24"/>
        </w:rPr>
        <w:t xml:space="preserve">equity </w:t>
      </w:r>
      <w:r>
        <w:rPr>
          <w:rFonts w:eastAsia="仿宋_GB2312"/>
          <w:sz w:val="24"/>
        </w:rPr>
        <w:t>financing</w:t>
      </w:r>
      <w:r>
        <w:rPr>
          <w:rFonts w:eastAsia="仿宋_GB2312" w:hint="eastAsia"/>
          <w:sz w:val="24"/>
        </w:rPr>
        <w:t xml:space="preserve"> </w:t>
      </w:r>
      <w:r>
        <w:rPr>
          <w:rFonts w:eastAsia="仿宋_GB2312"/>
          <w:sz w:val="24"/>
        </w:rPr>
        <w:t xml:space="preserve">registered </w:t>
      </w:r>
      <w:r>
        <w:rPr>
          <w:rFonts w:eastAsia="仿宋_GB2312" w:hint="eastAsia"/>
          <w:sz w:val="24"/>
        </w:rPr>
        <w:t>a year-on-year deceleration</w:t>
      </w:r>
      <w:r>
        <w:rPr>
          <w:rFonts w:eastAsia="仿宋_GB2312"/>
          <w:sz w:val="24"/>
        </w:rPr>
        <w:t xml:space="preserve">. </w:t>
      </w:r>
      <w:r>
        <w:rPr>
          <w:sz w:val="24"/>
        </w:rPr>
        <w:t>During</w:t>
      </w:r>
      <w:r>
        <w:rPr>
          <w:rFonts w:eastAsia="仿宋_GB2312" w:hint="eastAsia"/>
          <w:sz w:val="24"/>
        </w:rPr>
        <w:t xml:space="preserve"> the first three quarters</w:t>
      </w:r>
      <w:r>
        <w:rPr>
          <w:rFonts w:eastAsia="仿宋_GB2312"/>
          <w:sz w:val="24"/>
        </w:rPr>
        <w:t>, corporate debt financing registered RMB</w:t>
      </w:r>
      <w:r>
        <w:rPr>
          <w:rFonts w:eastAsia="仿宋_GB2312" w:hint="eastAsia"/>
          <w:sz w:val="24"/>
        </w:rPr>
        <w:t xml:space="preserve"> 1.</w:t>
      </w:r>
      <w:r>
        <w:rPr>
          <w:rFonts w:eastAsia="仿宋_GB2312"/>
          <w:sz w:val="24"/>
        </w:rPr>
        <w:t xml:space="preserve">59 </w:t>
      </w:r>
      <w:r>
        <w:rPr>
          <w:rFonts w:eastAsia="仿宋_GB2312" w:hint="eastAsia"/>
          <w:sz w:val="24"/>
        </w:rPr>
        <w:t>tr</w:t>
      </w:r>
      <w:r>
        <w:rPr>
          <w:rFonts w:eastAsia="仿宋_GB2312"/>
          <w:sz w:val="24"/>
        </w:rPr>
        <w:t xml:space="preserve">illion, a year-on-year </w:t>
      </w:r>
      <w:r>
        <w:rPr>
          <w:rFonts w:eastAsia="仿宋_GB2312" w:hint="eastAsia"/>
          <w:sz w:val="24"/>
        </w:rPr>
        <w:t>increase</w:t>
      </w:r>
      <w:r>
        <w:rPr>
          <w:rFonts w:eastAsia="仿宋_GB2312"/>
          <w:sz w:val="24"/>
        </w:rPr>
        <w:t xml:space="preserve"> of RMB 1.41 trillion, and </w:t>
      </w:r>
      <w:r>
        <w:rPr>
          <w:rFonts w:eastAsia="仿宋_GB2312" w:hint="eastAsia"/>
          <w:sz w:val="24"/>
        </w:rPr>
        <w:t xml:space="preserve">equity </w:t>
      </w:r>
      <w:r>
        <w:rPr>
          <w:rFonts w:eastAsia="仿宋_GB2312"/>
          <w:sz w:val="24"/>
        </w:rPr>
        <w:t xml:space="preserve">financing </w:t>
      </w:r>
      <w:r>
        <w:rPr>
          <w:rFonts w:eastAsia="仿宋_GB2312" w:hint="eastAsia"/>
          <w:sz w:val="24"/>
        </w:rPr>
        <w:t xml:space="preserve">by non-financial enterprises </w:t>
      </w:r>
      <w:r>
        <w:rPr>
          <w:rFonts w:eastAsia="仿宋_GB2312"/>
          <w:sz w:val="24"/>
        </w:rPr>
        <w:t>recorded RMB 309.9</w:t>
      </w:r>
      <w:r>
        <w:rPr>
          <w:rFonts w:eastAsia="仿宋_GB2312" w:hint="eastAsia"/>
          <w:sz w:val="24"/>
        </w:rPr>
        <w:t xml:space="preserve"> billion</w:t>
      </w:r>
      <w:r>
        <w:rPr>
          <w:rFonts w:eastAsia="仿宋_GB2312"/>
          <w:sz w:val="24"/>
        </w:rPr>
        <w:t>, a year-on-year decrease of RMB 291.8 billion.</w:t>
      </w:r>
      <w:r>
        <w:t xml:space="preserve"> </w:t>
      </w:r>
      <w:r>
        <w:rPr>
          <w:rFonts w:eastAsia="仿宋_GB2312"/>
          <w:sz w:val="24"/>
        </w:rPr>
        <w:t xml:space="preserve">Fourth, special bonds issued by local governments </w:t>
      </w:r>
      <w:r>
        <w:rPr>
          <w:rFonts w:eastAsia="仿宋_GB2312"/>
          <w:sz w:val="24"/>
        </w:rPr>
        <w:lastRenderedPageBreak/>
        <w:t xml:space="preserve">registered a moderate year-on-year acceleration. </w:t>
      </w:r>
      <w:r>
        <w:rPr>
          <w:sz w:val="24"/>
        </w:rPr>
        <w:t>During</w:t>
      </w:r>
      <w:r>
        <w:rPr>
          <w:rFonts w:eastAsia="仿宋_GB2312"/>
          <w:sz w:val="24"/>
        </w:rPr>
        <w:t xml:space="preserve"> the first three quarters, local government special bond financing recorded RMB 1.7 trillion, up RMB 143.8 billion from the same period of the last year. </w:t>
      </w:r>
      <w:r>
        <w:rPr>
          <w:rFonts w:eastAsia="仿宋_GB2312" w:hint="eastAsia"/>
          <w:sz w:val="24"/>
        </w:rPr>
        <w:t xml:space="preserve">Fifth, </w:t>
      </w:r>
      <w:r>
        <w:rPr>
          <w:rFonts w:eastAsia="仿宋_GB2312"/>
          <w:sz w:val="24"/>
        </w:rPr>
        <w:t xml:space="preserve">asset-backed securities and the writing off of loans by </w:t>
      </w:r>
      <w:r>
        <w:rPr>
          <w:rFonts w:eastAsia="仿宋_GB2312" w:hint="eastAsia"/>
          <w:sz w:val="24"/>
        </w:rPr>
        <w:t xml:space="preserve">deposit </w:t>
      </w:r>
      <w:r>
        <w:rPr>
          <w:rFonts w:eastAsia="仿宋_GB2312"/>
          <w:sz w:val="24"/>
        </w:rPr>
        <w:t xml:space="preserve">financial institutions registered an acceleration. </w:t>
      </w:r>
      <w:r>
        <w:rPr>
          <w:sz w:val="24"/>
        </w:rPr>
        <w:t>During</w:t>
      </w:r>
      <w:r>
        <w:rPr>
          <w:rFonts w:eastAsia="仿宋_GB2312"/>
          <w:sz w:val="24"/>
        </w:rPr>
        <w:t xml:space="preserve"> the first three quarters, in the category </w:t>
      </w:r>
      <w:r>
        <w:rPr>
          <w:rFonts w:eastAsia="仿宋_GB2312" w:hint="eastAsia"/>
          <w:sz w:val="24"/>
        </w:rPr>
        <w:t xml:space="preserve">of </w:t>
      </w:r>
      <w:r>
        <w:rPr>
          <w:rFonts w:eastAsia="仿宋_GB2312"/>
          <w:sz w:val="24"/>
        </w:rPr>
        <w:t xml:space="preserve">other financing, asset-backed securities financing by deposit financial institutions recorded 309.3 billion, an acceleration of RMB 290.1 billion year on year; loans written off recorded RMB 645.5 billion, an acceleration </w:t>
      </w:r>
      <w:r>
        <w:rPr>
          <w:rFonts w:eastAsia="仿宋_GB2312" w:hint="eastAsia"/>
          <w:sz w:val="24"/>
        </w:rPr>
        <w:t xml:space="preserve">of </w:t>
      </w:r>
      <w:r>
        <w:rPr>
          <w:rFonts w:eastAsia="仿宋_GB2312"/>
          <w:sz w:val="24"/>
        </w:rPr>
        <w:t xml:space="preserve">RMB </w:t>
      </w:r>
      <w:r>
        <w:rPr>
          <w:rFonts w:eastAsia="仿宋_GB2312" w:hint="eastAsia"/>
          <w:sz w:val="24"/>
        </w:rPr>
        <w:t>168.0 billion.</w:t>
      </w:r>
    </w:p>
    <w:p w:rsidR="0014610D" w:rsidRDefault="0014610D" w:rsidP="0014610D">
      <w:pPr>
        <w:keepNext/>
        <w:spacing w:line="360" w:lineRule="auto"/>
        <w:jc w:val="center"/>
        <w:rPr>
          <w:b/>
          <w:sz w:val="24"/>
        </w:rPr>
      </w:pPr>
      <w:bookmarkStart w:id="28" w:name="_Toc532203069"/>
      <w:r w:rsidRPr="0014610D">
        <w:rPr>
          <w:b/>
          <w:sz w:val="24"/>
        </w:rPr>
        <w:t xml:space="preserve">Table </w:t>
      </w:r>
      <w:r w:rsidR="002447A7" w:rsidRPr="0014610D">
        <w:rPr>
          <w:b/>
          <w:sz w:val="24"/>
        </w:rPr>
        <w:fldChar w:fldCharType="begin"/>
      </w:r>
      <w:r w:rsidRPr="0014610D">
        <w:rPr>
          <w:b/>
          <w:sz w:val="24"/>
        </w:rPr>
        <w:instrText xml:space="preserve"> SEQ Table \* ARABIC </w:instrText>
      </w:r>
      <w:r w:rsidR="002447A7" w:rsidRPr="0014610D">
        <w:rPr>
          <w:b/>
          <w:sz w:val="24"/>
        </w:rPr>
        <w:fldChar w:fldCharType="separate"/>
      </w:r>
      <w:r w:rsidR="00EC1136">
        <w:rPr>
          <w:b/>
          <w:noProof/>
          <w:sz w:val="24"/>
        </w:rPr>
        <w:t>6</w:t>
      </w:r>
      <w:r w:rsidR="002447A7" w:rsidRPr="0014610D">
        <w:rPr>
          <w:b/>
          <w:sz w:val="24"/>
        </w:rPr>
        <w:fldChar w:fldCharType="end"/>
      </w:r>
      <w:r w:rsidRPr="0014610D">
        <w:rPr>
          <w:b/>
          <w:sz w:val="24"/>
        </w:rPr>
        <w:t xml:space="preserve"> </w:t>
      </w:r>
      <w:r>
        <w:rPr>
          <w:b/>
          <w:sz w:val="24"/>
        </w:rPr>
        <w:t>All-system Financing Aggregates during the First Three Quarters of 2018</w:t>
      </w:r>
      <w:bookmarkEnd w:id="28"/>
    </w:p>
    <w:p w:rsidR="00EB686F" w:rsidRDefault="00EB686F" w:rsidP="00EB686F">
      <w:pPr>
        <w:spacing w:line="360" w:lineRule="auto"/>
        <w:jc w:val="right"/>
        <w:rPr>
          <w:rFonts w:eastAsia="仿宋_GB2312"/>
          <w:sz w:val="18"/>
          <w:szCs w:val="18"/>
        </w:rPr>
      </w:pPr>
      <w:r>
        <w:rPr>
          <w:sz w:val="18"/>
          <w:szCs w:val="18"/>
        </w:rPr>
        <w:t>Unit: RMB 100 million</w:t>
      </w:r>
    </w:p>
    <w:tbl>
      <w:tblPr>
        <w:tblW w:w="0" w:type="auto"/>
        <w:tblInd w:w="250" w:type="dxa"/>
        <w:tblLayout w:type="fixed"/>
        <w:tblLook w:val="0000"/>
      </w:tblPr>
      <w:tblGrid>
        <w:gridCol w:w="3671"/>
        <w:gridCol w:w="13"/>
        <w:gridCol w:w="1134"/>
        <w:gridCol w:w="1136"/>
        <w:gridCol w:w="994"/>
        <w:gridCol w:w="1131"/>
      </w:tblGrid>
      <w:tr w:rsidR="00EB686F" w:rsidTr="00EB686F">
        <w:trPr>
          <w:trHeight w:val="285"/>
        </w:trPr>
        <w:tc>
          <w:tcPr>
            <w:tcW w:w="3671" w:type="dxa"/>
            <w:tcBorders>
              <w:top w:val="single" w:sz="8" w:space="0" w:color="00B050"/>
              <w:left w:val="nil"/>
              <w:bottom w:val="single" w:sz="8" w:space="0" w:color="00B050"/>
              <w:right w:val="single" w:sz="8" w:space="0" w:color="00B050"/>
            </w:tcBorders>
            <w:shd w:val="clear" w:color="000000" w:fill="CCFFCC"/>
            <w:vAlign w:val="bottom"/>
          </w:tcPr>
          <w:p w:rsidR="00EB686F" w:rsidRDefault="00EB686F" w:rsidP="00EB686F">
            <w:pPr>
              <w:widowControl/>
              <w:jc w:val="center"/>
              <w:rPr>
                <w:rFonts w:ascii="宋体" w:hAnsi="宋体" w:cs="宋体"/>
                <w:color w:val="000000"/>
                <w:kern w:val="0"/>
                <w:sz w:val="18"/>
                <w:szCs w:val="18"/>
              </w:rPr>
            </w:pPr>
          </w:p>
        </w:tc>
        <w:tc>
          <w:tcPr>
            <w:tcW w:w="2283" w:type="dxa"/>
            <w:gridSpan w:val="3"/>
            <w:tcBorders>
              <w:top w:val="single" w:sz="8" w:space="0" w:color="00B050"/>
              <w:left w:val="nil"/>
              <w:bottom w:val="single" w:sz="8" w:space="0" w:color="00B050"/>
              <w:right w:val="single" w:sz="8" w:space="0" w:color="00B050"/>
            </w:tcBorders>
            <w:shd w:val="clear" w:color="000000" w:fill="CCFFCC"/>
            <w:vAlign w:val="bottom"/>
          </w:tcPr>
          <w:p w:rsidR="00EB686F" w:rsidRDefault="00EB686F" w:rsidP="00EB686F">
            <w:pPr>
              <w:widowControl/>
              <w:jc w:val="center"/>
              <w:rPr>
                <w:color w:val="000000"/>
                <w:kern w:val="0"/>
                <w:sz w:val="18"/>
                <w:szCs w:val="18"/>
              </w:rPr>
            </w:pPr>
            <w:r>
              <w:rPr>
                <w:color w:val="000000"/>
                <w:kern w:val="0"/>
                <w:sz w:val="18"/>
                <w:szCs w:val="18"/>
              </w:rPr>
              <w:t>At End-September 2018</w:t>
            </w:r>
          </w:p>
        </w:tc>
        <w:tc>
          <w:tcPr>
            <w:tcW w:w="2125" w:type="dxa"/>
            <w:gridSpan w:val="2"/>
            <w:tcBorders>
              <w:top w:val="single" w:sz="8" w:space="0" w:color="00B050"/>
              <w:left w:val="nil"/>
              <w:bottom w:val="single" w:sz="8" w:space="0" w:color="00B050"/>
            </w:tcBorders>
            <w:shd w:val="clear" w:color="000000" w:fill="CCFFCC"/>
            <w:vAlign w:val="bottom"/>
          </w:tcPr>
          <w:p w:rsidR="00EB686F" w:rsidRDefault="00EB686F" w:rsidP="00EB686F">
            <w:pPr>
              <w:widowControl/>
              <w:jc w:val="center"/>
              <w:rPr>
                <w:color w:val="000000"/>
                <w:kern w:val="0"/>
                <w:sz w:val="18"/>
                <w:szCs w:val="18"/>
              </w:rPr>
            </w:pPr>
            <w:r>
              <w:rPr>
                <w:color w:val="000000"/>
                <w:kern w:val="0"/>
                <w:sz w:val="18"/>
                <w:szCs w:val="18"/>
              </w:rPr>
              <w:t>During the First Three Quarters of 2018</w:t>
            </w:r>
          </w:p>
        </w:tc>
      </w:tr>
      <w:tr w:rsidR="00EB686F" w:rsidTr="00EB686F">
        <w:trPr>
          <w:trHeight w:val="285"/>
        </w:trPr>
        <w:tc>
          <w:tcPr>
            <w:tcW w:w="3684" w:type="dxa"/>
            <w:gridSpan w:val="2"/>
            <w:tcBorders>
              <w:top w:val="single" w:sz="8" w:space="0" w:color="00B050"/>
              <w:left w:val="nil"/>
              <w:bottom w:val="single" w:sz="8" w:space="0" w:color="00B050"/>
              <w:right w:val="single" w:sz="8" w:space="0" w:color="00B050"/>
            </w:tcBorders>
            <w:shd w:val="clear" w:color="000000" w:fill="CCFFCC"/>
            <w:vAlign w:val="bottom"/>
          </w:tcPr>
          <w:p w:rsidR="00EB686F" w:rsidRDefault="00EB686F" w:rsidP="00EB686F">
            <w:pPr>
              <w:widowControl/>
              <w:jc w:val="center"/>
              <w:rPr>
                <w:rFonts w:ascii="宋体" w:hAnsi="宋体" w:cs="宋体"/>
                <w:color w:val="000000"/>
                <w:kern w:val="0"/>
                <w:sz w:val="18"/>
                <w:szCs w:val="18"/>
              </w:rPr>
            </w:pPr>
          </w:p>
        </w:tc>
        <w:tc>
          <w:tcPr>
            <w:tcW w:w="1134" w:type="dxa"/>
            <w:tcBorders>
              <w:top w:val="single" w:sz="8" w:space="0" w:color="00B050"/>
              <w:left w:val="nil"/>
              <w:bottom w:val="single" w:sz="8" w:space="0" w:color="00B050"/>
              <w:right w:val="single" w:sz="8" w:space="0" w:color="00B050"/>
            </w:tcBorders>
            <w:shd w:val="clear" w:color="000000" w:fill="CCFFCC"/>
            <w:vAlign w:val="center"/>
          </w:tcPr>
          <w:p w:rsidR="00EB686F" w:rsidRDefault="00EB686F" w:rsidP="00EB686F">
            <w:pPr>
              <w:widowControl/>
              <w:jc w:val="center"/>
              <w:rPr>
                <w:color w:val="000000"/>
                <w:kern w:val="0"/>
                <w:sz w:val="16"/>
                <w:szCs w:val="18"/>
              </w:rPr>
            </w:pPr>
            <w:r>
              <w:rPr>
                <w:color w:val="000000"/>
                <w:kern w:val="0"/>
                <w:sz w:val="16"/>
                <w:szCs w:val="18"/>
              </w:rPr>
              <w:t>Stocks</w:t>
            </w:r>
            <w:r>
              <w:rPr>
                <w:color w:val="000000"/>
                <w:kern w:val="0"/>
                <w:sz w:val="16"/>
                <w:szCs w:val="18"/>
              </w:rPr>
              <w:t>（</w:t>
            </w:r>
            <w:r>
              <w:rPr>
                <w:color w:val="000000"/>
                <w:kern w:val="0"/>
                <w:sz w:val="16"/>
                <w:szCs w:val="18"/>
              </w:rPr>
              <w:t>RMB trillion</w:t>
            </w:r>
            <w:r>
              <w:rPr>
                <w:color w:val="000000"/>
                <w:kern w:val="0"/>
                <w:sz w:val="16"/>
                <w:szCs w:val="18"/>
              </w:rPr>
              <w:t>）</w:t>
            </w:r>
          </w:p>
        </w:tc>
        <w:tc>
          <w:tcPr>
            <w:tcW w:w="1136" w:type="dxa"/>
            <w:tcBorders>
              <w:top w:val="single" w:sz="8" w:space="0" w:color="00B050"/>
              <w:left w:val="nil"/>
              <w:bottom w:val="single" w:sz="8" w:space="0" w:color="00B050"/>
              <w:right w:val="single" w:sz="8" w:space="0" w:color="00B050"/>
            </w:tcBorders>
            <w:shd w:val="clear" w:color="000000" w:fill="CCFFCC"/>
            <w:vAlign w:val="center"/>
          </w:tcPr>
          <w:p w:rsidR="00EB686F" w:rsidRDefault="00EB686F" w:rsidP="00EB686F">
            <w:pPr>
              <w:widowControl/>
              <w:jc w:val="center"/>
              <w:rPr>
                <w:color w:val="000000"/>
                <w:kern w:val="0"/>
                <w:sz w:val="16"/>
                <w:szCs w:val="18"/>
              </w:rPr>
            </w:pPr>
            <w:r>
              <w:rPr>
                <w:color w:val="000000"/>
                <w:kern w:val="0"/>
                <w:sz w:val="16"/>
                <w:szCs w:val="18"/>
              </w:rPr>
              <w:t>Year-on-year Change</w:t>
            </w:r>
          </w:p>
        </w:tc>
        <w:tc>
          <w:tcPr>
            <w:tcW w:w="994" w:type="dxa"/>
            <w:tcBorders>
              <w:top w:val="single" w:sz="8" w:space="0" w:color="00B050"/>
              <w:left w:val="nil"/>
              <w:bottom w:val="single" w:sz="8" w:space="0" w:color="00B050"/>
              <w:right w:val="single" w:sz="8" w:space="0" w:color="00B050"/>
            </w:tcBorders>
            <w:shd w:val="clear" w:color="000000" w:fill="CCFFCC"/>
            <w:vAlign w:val="center"/>
          </w:tcPr>
          <w:p w:rsidR="00EB686F" w:rsidRDefault="00EB686F" w:rsidP="00EB686F">
            <w:pPr>
              <w:widowControl/>
              <w:jc w:val="center"/>
              <w:rPr>
                <w:color w:val="000000"/>
                <w:kern w:val="0"/>
                <w:sz w:val="16"/>
                <w:szCs w:val="18"/>
              </w:rPr>
            </w:pPr>
            <w:r>
              <w:rPr>
                <w:color w:val="000000"/>
                <w:kern w:val="0"/>
                <w:sz w:val="16"/>
                <w:szCs w:val="18"/>
              </w:rPr>
              <w:t>Increment</w:t>
            </w:r>
            <w:r>
              <w:rPr>
                <w:color w:val="000000"/>
                <w:kern w:val="0"/>
                <w:sz w:val="16"/>
                <w:szCs w:val="18"/>
              </w:rPr>
              <w:t>（</w:t>
            </w:r>
            <w:r>
              <w:rPr>
                <w:color w:val="000000"/>
                <w:kern w:val="0"/>
                <w:sz w:val="16"/>
                <w:szCs w:val="18"/>
              </w:rPr>
              <w:t>RMB trillion</w:t>
            </w:r>
            <w:r>
              <w:rPr>
                <w:color w:val="000000"/>
                <w:kern w:val="0"/>
                <w:sz w:val="16"/>
                <w:szCs w:val="18"/>
              </w:rPr>
              <w:t>）</w:t>
            </w:r>
          </w:p>
        </w:tc>
        <w:tc>
          <w:tcPr>
            <w:tcW w:w="1131" w:type="dxa"/>
            <w:tcBorders>
              <w:top w:val="single" w:sz="8" w:space="0" w:color="00B050"/>
              <w:left w:val="nil"/>
              <w:bottom w:val="single" w:sz="8" w:space="0" w:color="00B050"/>
            </w:tcBorders>
            <w:shd w:val="clear" w:color="000000" w:fill="CCFFCC"/>
            <w:vAlign w:val="center"/>
          </w:tcPr>
          <w:p w:rsidR="00EB686F" w:rsidRDefault="00EB686F" w:rsidP="00EB686F">
            <w:pPr>
              <w:widowControl/>
              <w:jc w:val="center"/>
              <w:rPr>
                <w:color w:val="000000"/>
                <w:kern w:val="0"/>
                <w:sz w:val="16"/>
                <w:szCs w:val="18"/>
              </w:rPr>
            </w:pPr>
            <w:r>
              <w:rPr>
                <w:color w:val="000000"/>
                <w:kern w:val="0"/>
                <w:sz w:val="16"/>
                <w:szCs w:val="18"/>
              </w:rPr>
              <w:t>Year-on-year change (RMB 100 million)</w:t>
            </w:r>
          </w:p>
        </w:tc>
      </w:tr>
      <w:tr w:rsidR="00EB686F" w:rsidTr="00EB686F">
        <w:trPr>
          <w:trHeight w:val="315"/>
        </w:trPr>
        <w:tc>
          <w:tcPr>
            <w:tcW w:w="3684" w:type="dxa"/>
            <w:gridSpan w:val="2"/>
            <w:tcBorders>
              <w:top w:val="single" w:sz="8" w:space="0" w:color="00B050"/>
              <w:bottom w:val="single" w:sz="8" w:space="0" w:color="00B050"/>
              <w:right w:val="single" w:sz="8" w:space="0" w:color="00B050"/>
            </w:tcBorders>
            <w:vAlign w:val="bottom"/>
          </w:tcPr>
          <w:p w:rsidR="00EB686F" w:rsidRDefault="00EB686F" w:rsidP="00EB686F">
            <w:pPr>
              <w:widowControl/>
              <w:jc w:val="left"/>
              <w:rPr>
                <w:color w:val="000000"/>
                <w:kern w:val="0"/>
                <w:sz w:val="18"/>
                <w:szCs w:val="18"/>
              </w:rPr>
            </w:pPr>
            <w:r>
              <w:rPr>
                <w:color w:val="000000"/>
                <w:kern w:val="0"/>
                <w:sz w:val="18"/>
                <w:szCs w:val="18"/>
              </w:rPr>
              <w:t>All-system Financing Aggregates</w:t>
            </w:r>
          </w:p>
        </w:tc>
        <w:tc>
          <w:tcPr>
            <w:tcW w:w="1134" w:type="dxa"/>
            <w:tcBorders>
              <w:top w:val="nil"/>
              <w:left w:val="nil"/>
              <w:bottom w:val="single" w:sz="8" w:space="0" w:color="00B050"/>
              <w:right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197.3</w:t>
            </w:r>
          </w:p>
        </w:tc>
        <w:tc>
          <w:tcPr>
            <w:tcW w:w="1136" w:type="dxa"/>
            <w:tcBorders>
              <w:top w:val="nil"/>
              <w:left w:val="nil"/>
              <w:bottom w:val="single" w:sz="8" w:space="0" w:color="00B050"/>
              <w:right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10.6%</w:t>
            </w:r>
          </w:p>
        </w:tc>
        <w:tc>
          <w:tcPr>
            <w:tcW w:w="994" w:type="dxa"/>
            <w:tcBorders>
              <w:top w:val="nil"/>
              <w:left w:val="nil"/>
              <w:bottom w:val="single" w:sz="8" w:space="0" w:color="00B050"/>
              <w:right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153749</w:t>
            </w:r>
          </w:p>
        </w:tc>
        <w:tc>
          <w:tcPr>
            <w:tcW w:w="1131" w:type="dxa"/>
            <w:tcBorders>
              <w:top w:val="nil"/>
              <w:left w:val="nil"/>
              <w:bottom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-23213</w:t>
            </w:r>
          </w:p>
        </w:tc>
      </w:tr>
      <w:tr w:rsidR="00EB686F" w:rsidTr="00EB686F">
        <w:trPr>
          <w:trHeight w:val="315"/>
        </w:trPr>
        <w:tc>
          <w:tcPr>
            <w:tcW w:w="3684" w:type="dxa"/>
            <w:gridSpan w:val="2"/>
            <w:tcBorders>
              <w:top w:val="single" w:sz="8" w:space="0" w:color="00B050"/>
              <w:left w:val="nil"/>
              <w:bottom w:val="single" w:sz="8" w:space="0" w:color="00B050"/>
              <w:right w:val="single" w:sz="8" w:space="0" w:color="00B050"/>
            </w:tcBorders>
            <w:shd w:val="clear" w:color="000000" w:fill="CCFFCC"/>
            <w:vAlign w:val="bottom"/>
          </w:tcPr>
          <w:p w:rsidR="00EB686F" w:rsidRDefault="00EB686F" w:rsidP="00EB686F">
            <w:pPr>
              <w:widowControl/>
              <w:jc w:val="left"/>
              <w:rPr>
                <w:color w:val="000000"/>
                <w:kern w:val="0"/>
                <w:sz w:val="18"/>
                <w:szCs w:val="18"/>
              </w:rPr>
            </w:pPr>
            <w:r>
              <w:rPr>
                <w:color w:val="000000"/>
                <w:kern w:val="0"/>
                <w:sz w:val="18"/>
                <w:szCs w:val="18"/>
              </w:rPr>
              <w:t>Of Which</w:t>
            </w:r>
            <w:r>
              <w:rPr>
                <w:color w:val="000000"/>
                <w:kern w:val="0"/>
                <w:sz w:val="18"/>
                <w:szCs w:val="18"/>
              </w:rPr>
              <w:t>：</w:t>
            </w:r>
            <w:r>
              <w:rPr>
                <w:color w:val="000000"/>
                <w:kern w:val="0"/>
                <w:sz w:val="18"/>
                <w:szCs w:val="18"/>
              </w:rPr>
              <w:t>RMB Loans</w:t>
            </w:r>
          </w:p>
        </w:tc>
        <w:tc>
          <w:tcPr>
            <w:tcW w:w="1134" w:type="dxa"/>
            <w:tcBorders>
              <w:top w:val="nil"/>
              <w:left w:val="nil"/>
              <w:bottom w:val="single" w:sz="8" w:space="0" w:color="00B050"/>
              <w:right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131.81</w:t>
            </w:r>
          </w:p>
        </w:tc>
        <w:tc>
          <w:tcPr>
            <w:tcW w:w="1136" w:type="dxa"/>
            <w:tcBorders>
              <w:top w:val="nil"/>
              <w:left w:val="nil"/>
              <w:bottom w:val="single" w:sz="8" w:space="0" w:color="00B050"/>
              <w:right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13.0%</w:t>
            </w:r>
          </w:p>
        </w:tc>
        <w:tc>
          <w:tcPr>
            <w:tcW w:w="994" w:type="dxa"/>
            <w:tcBorders>
              <w:top w:val="nil"/>
              <w:left w:val="nil"/>
              <w:bottom w:val="single" w:sz="8" w:space="0" w:color="00B050"/>
              <w:right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127987</w:t>
            </w:r>
          </w:p>
        </w:tc>
        <w:tc>
          <w:tcPr>
            <w:tcW w:w="1131" w:type="dxa"/>
            <w:tcBorders>
              <w:top w:val="nil"/>
              <w:left w:val="nil"/>
              <w:bottom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13388</w:t>
            </w:r>
          </w:p>
        </w:tc>
      </w:tr>
      <w:tr w:rsidR="00EB686F" w:rsidTr="00EB686F">
        <w:trPr>
          <w:trHeight w:val="315"/>
        </w:trPr>
        <w:tc>
          <w:tcPr>
            <w:tcW w:w="3684" w:type="dxa"/>
            <w:gridSpan w:val="2"/>
            <w:tcBorders>
              <w:top w:val="single" w:sz="8" w:space="0" w:color="00B050"/>
              <w:left w:val="nil"/>
              <w:bottom w:val="single" w:sz="8" w:space="0" w:color="00B050"/>
              <w:right w:val="single" w:sz="8" w:space="0" w:color="00B050"/>
            </w:tcBorders>
            <w:vAlign w:val="bottom"/>
          </w:tcPr>
          <w:p w:rsidR="00EB686F" w:rsidRDefault="00EB686F" w:rsidP="00EB686F">
            <w:pPr>
              <w:widowControl/>
              <w:ind w:firstLineChars="300" w:firstLine="540"/>
              <w:jc w:val="left"/>
              <w:rPr>
                <w:color w:val="000000"/>
                <w:kern w:val="0"/>
                <w:sz w:val="18"/>
                <w:szCs w:val="18"/>
              </w:rPr>
            </w:pPr>
            <w:r>
              <w:rPr>
                <w:color w:val="000000"/>
                <w:kern w:val="0"/>
                <w:sz w:val="18"/>
                <w:szCs w:val="18"/>
              </w:rPr>
              <w:t xml:space="preserve">    Foreign Currency Loans</w:t>
            </w:r>
            <w:r>
              <w:rPr>
                <w:color w:val="000000"/>
                <w:kern w:val="0"/>
                <w:sz w:val="18"/>
                <w:szCs w:val="18"/>
              </w:rPr>
              <w:t>（</w:t>
            </w:r>
            <w:r>
              <w:rPr>
                <w:color w:val="000000"/>
                <w:kern w:val="0"/>
                <w:sz w:val="18"/>
                <w:szCs w:val="18"/>
              </w:rPr>
              <w:t>Converted into RMB</w:t>
            </w:r>
            <w:r>
              <w:rPr>
                <w:color w:val="000000"/>
                <w:kern w:val="0"/>
                <w:sz w:val="18"/>
                <w:szCs w:val="18"/>
              </w:rPr>
              <w:t>）</w:t>
            </w:r>
          </w:p>
        </w:tc>
        <w:tc>
          <w:tcPr>
            <w:tcW w:w="1134" w:type="dxa"/>
            <w:tcBorders>
              <w:top w:val="nil"/>
              <w:left w:val="nil"/>
              <w:bottom w:val="single" w:sz="8" w:space="0" w:color="00B050"/>
              <w:right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2.45</w:t>
            </w:r>
          </w:p>
        </w:tc>
        <w:tc>
          <w:tcPr>
            <w:tcW w:w="1136" w:type="dxa"/>
            <w:tcBorders>
              <w:top w:val="nil"/>
              <w:left w:val="nil"/>
              <w:bottom w:val="single" w:sz="8" w:space="0" w:color="00B050"/>
              <w:right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-1.6%</w:t>
            </w:r>
          </w:p>
        </w:tc>
        <w:tc>
          <w:tcPr>
            <w:tcW w:w="994" w:type="dxa"/>
            <w:tcBorders>
              <w:top w:val="nil"/>
              <w:left w:val="nil"/>
              <w:bottom w:val="single" w:sz="8" w:space="0" w:color="00B050"/>
              <w:right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-1913</w:t>
            </w:r>
          </w:p>
        </w:tc>
        <w:tc>
          <w:tcPr>
            <w:tcW w:w="1131" w:type="dxa"/>
            <w:tcBorders>
              <w:top w:val="nil"/>
              <w:left w:val="nil"/>
              <w:bottom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-1608</w:t>
            </w:r>
          </w:p>
        </w:tc>
      </w:tr>
      <w:tr w:rsidR="00EB686F" w:rsidTr="00EB686F">
        <w:trPr>
          <w:trHeight w:val="315"/>
        </w:trPr>
        <w:tc>
          <w:tcPr>
            <w:tcW w:w="3684" w:type="dxa"/>
            <w:gridSpan w:val="2"/>
            <w:tcBorders>
              <w:top w:val="single" w:sz="8" w:space="0" w:color="00B050"/>
              <w:left w:val="nil"/>
              <w:bottom w:val="single" w:sz="8" w:space="0" w:color="00B050"/>
              <w:right w:val="single" w:sz="8" w:space="0" w:color="00B050"/>
            </w:tcBorders>
            <w:shd w:val="clear" w:color="000000" w:fill="CCFFCC"/>
            <w:vAlign w:val="bottom"/>
          </w:tcPr>
          <w:p w:rsidR="00EB686F" w:rsidRDefault="00EB686F" w:rsidP="00EB686F">
            <w:pPr>
              <w:widowControl/>
              <w:ind w:firstLineChars="300" w:firstLine="540"/>
              <w:jc w:val="left"/>
              <w:rPr>
                <w:color w:val="000000"/>
                <w:kern w:val="0"/>
                <w:sz w:val="18"/>
                <w:szCs w:val="18"/>
              </w:rPr>
            </w:pPr>
            <w:r>
              <w:rPr>
                <w:color w:val="000000"/>
                <w:kern w:val="0"/>
                <w:sz w:val="18"/>
                <w:szCs w:val="18"/>
              </w:rPr>
              <w:t>Entrusted Loans</w:t>
            </w:r>
          </w:p>
        </w:tc>
        <w:tc>
          <w:tcPr>
            <w:tcW w:w="1134" w:type="dxa"/>
            <w:tcBorders>
              <w:top w:val="nil"/>
              <w:left w:val="nil"/>
              <w:bottom w:val="single" w:sz="8" w:space="0" w:color="00B050"/>
              <w:right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12.81</w:t>
            </w:r>
          </w:p>
        </w:tc>
        <w:tc>
          <w:tcPr>
            <w:tcW w:w="1136" w:type="dxa"/>
            <w:tcBorders>
              <w:top w:val="nil"/>
              <w:left w:val="nil"/>
              <w:bottom w:val="single" w:sz="8" w:space="0" w:color="00B050"/>
              <w:right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-7.7%</w:t>
            </w:r>
          </w:p>
        </w:tc>
        <w:tc>
          <w:tcPr>
            <w:tcW w:w="994" w:type="dxa"/>
            <w:tcBorders>
              <w:top w:val="nil"/>
              <w:left w:val="nil"/>
              <w:bottom w:val="single" w:sz="8" w:space="0" w:color="00B050"/>
              <w:right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-11597</w:t>
            </w:r>
          </w:p>
        </w:tc>
        <w:tc>
          <w:tcPr>
            <w:tcW w:w="1131" w:type="dxa"/>
            <w:tcBorders>
              <w:top w:val="nil"/>
              <w:left w:val="nil"/>
              <w:bottom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-18442</w:t>
            </w:r>
          </w:p>
        </w:tc>
      </w:tr>
      <w:tr w:rsidR="00EB686F" w:rsidTr="00EB686F">
        <w:trPr>
          <w:trHeight w:val="315"/>
        </w:trPr>
        <w:tc>
          <w:tcPr>
            <w:tcW w:w="3684" w:type="dxa"/>
            <w:gridSpan w:val="2"/>
            <w:tcBorders>
              <w:top w:val="single" w:sz="8" w:space="0" w:color="00B050"/>
              <w:left w:val="nil"/>
              <w:bottom w:val="single" w:sz="8" w:space="0" w:color="00B050"/>
              <w:right w:val="single" w:sz="8" w:space="0" w:color="00B050"/>
            </w:tcBorders>
            <w:vAlign w:val="bottom"/>
          </w:tcPr>
          <w:p w:rsidR="00EB686F" w:rsidRDefault="00EB686F" w:rsidP="00EB686F">
            <w:pPr>
              <w:widowControl/>
              <w:ind w:firstLineChars="300" w:firstLine="540"/>
              <w:jc w:val="left"/>
              <w:rPr>
                <w:color w:val="000000"/>
                <w:kern w:val="0"/>
                <w:sz w:val="18"/>
                <w:szCs w:val="18"/>
              </w:rPr>
            </w:pPr>
            <w:r>
              <w:rPr>
                <w:color w:val="000000"/>
                <w:kern w:val="0"/>
                <w:sz w:val="18"/>
                <w:szCs w:val="18"/>
              </w:rPr>
              <w:t>Trust Loans</w:t>
            </w:r>
          </w:p>
        </w:tc>
        <w:tc>
          <w:tcPr>
            <w:tcW w:w="1134" w:type="dxa"/>
            <w:tcBorders>
              <w:top w:val="nil"/>
              <w:left w:val="nil"/>
              <w:bottom w:val="single" w:sz="8" w:space="0" w:color="00B050"/>
              <w:right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8.08</w:t>
            </w:r>
          </w:p>
        </w:tc>
        <w:tc>
          <w:tcPr>
            <w:tcW w:w="1136" w:type="dxa"/>
            <w:tcBorders>
              <w:top w:val="nil"/>
              <w:left w:val="nil"/>
              <w:bottom w:val="single" w:sz="8" w:space="0" w:color="00B050"/>
              <w:right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0.2%</w:t>
            </w:r>
          </w:p>
        </w:tc>
        <w:tc>
          <w:tcPr>
            <w:tcW w:w="994" w:type="dxa"/>
            <w:tcBorders>
              <w:top w:val="nil"/>
              <w:left w:val="nil"/>
              <w:bottom w:val="single" w:sz="8" w:space="0" w:color="00B050"/>
              <w:right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-4652</w:t>
            </w:r>
          </w:p>
        </w:tc>
        <w:tc>
          <w:tcPr>
            <w:tcW w:w="1131" w:type="dxa"/>
            <w:tcBorders>
              <w:top w:val="nil"/>
              <w:left w:val="nil"/>
              <w:bottom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-22509</w:t>
            </w:r>
          </w:p>
        </w:tc>
      </w:tr>
      <w:tr w:rsidR="00EB686F" w:rsidTr="00EB686F">
        <w:trPr>
          <w:trHeight w:val="315"/>
        </w:trPr>
        <w:tc>
          <w:tcPr>
            <w:tcW w:w="3684" w:type="dxa"/>
            <w:gridSpan w:val="2"/>
            <w:tcBorders>
              <w:top w:val="single" w:sz="8" w:space="0" w:color="00B050"/>
              <w:left w:val="nil"/>
              <w:bottom w:val="single" w:sz="8" w:space="0" w:color="00B050"/>
              <w:right w:val="single" w:sz="8" w:space="0" w:color="00B050"/>
            </w:tcBorders>
            <w:shd w:val="clear" w:color="000000" w:fill="CCFFCC"/>
            <w:vAlign w:val="bottom"/>
          </w:tcPr>
          <w:p w:rsidR="00EB686F" w:rsidRDefault="00EB686F" w:rsidP="00EB686F">
            <w:pPr>
              <w:widowControl/>
              <w:ind w:firstLineChars="300" w:firstLine="540"/>
              <w:jc w:val="left"/>
              <w:rPr>
                <w:color w:val="000000"/>
                <w:kern w:val="0"/>
                <w:sz w:val="18"/>
                <w:szCs w:val="18"/>
              </w:rPr>
            </w:pPr>
            <w:r>
              <w:rPr>
                <w:color w:val="000000"/>
                <w:kern w:val="0"/>
                <w:sz w:val="18"/>
                <w:szCs w:val="18"/>
              </w:rPr>
              <w:t>Undiscounted Bankers’ Acceptance Bills</w:t>
            </w:r>
          </w:p>
        </w:tc>
        <w:tc>
          <w:tcPr>
            <w:tcW w:w="1134" w:type="dxa"/>
            <w:tcBorders>
              <w:top w:val="nil"/>
              <w:left w:val="nil"/>
              <w:bottom w:val="single" w:sz="8" w:space="0" w:color="00B050"/>
              <w:right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3.76</w:t>
            </w:r>
          </w:p>
        </w:tc>
        <w:tc>
          <w:tcPr>
            <w:tcW w:w="1136" w:type="dxa"/>
            <w:tcBorders>
              <w:top w:val="nil"/>
              <w:left w:val="nil"/>
              <w:bottom w:val="single" w:sz="8" w:space="0" w:color="00B050"/>
              <w:right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-13.9%</w:t>
            </w:r>
          </w:p>
        </w:tc>
        <w:tc>
          <w:tcPr>
            <w:tcW w:w="994" w:type="dxa"/>
            <w:tcBorders>
              <w:top w:val="nil"/>
              <w:left w:val="nil"/>
              <w:bottom w:val="single" w:sz="8" w:space="0" w:color="00B050"/>
              <w:right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-6786</w:t>
            </w:r>
          </w:p>
        </w:tc>
        <w:tc>
          <w:tcPr>
            <w:tcW w:w="1131" w:type="dxa"/>
            <w:tcBorders>
              <w:top w:val="nil"/>
              <w:left w:val="nil"/>
              <w:bottom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-11446</w:t>
            </w:r>
          </w:p>
        </w:tc>
      </w:tr>
      <w:tr w:rsidR="00EB686F" w:rsidTr="00EB686F">
        <w:trPr>
          <w:trHeight w:val="315"/>
        </w:trPr>
        <w:tc>
          <w:tcPr>
            <w:tcW w:w="3684" w:type="dxa"/>
            <w:gridSpan w:val="2"/>
            <w:tcBorders>
              <w:top w:val="single" w:sz="8" w:space="0" w:color="00B050"/>
              <w:left w:val="nil"/>
              <w:bottom w:val="single" w:sz="8" w:space="0" w:color="00B050"/>
              <w:right w:val="single" w:sz="8" w:space="0" w:color="00B050"/>
            </w:tcBorders>
            <w:vAlign w:val="bottom"/>
          </w:tcPr>
          <w:p w:rsidR="00EB686F" w:rsidRDefault="00EB686F" w:rsidP="00EB686F">
            <w:pPr>
              <w:widowControl/>
              <w:ind w:firstLineChars="300" w:firstLine="540"/>
              <w:jc w:val="left"/>
              <w:rPr>
                <w:color w:val="000000"/>
                <w:kern w:val="0"/>
                <w:sz w:val="18"/>
                <w:szCs w:val="18"/>
              </w:rPr>
            </w:pPr>
            <w:r>
              <w:rPr>
                <w:color w:val="000000"/>
                <w:kern w:val="0"/>
                <w:sz w:val="18"/>
                <w:szCs w:val="18"/>
              </w:rPr>
              <w:t>Corporate Debt</w:t>
            </w:r>
          </w:p>
        </w:tc>
        <w:tc>
          <w:tcPr>
            <w:tcW w:w="1134" w:type="dxa"/>
            <w:tcBorders>
              <w:top w:val="nil"/>
              <w:left w:val="nil"/>
              <w:bottom w:val="single" w:sz="8" w:space="0" w:color="00B050"/>
              <w:right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19.45</w:t>
            </w:r>
          </w:p>
        </w:tc>
        <w:tc>
          <w:tcPr>
            <w:tcW w:w="1136" w:type="dxa"/>
            <w:tcBorders>
              <w:top w:val="nil"/>
              <w:left w:val="nil"/>
              <w:bottom w:val="single" w:sz="8" w:space="0" w:color="00B050"/>
              <w:right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7.0%</w:t>
            </w:r>
          </w:p>
        </w:tc>
        <w:tc>
          <w:tcPr>
            <w:tcW w:w="994" w:type="dxa"/>
            <w:tcBorders>
              <w:top w:val="nil"/>
              <w:left w:val="nil"/>
              <w:bottom w:val="single" w:sz="8" w:space="0" w:color="00B050"/>
              <w:right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15860</w:t>
            </w:r>
          </w:p>
        </w:tc>
        <w:tc>
          <w:tcPr>
            <w:tcW w:w="1131" w:type="dxa"/>
            <w:tcBorders>
              <w:top w:val="nil"/>
              <w:left w:val="nil"/>
              <w:bottom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14110</w:t>
            </w:r>
          </w:p>
        </w:tc>
      </w:tr>
      <w:tr w:rsidR="00EB686F" w:rsidTr="00EB686F">
        <w:trPr>
          <w:trHeight w:val="315"/>
        </w:trPr>
        <w:tc>
          <w:tcPr>
            <w:tcW w:w="3684" w:type="dxa"/>
            <w:gridSpan w:val="2"/>
            <w:tcBorders>
              <w:top w:val="single" w:sz="8" w:space="0" w:color="00B050"/>
              <w:left w:val="nil"/>
              <w:bottom w:val="single" w:sz="8" w:space="0" w:color="00B050"/>
              <w:right w:val="single" w:sz="8" w:space="0" w:color="00B050"/>
            </w:tcBorders>
            <w:shd w:val="clear" w:color="000000" w:fill="CCFFCC"/>
            <w:vAlign w:val="bottom"/>
          </w:tcPr>
          <w:p w:rsidR="00EB686F" w:rsidRDefault="00EB686F" w:rsidP="00EB686F">
            <w:pPr>
              <w:widowControl/>
              <w:ind w:firstLineChars="300" w:firstLine="540"/>
              <w:jc w:val="left"/>
              <w:rPr>
                <w:color w:val="000000"/>
                <w:kern w:val="0"/>
                <w:sz w:val="18"/>
                <w:szCs w:val="18"/>
              </w:rPr>
            </w:pPr>
            <w:r>
              <w:rPr>
                <w:color w:val="000000"/>
                <w:kern w:val="0"/>
                <w:sz w:val="18"/>
                <w:szCs w:val="18"/>
              </w:rPr>
              <w:t>Special Bonds Issued by Local Governments</w:t>
            </w:r>
          </w:p>
        </w:tc>
        <w:tc>
          <w:tcPr>
            <w:tcW w:w="1134" w:type="dxa"/>
            <w:tcBorders>
              <w:top w:val="nil"/>
              <w:left w:val="nil"/>
              <w:bottom w:val="single" w:sz="8" w:space="0" w:color="00B050"/>
              <w:right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7.18</w:t>
            </w:r>
          </w:p>
        </w:tc>
        <w:tc>
          <w:tcPr>
            <w:tcW w:w="1136" w:type="dxa"/>
            <w:tcBorders>
              <w:top w:val="nil"/>
              <w:left w:val="nil"/>
              <w:bottom w:val="single" w:sz="8" w:space="0" w:color="00B050"/>
              <w:right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42.5%</w:t>
            </w:r>
          </w:p>
        </w:tc>
        <w:tc>
          <w:tcPr>
            <w:tcW w:w="994" w:type="dxa"/>
            <w:tcBorders>
              <w:top w:val="nil"/>
              <w:left w:val="nil"/>
              <w:bottom w:val="single" w:sz="8" w:space="0" w:color="00B050"/>
              <w:right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16954</w:t>
            </w:r>
          </w:p>
        </w:tc>
        <w:tc>
          <w:tcPr>
            <w:tcW w:w="1131" w:type="dxa"/>
            <w:tcBorders>
              <w:top w:val="nil"/>
              <w:left w:val="nil"/>
              <w:bottom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1438</w:t>
            </w:r>
          </w:p>
        </w:tc>
      </w:tr>
      <w:tr w:rsidR="00EB686F" w:rsidTr="00EB686F">
        <w:trPr>
          <w:trHeight w:val="315"/>
        </w:trPr>
        <w:tc>
          <w:tcPr>
            <w:tcW w:w="3684" w:type="dxa"/>
            <w:gridSpan w:val="2"/>
            <w:tcBorders>
              <w:top w:val="single" w:sz="8" w:space="0" w:color="00B050"/>
              <w:left w:val="nil"/>
              <w:bottom w:val="single" w:sz="8" w:space="0" w:color="00B050"/>
              <w:right w:val="single" w:sz="8" w:space="0" w:color="00B050"/>
            </w:tcBorders>
            <w:vAlign w:val="bottom"/>
          </w:tcPr>
          <w:p w:rsidR="00EB686F" w:rsidRDefault="00EB686F" w:rsidP="00EB686F">
            <w:pPr>
              <w:widowControl/>
              <w:ind w:firstLineChars="300" w:firstLine="540"/>
              <w:jc w:val="left"/>
              <w:rPr>
                <w:color w:val="000000"/>
                <w:kern w:val="0"/>
                <w:sz w:val="18"/>
                <w:szCs w:val="18"/>
              </w:rPr>
            </w:pPr>
            <w:r>
              <w:rPr>
                <w:color w:val="000000"/>
                <w:kern w:val="0"/>
                <w:sz w:val="18"/>
                <w:szCs w:val="18"/>
              </w:rPr>
              <w:t xml:space="preserve">Domestic Equity Financing by Non-financial Enterprises </w:t>
            </w:r>
          </w:p>
        </w:tc>
        <w:tc>
          <w:tcPr>
            <w:tcW w:w="1134" w:type="dxa"/>
            <w:tcBorders>
              <w:top w:val="nil"/>
              <w:left w:val="nil"/>
              <w:bottom w:val="single" w:sz="8" w:space="0" w:color="00B050"/>
              <w:right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6.96</w:t>
            </w:r>
          </w:p>
        </w:tc>
        <w:tc>
          <w:tcPr>
            <w:tcW w:w="1136" w:type="dxa"/>
            <w:tcBorders>
              <w:top w:val="nil"/>
              <w:left w:val="nil"/>
              <w:bottom w:val="single" w:sz="8" w:space="0" w:color="00B050"/>
              <w:right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9.2%</w:t>
            </w:r>
          </w:p>
        </w:tc>
        <w:tc>
          <w:tcPr>
            <w:tcW w:w="994" w:type="dxa"/>
            <w:tcBorders>
              <w:top w:val="nil"/>
              <w:left w:val="nil"/>
              <w:bottom w:val="single" w:sz="8" w:space="0" w:color="00B050"/>
              <w:right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3099</w:t>
            </w:r>
          </w:p>
        </w:tc>
        <w:tc>
          <w:tcPr>
            <w:tcW w:w="1131" w:type="dxa"/>
            <w:tcBorders>
              <w:top w:val="nil"/>
              <w:left w:val="nil"/>
              <w:bottom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-2918</w:t>
            </w:r>
          </w:p>
        </w:tc>
      </w:tr>
      <w:tr w:rsidR="00EB686F" w:rsidTr="00EB686F">
        <w:trPr>
          <w:trHeight w:val="315"/>
        </w:trPr>
        <w:tc>
          <w:tcPr>
            <w:tcW w:w="3684" w:type="dxa"/>
            <w:gridSpan w:val="2"/>
            <w:tcBorders>
              <w:top w:val="single" w:sz="8" w:space="0" w:color="00B050"/>
              <w:left w:val="nil"/>
              <w:bottom w:val="single" w:sz="8" w:space="0" w:color="00B050"/>
              <w:right w:val="single" w:sz="8" w:space="0" w:color="00B050"/>
            </w:tcBorders>
            <w:shd w:val="clear" w:color="000000" w:fill="CCFFCC"/>
            <w:vAlign w:val="bottom"/>
          </w:tcPr>
          <w:p w:rsidR="00EB686F" w:rsidRDefault="00EB686F" w:rsidP="00EB686F">
            <w:pPr>
              <w:widowControl/>
              <w:ind w:firstLineChars="300" w:firstLine="540"/>
              <w:jc w:val="left"/>
              <w:rPr>
                <w:color w:val="000000"/>
                <w:kern w:val="0"/>
                <w:sz w:val="18"/>
                <w:szCs w:val="18"/>
              </w:rPr>
            </w:pPr>
            <w:r>
              <w:rPr>
                <w:color w:val="000000"/>
                <w:kern w:val="0"/>
                <w:sz w:val="18"/>
                <w:szCs w:val="18"/>
              </w:rPr>
              <w:t>Other Financing</w:t>
            </w:r>
          </w:p>
        </w:tc>
        <w:tc>
          <w:tcPr>
            <w:tcW w:w="1134" w:type="dxa"/>
            <w:tcBorders>
              <w:top w:val="nil"/>
              <w:left w:val="nil"/>
              <w:bottom w:val="single" w:sz="8" w:space="0" w:color="00B050"/>
              <w:right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4.61</w:t>
            </w:r>
          </w:p>
        </w:tc>
        <w:tc>
          <w:tcPr>
            <w:tcW w:w="1136" w:type="dxa"/>
            <w:tcBorders>
              <w:top w:val="nil"/>
              <w:left w:val="nil"/>
              <w:bottom w:val="single" w:sz="8" w:space="0" w:color="00B050"/>
              <w:right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44.3%</w:t>
            </w:r>
          </w:p>
        </w:tc>
        <w:tc>
          <w:tcPr>
            <w:tcW w:w="994" w:type="dxa"/>
            <w:tcBorders>
              <w:top w:val="nil"/>
              <w:left w:val="nil"/>
              <w:bottom w:val="single" w:sz="8" w:space="0" w:color="00B050"/>
              <w:right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9528</w:t>
            </w:r>
          </w:p>
        </w:tc>
        <w:tc>
          <w:tcPr>
            <w:tcW w:w="1131" w:type="dxa"/>
            <w:tcBorders>
              <w:top w:val="nil"/>
              <w:left w:val="nil"/>
              <w:bottom w:val="single" w:sz="8" w:space="0" w:color="00B050"/>
            </w:tcBorders>
            <w:shd w:val="clear" w:color="000000" w:fill="CCFFCC"/>
            <w:vAlign w:val="center"/>
          </w:tcPr>
          <w:p w:rsidR="00EB686F" w:rsidRDefault="00EB686F" w:rsidP="00EB686F">
            <w:pPr>
              <w:widowControl/>
              <w:jc w:val="right"/>
              <w:rPr>
                <w:color w:val="000000"/>
                <w:kern w:val="0"/>
                <w:sz w:val="18"/>
                <w:szCs w:val="18"/>
              </w:rPr>
            </w:pPr>
            <w:r>
              <w:rPr>
                <w:color w:val="000000"/>
                <w:kern w:val="0"/>
                <w:sz w:val="18"/>
                <w:szCs w:val="18"/>
              </w:rPr>
              <w:t>4153</w:t>
            </w:r>
          </w:p>
        </w:tc>
      </w:tr>
      <w:tr w:rsidR="00EB686F" w:rsidTr="00EB686F">
        <w:trPr>
          <w:trHeight w:val="315"/>
        </w:trPr>
        <w:tc>
          <w:tcPr>
            <w:tcW w:w="3684" w:type="dxa"/>
            <w:gridSpan w:val="2"/>
            <w:tcBorders>
              <w:top w:val="single" w:sz="8" w:space="0" w:color="00B050"/>
              <w:left w:val="nil"/>
              <w:bottom w:val="single" w:sz="8" w:space="0" w:color="00B050"/>
              <w:right w:val="single" w:sz="8" w:space="0" w:color="00B050"/>
            </w:tcBorders>
            <w:vAlign w:val="bottom"/>
          </w:tcPr>
          <w:p w:rsidR="00EB686F" w:rsidRDefault="00EB686F" w:rsidP="00EB686F">
            <w:pPr>
              <w:widowControl/>
              <w:ind w:firstLineChars="300" w:firstLine="540"/>
              <w:jc w:val="left"/>
              <w:rPr>
                <w:color w:val="000000"/>
                <w:kern w:val="0"/>
                <w:sz w:val="18"/>
                <w:szCs w:val="18"/>
              </w:rPr>
            </w:pPr>
            <w:r>
              <w:rPr>
                <w:color w:val="000000"/>
                <w:kern w:val="0"/>
                <w:sz w:val="18"/>
                <w:szCs w:val="18"/>
              </w:rPr>
              <w:t xml:space="preserve">Of Which </w:t>
            </w:r>
            <w:r>
              <w:rPr>
                <w:color w:val="000000"/>
                <w:kern w:val="0"/>
                <w:sz w:val="18"/>
                <w:szCs w:val="18"/>
              </w:rPr>
              <w:t>：</w:t>
            </w:r>
            <w:r>
              <w:rPr>
                <w:color w:val="000000"/>
                <w:kern w:val="0"/>
                <w:sz w:val="18"/>
                <w:szCs w:val="18"/>
              </w:rPr>
              <w:t>Asset-backed Securities by Deposit Financial Institutions</w:t>
            </w:r>
          </w:p>
        </w:tc>
        <w:tc>
          <w:tcPr>
            <w:tcW w:w="1134" w:type="dxa"/>
            <w:tcBorders>
              <w:top w:val="nil"/>
              <w:left w:val="nil"/>
              <w:bottom w:val="single" w:sz="8" w:space="0" w:color="00B050"/>
              <w:right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0.99</w:t>
            </w:r>
          </w:p>
        </w:tc>
        <w:tc>
          <w:tcPr>
            <w:tcW w:w="1136" w:type="dxa"/>
            <w:tcBorders>
              <w:top w:val="nil"/>
              <w:left w:val="nil"/>
              <w:bottom w:val="single" w:sz="8" w:space="0" w:color="00B050"/>
              <w:right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96.2%</w:t>
            </w:r>
          </w:p>
        </w:tc>
        <w:tc>
          <w:tcPr>
            <w:tcW w:w="994" w:type="dxa"/>
            <w:tcBorders>
              <w:top w:val="nil"/>
              <w:left w:val="nil"/>
              <w:bottom w:val="single" w:sz="8" w:space="0" w:color="00B050"/>
              <w:right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3093</w:t>
            </w:r>
          </w:p>
        </w:tc>
        <w:tc>
          <w:tcPr>
            <w:tcW w:w="1131" w:type="dxa"/>
            <w:tcBorders>
              <w:top w:val="nil"/>
              <w:left w:val="nil"/>
              <w:bottom w:val="single" w:sz="8" w:space="0" w:color="00B050"/>
            </w:tcBorders>
            <w:vAlign w:val="center"/>
          </w:tcPr>
          <w:p w:rsidR="00EB686F" w:rsidRDefault="00EB686F" w:rsidP="00EB686F">
            <w:pPr>
              <w:widowControl/>
              <w:jc w:val="right"/>
              <w:rPr>
                <w:color w:val="000000"/>
                <w:kern w:val="0"/>
                <w:sz w:val="18"/>
                <w:szCs w:val="18"/>
              </w:rPr>
            </w:pPr>
            <w:r>
              <w:rPr>
                <w:color w:val="000000"/>
                <w:kern w:val="0"/>
                <w:sz w:val="18"/>
                <w:szCs w:val="18"/>
              </w:rPr>
              <w:t>2901</w:t>
            </w:r>
          </w:p>
        </w:tc>
      </w:tr>
      <w:tr w:rsidR="00EB686F" w:rsidTr="00EB686F">
        <w:trPr>
          <w:trHeight w:val="315"/>
        </w:trPr>
        <w:tc>
          <w:tcPr>
            <w:tcW w:w="3684" w:type="dxa"/>
            <w:gridSpan w:val="2"/>
            <w:tcBorders>
              <w:top w:val="single" w:sz="8" w:space="0" w:color="00B050"/>
              <w:left w:val="nil"/>
              <w:bottom w:val="single" w:sz="8" w:space="0" w:color="00B050"/>
              <w:right w:val="single" w:sz="8" w:space="0" w:color="00B050"/>
            </w:tcBorders>
            <w:shd w:val="clear" w:color="000000" w:fill="FFFFFF"/>
            <w:vAlign w:val="bottom"/>
          </w:tcPr>
          <w:p w:rsidR="00EB686F" w:rsidRDefault="00EB686F" w:rsidP="00EB686F">
            <w:pPr>
              <w:widowControl/>
              <w:ind w:firstLineChars="600" w:firstLine="1080"/>
              <w:jc w:val="left"/>
              <w:rPr>
                <w:color w:val="000000"/>
                <w:kern w:val="0"/>
                <w:sz w:val="18"/>
                <w:szCs w:val="18"/>
              </w:rPr>
            </w:pPr>
            <w:r>
              <w:rPr>
                <w:color w:val="000000"/>
                <w:kern w:val="0"/>
                <w:sz w:val="18"/>
                <w:szCs w:val="18"/>
              </w:rPr>
              <w:t>Loans Written Off</w:t>
            </w:r>
          </w:p>
        </w:tc>
        <w:tc>
          <w:tcPr>
            <w:tcW w:w="1134" w:type="dxa"/>
            <w:tcBorders>
              <w:top w:val="nil"/>
              <w:left w:val="nil"/>
              <w:bottom w:val="single" w:sz="8" w:space="0" w:color="00B050"/>
              <w:right w:val="single" w:sz="8" w:space="0" w:color="00B050"/>
            </w:tcBorders>
            <w:shd w:val="clear" w:color="000000" w:fill="FFFFFF"/>
            <w:vAlign w:val="center"/>
          </w:tcPr>
          <w:p w:rsidR="00EB686F" w:rsidRDefault="00EB686F" w:rsidP="00EB686F">
            <w:pPr>
              <w:widowControl/>
              <w:jc w:val="right"/>
              <w:rPr>
                <w:color w:val="000000"/>
                <w:kern w:val="0"/>
                <w:sz w:val="18"/>
                <w:szCs w:val="18"/>
              </w:rPr>
            </w:pPr>
            <w:r>
              <w:rPr>
                <w:color w:val="000000"/>
                <w:kern w:val="0"/>
                <w:sz w:val="18"/>
                <w:szCs w:val="18"/>
              </w:rPr>
              <w:t>2.64</w:t>
            </w:r>
          </w:p>
        </w:tc>
        <w:tc>
          <w:tcPr>
            <w:tcW w:w="1136" w:type="dxa"/>
            <w:tcBorders>
              <w:top w:val="nil"/>
              <w:left w:val="nil"/>
              <w:bottom w:val="single" w:sz="8" w:space="0" w:color="00B050"/>
              <w:right w:val="single" w:sz="8" w:space="0" w:color="00B050"/>
            </w:tcBorders>
            <w:shd w:val="clear" w:color="000000" w:fill="FFFFFF"/>
            <w:vAlign w:val="center"/>
          </w:tcPr>
          <w:p w:rsidR="00EB686F" w:rsidRDefault="00EB686F" w:rsidP="00EB686F">
            <w:pPr>
              <w:widowControl/>
              <w:jc w:val="right"/>
              <w:rPr>
                <w:color w:val="000000"/>
                <w:kern w:val="0"/>
                <w:sz w:val="18"/>
                <w:szCs w:val="18"/>
              </w:rPr>
            </w:pPr>
            <w:r>
              <w:rPr>
                <w:color w:val="000000"/>
                <w:kern w:val="0"/>
                <w:sz w:val="18"/>
                <w:szCs w:val="18"/>
              </w:rPr>
              <w:t>54.1%</w:t>
            </w:r>
          </w:p>
        </w:tc>
        <w:tc>
          <w:tcPr>
            <w:tcW w:w="994" w:type="dxa"/>
            <w:tcBorders>
              <w:top w:val="nil"/>
              <w:left w:val="nil"/>
              <w:bottom w:val="single" w:sz="8" w:space="0" w:color="00B050"/>
              <w:right w:val="single" w:sz="8" w:space="0" w:color="00B050"/>
            </w:tcBorders>
            <w:shd w:val="clear" w:color="000000" w:fill="FFFFFF"/>
            <w:vAlign w:val="center"/>
          </w:tcPr>
          <w:p w:rsidR="00EB686F" w:rsidRDefault="00EB686F" w:rsidP="00EB686F">
            <w:pPr>
              <w:widowControl/>
              <w:jc w:val="right"/>
              <w:rPr>
                <w:color w:val="000000"/>
                <w:kern w:val="0"/>
                <w:sz w:val="18"/>
                <w:szCs w:val="18"/>
              </w:rPr>
            </w:pPr>
            <w:r>
              <w:rPr>
                <w:color w:val="000000"/>
                <w:kern w:val="0"/>
                <w:sz w:val="18"/>
                <w:szCs w:val="18"/>
              </w:rPr>
              <w:t>6455</w:t>
            </w:r>
          </w:p>
        </w:tc>
        <w:tc>
          <w:tcPr>
            <w:tcW w:w="1131" w:type="dxa"/>
            <w:tcBorders>
              <w:top w:val="nil"/>
              <w:left w:val="nil"/>
              <w:bottom w:val="single" w:sz="8" w:space="0" w:color="00B050"/>
            </w:tcBorders>
            <w:shd w:val="clear" w:color="000000" w:fill="FFFFFF"/>
            <w:vAlign w:val="center"/>
          </w:tcPr>
          <w:p w:rsidR="00EB686F" w:rsidRDefault="00EB686F" w:rsidP="00EB686F">
            <w:pPr>
              <w:widowControl/>
              <w:jc w:val="right"/>
              <w:rPr>
                <w:color w:val="000000"/>
                <w:kern w:val="0"/>
                <w:sz w:val="18"/>
                <w:szCs w:val="18"/>
              </w:rPr>
            </w:pPr>
            <w:r>
              <w:rPr>
                <w:color w:val="000000"/>
                <w:kern w:val="0"/>
                <w:sz w:val="18"/>
                <w:szCs w:val="18"/>
              </w:rPr>
              <w:t>1680</w:t>
            </w:r>
          </w:p>
        </w:tc>
      </w:tr>
    </w:tbl>
    <w:p w:rsidR="00EB686F" w:rsidRDefault="00EB686F" w:rsidP="00EB686F">
      <w:pPr>
        <w:widowControl/>
        <w:autoSpaceDE w:val="0"/>
        <w:autoSpaceDN w:val="0"/>
        <w:adjustRightInd w:val="0"/>
        <w:spacing w:line="360" w:lineRule="auto"/>
        <w:rPr>
          <w:rFonts w:eastAsia="楷体_GB2312"/>
          <w:kern w:val="0"/>
        </w:rPr>
      </w:pPr>
      <w:r>
        <w:rPr>
          <w:rFonts w:eastAsia="楷体_GB2312"/>
          <w:kern w:val="0"/>
        </w:rPr>
        <w:t>Notes: 1. The stock of all-system financing aggregates refers to the balance of financing provided by the financial system to the real economy at the end of a certain period of time.</w:t>
      </w:r>
      <w:r>
        <w:rPr>
          <w:rFonts w:eastAsia="楷体_GB2312" w:hint="eastAsia"/>
          <w:kern w:val="0"/>
        </w:rPr>
        <w:t xml:space="preserve"> </w:t>
      </w:r>
      <w:r>
        <w:rPr>
          <w:rFonts w:eastAsia="楷体_GB2312"/>
          <w:kern w:val="0"/>
        </w:rPr>
        <w:t>The increment in the all-system financing aggregates refers to the volume of financing provided by the financial system to the real economy during a certain period</w:t>
      </w:r>
      <w:r>
        <w:rPr>
          <w:rFonts w:eastAsia="楷体_GB2312" w:hint="eastAsia"/>
          <w:kern w:val="0"/>
        </w:rPr>
        <w:t xml:space="preserve"> of time</w:t>
      </w:r>
      <w:r>
        <w:rPr>
          <w:rFonts w:eastAsia="楷体_GB2312"/>
          <w:kern w:val="0"/>
        </w:rPr>
        <w:t xml:space="preserve">. </w:t>
      </w:r>
    </w:p>
    <w:p w:rsidR="00EB686F" w:rsidRDefault="00EB686F" w:rsidP="00EB686F">
      <w:pPr>
        <w:widowControl/>
        <w:autoSpaceDE w:val="0"/>
        <w:autoSpaceDN w:val="0"/>
        <w:adjustRightInd w:val="0"/>
        <w:spacing w:line="360" w:lineRule="auto"/>
        <w:rPr>
          <w:rFonts w:eastAsia="楷体_GB2312"/>
          <w:kern w:val="0"/>
        </w:rPr>
      </w:pPr>
      <w:r>
        <w:rPr>
          <w:rFonts w:eastAsia="楷体_GB2312"/>
          <w:kern w:val="0"/>
        </w:rPr>
        <w:lastRenderedPageBreak/>
        <w:t>2. Since July 2018, the PBC has improved its statistical method for all-system financing aggregates and has included “asset-backed securities by deposit financial institutions” and “loans written off” into the all-system financing aggregates, under the category of “other financing.”</w:t>
      </w:r>
    </w:p>
    <w:p w:rsidR="00EB686F" w:rsidRDefault="00EB686F" w:rsidP="00EB686F">
      <w:pPr>
        <w:widowControl/>
        <w:autoSpaceDE w:val="0"/>
        <w:autoSpaceDN w:val="0"/>
        <w:adjustRightInd w:val="0"/>
        <w:spacing w:line="360" w:lineRule="auto"/>
        <w:rPr>
          <w:rFonts w:eastAsia="楷体_GB2312"/>
          <w:kern w:val="0"/>
        </w:rPr>
      </w:pPr>
      <w:r>
        <w:rPr>
          <w:rFonts w:eastAsia="楷体_GB2312"/>
          <w:kern w:val="0"/>
        </w:rPr>
        <w:t xml:space="preserve">3. Since August 2018, the issuance of </w:t>
      </w:r>
      <w:r>
        <w:rPr>
          <w:rFonts w:eastAsia="楷体_GB2312" w:hint="eastAsia"/>
          <w:kern w:val="0"/>
        </w:rPr>
        <w:t>local government</w:t>
      </w:r>
      <w:r>
        <w:rPr>
          <w:rFonts w:eastAsia="楷体_GB2312"/>
          <w:kern w:val="0"/>
        </w:rPr>
        <w:t xml:space="preserve"> special bonds</w:t>
      </w:r>
      <w:r>
        <w:rPr>
          <w:rFonts w:eastAsia="楷体_GB2312" w:hint="eastAsia"/>
          <w:kern w:val="0"/>
        </w:rPr>
        <w:t xml:space="preserve"> ha</w:t>
      </w:r>
      <w:r>
        <w:rPr>
          <w:rFonts w:eastAsia="楷体_GB2312"/>
          <w:kern w:val="0"/>
        </w:rPr>
        <w:t>s</w:t>
      </w:r>
      <w:r>
        <w:rPr>
          <w:rFonts w:eastAsia="楷体_GB2312" w:hint="eastAsia"/>
          <w:kern w:val="0"/>
        </w:rPr>
        <w:t xml:space="preserve"> </w:t>
      </w:r>
      <w:r>
        <w:rPr>
          <w:rFonts w:eastAsia="楷体_GB2312"/>
          <w:kern w:val="0"/>
        </w:rPr>
        <w:t xml:space="preserve">accelerated, which has had had a significant “replacement effect” on bank loans and corporate debts. In order to reflect the “replacement effect” in the all-system financing aggregates, beginning in September 2018 the PBC started to include “special bonds issued by local governments” in the statistics of the all-system financing aggregates and the data on special bonds issued by local governments are calculated based on the registration </w:t>
      </w:r>
      <w:r>
        <w:rPr>
          <w:rFonts w:eastAsia="楷体_GB2312" w:hint="eastAsia"/>
          <w:kern w:val="0"/>
        </w:rPr>
        <w:t xml:space="preserve">date of </w:t>
      </w:r>
      <w:r>
        <w:rPr>
          <w:rFonts w:eastAsia="楷体_GB2312"/>
          <w:kern w:val="0"/>
        </w:rPr>
        <w:t xml:space="preserve">the claim and debt. </w:t>
      </w:r>
    </w:p>
    <w:p w:rsidR="00EB686F" w:rsidRDefault="00EB686F" w:rsidP="00EB686F">
      <w:pPr>
        <w:widowControl/>
        <w:autoSpaceDE w:val="0"/>
        <w:autoSpaceDN w:val="0"/>
        <w:adjustRightInd w:val="0"/>
        <w:spacing w:line="360" w:lineRule="auto"/>
        <w:rPr>
          <w:rFonts w:eastAsia="楷体_GB2312"/>
          <w:kern w:val="0"/>
        </w:rPr>
      </w:pPr>
      <w:r>
        <w:rPr>
          <w:rFonts w:eastAsia="楷体_GB2312"/>
          <w:kern w:val="0"/>
        </w:rPr>
        <w:t xml:space="preserve">Sources: People’s Bank of China, China </w:t>
      </w:r>
      <w:r>
        <w:rPr>
          <w:rFonts w:eastAsia="楷体_GB2312" w:hint="eastAsia"/>
          <w:kern w:val="0"/>
        </w:rPr>
        <w:t xml:space="preserve">Banking and </w:t>
      </w:r>
      <w:r>
        <w:rPr>
          <w:rFonts w:eastAsia="楷体_GB2312"/>
          <w:kern w:val="0"/>
        </w:rPr>
        <w:t xml:space="preserve">Insurance Regulatory Commission, China Securities Regulatory Commission, China Central Depository </w:t>
      </w:r>
      <w:r>
        <w:rPr>
          <w:rFonts w:eastAsia="楷体_GB2312" w:hint="eastAsia"/>
          <w:kern w:val="0"/>
        </w:rPr>
        <w:t>&amp;</w:t>
      </w:r>
      <w:r>
        <w:rPr>
          <w:rFonts w:eastAsia="楷体_GB2312"/>
          <w:kern w:val="0"/>
        </w:rPr>
        <w:t xml:space="preserve"> Clearing Co., Ltd., National Association of Financial Market Institutional Investors, and so forth.</w:t>
      </w:r>
    </w:p>
    <w:p w:rsidR="00EB686F" w:rsidRDefault="00EB686F" w:rsidP="00EB686F">
      <w:pPr>
        <w:pStyle w:val="jnTimes2"/>
        <w:spacing w:line="240" w:lineRule="auto"/>
        <w:rPr>
          <w:rFonts w:ascii="楷体_GB2312" w:eastAsia="楷体_GB2312" w:hAnsi="Times New Roman" w:cs="楷体_GB2312"/>
          <w:color w:val="000000"/>
        </w:rPr>
      </w:pPr>
      <w:bookmarkStart w:id="29" w:name="_Toc482380474"/>
    </w:p>
    <w:p w:rsidR="00EB686F" w:rsidRDefault="00EB686F" w:rsidP="00EB686F">
      <w:pPr>
        <w:pStyle w:val="jnTimes2"/>
        <w:spacing w:line="240" w:lineRule="auto"/>
        <w:rPr>
          <w:rFonts w:ascii="楷体_GB2312" w:eastAsia="楷体_GB2312" w:hAnsi="Times New Roman" w:cs="楷体_GB2312"/>
          <w:color w:val="000000"/>
        </w:rPr>
      </w:pPr>
    </w:p>
    <w:p w:rsidR="00EB686F" w:rsidRDefault="00EB686F" w:rsidP="00EB686F">
      <w:pPr>
        <w:keepNext/>
        <w:widowControl/>
        <w:spacing w:after="240" w:line="360" w:lineRule="auto"/>
        <w:outlineLvl w:val="1"/>
        <w:rPr>
          <w:rFonts w:eastAsia="黑体"/>
          <w:b/>
          <w:bCs/>
          <w:iCs/>
          <w:kern w:val="0"/>
          <w:sz w:val="24"/>
        </w:rPr>
      </w:pPr>
      <w:bookmarkStart w:id="30" w:name="_Toc492904373"/>
      <w:bookmarkStart w:id="31" w:name="_Toc505346986"/>
      <w:bookmarkStart w:id="32" w:name="_Toc517190504"/>
      <w:bookmarkStart w:id="33" w:name="_Toc532201080"/>
      <w:bookmarkEnd w:id="29"/>
      <w:r>
        <w:rPr>
          <w:rFonts w:eastAsia="黑体" w:hint="eastAsia"/>
          <w:b/>
          <w:bCs/>
          <w:iCs/>
          <w:kern w:val="0"/>
          <w:sz w:val="24"/>
        </w:rPr>
        <w:t>I</w:t>
      </w:r>
      <w:r>
        <w:rPr>
          <w:rFonts w:eastAsia="黑体"/>
          <w:b/>
          <w:bCs/>
          <w:iCs/>
          <w:kern w:val="0"/>
          <w:sz w:val="24"/>
          <w:lang w:eastAsia="zh-TW"/>
        </w:rPr>
        <w:t xml:space="preserve">V. </w:t>
      </w:r>
      <w:r>
        <w:rPr>
          <w:rFonts w:eastAsia="黑体"/>
          <w:b/>
          <w:sz w:val="24"/>
        </w:rPr>
        <w:t xml:space="preserve">The RMB </w:t>
      </w:r>
      <w:r>
        <w:rPr>
          <w:rFonts w:eastAsia="黑体" w:hint="eastAsia"/>
          <w:b/>
          <w:sz w:val="24"/>
        </w:rPr>
        <w:t>e</w:t>
      </w:r>
      <w:r>
        <w:rPr>
          <w:rFonts w:eastAsia="黑体"/>
          <w:b/>
          <w:sz w:val="24"/>
        </w:rPr>
        <w:t xml:space="preserve">xchange </w:t>
      </w:r>
      <w:r>
        <w:rPr>
          <w:rFonts w:eastAsia="黑体" w:hint="eastAsia"/>
          <w:b/>
          <w:sz w:val="24"/>
        </w:rPr>
        <w:t>r</w:t>
      </w:r>
      <w:r>
        <w:rPr>
          <w:rFonts w:eastAsia="黑体"/>
          <w:b/>
          <w:sz w:val="24"/>
        </w:rPr>
        <w:t>ate was</w:t>
      </w:r>
      <w:r>
        <w:rPr>
          <w:rFonts w:eastAsia="黑体" w:hint="eastAsia"/>
          <w:b/>
          <w:sz w:val="24"/>
        </w:rPr>
        <w:t xml:space="preserve"> basically stable and</w:t>
      </w:r>
      <w:r>
        <w:rPr>
          <w:rFonts w:eastAsia="黑体"/>
          <w:b/>
          <w:sz w:val="24"/>
        </w:rPr>
        <w:t xml:space="preserve"> </w:t>
      </w:r>
      <w:r>
        <w:rPr>
          <w:rFonts w:eastAsia="黑体" w:hint="eastAsia"/>
          <w:b/>
          <w:sz w:val="24"/>
        </w:rPr>
        <w:t>m</w:t>
      </w:r>
      <w:r>
        <w:rPr>
          <w:rFonts w:eastAsia="黑体"/>
          <w:b/>
          <w:sz w:val="24"/>
        </w:rPr>
        <w:t xml:space="preserve">ore </w:t>
      </w:r>
      <w:r>
        <w:rPr>
          <w:rFonts w:eastAsia="黑体" w:hint="eastAsia"/>
          <w:b/>
          <w:sz w:val="24"/>
        </w:rPr>
        <w:t>fl</w:t>
      </w:r>
      <w:r>
        <w:rPr>
          <w:rFonts w:eastAsia="黑体"/>
          <w:b/>
          <w:sz w:val="24"/>
        </w:rPr>
        <w:t xml:space="preserve">exible in </w:t>
      </w:r>
      <w:r>
        <w:rPr>
          <w:rFonts w:eastAsia="黑体" w:hint="eastAsia"/>
          <w:b/>
          <w:sz w:val="24"/>
        </w:rPr>
        <w:t>t</w:t>
      </w:r>
      <w:r>
        <w:rPr>
          <w:rFonts w:eastAsia="黑体"/>
          <w:b/>
          <w:sz w:val="24"/>
        </w:rPr>
        <w:t xml:space="preserve">erms of </w:t>
      </w:r>
      <w:r>
        <w:rPr>
          <w:rFonts w:eastAsia="黑体" w:hint="eastAsia"/>
          <w:b/>
          <w:sz w:val="24"/>
        </w:rPr>
        <w:t>t</w:t>
      </w:r>
      <w:r>
        <w:rPr>
          <w:rFonts w:eastAsia="黑体"/>
          <w:b/>
          <w:sz w:val="24"/>
        </w:rPr>
        <w:t xml:space="preserve">wo-way </w:t>
      </w:r>
      <w:r>
        <w:rPr>
          <w:rFonts w:eastAsia="黑体" w:hint="eastAsia"/>
          <w:b/>
          <w:sz w:val="24"/>
        </w:rPr>
        <w:t>f</w:t>
      </w:r>
      <w:r>
        <w:rPr>
          <w:rFonts w:eastAsia="黑体"/>
          <w:b/>
          <w:sz w:val="24"/>
        </w:rPr>
        <w:t>luctuations</w:t>
      </w:r>
      <w:r>
        <w:rPr>
          <w:rFonts w:eastAsia="黑体" w:hint="eastAsia"/>
          <w:b/>
          <w:sz w:val="24"/>
        </w:rPr>
        <w:t xml:space="preserve">, </w:t>
      </w:r>
      <w:r>
        <w:rPr>
          <w:rFonts w:eastAsia="黑体"/>
          <w:b/>
          <w:sz w:val="24"/>
        </w:rPr>
        <w:t xml:space="preserve">and </w:t>
      </w:r>
      <w:r>
        <w:rPr>
          <w:rFonts w:eastAsia="黑体" w:hint="eastAsia"/>
          <w:b/>
          <w:bCs/>
          <w:iCs/>
          <w:kern w:val="0"/>
          <w:sz w:val="24"/>
        </w:rPr>
        <w:t>c</w:t>
      </w:r>
      <w:r>
        <w:rPr>
          <w:rFonts w:eastAsia="黑体"/>
          <w:b/>
          <w:bCs/>
          <w:iCs/>
          <w:kern w:val="0"/>
          <w:sz w:val="24"/>
          <w:lang w:eastAsia="zh-TW"/>
        </w:rPr>
        <w:t xml:space="preserve">ross-border RMB </w:t>
      </w:r>
      <w:bookmarkEnd w:id="30"/>
      <w:bookmarkEnd w:id="31"/>
      <w:r>
        <w:rPr>
          <w:rFonts w:eastAsia="黑体" w:hint="eastAsia"/>
          <w:b/>
          <w:bCs/>
          <w:iCs/>
          <w:kern w:val="0"/>
          <w:sz w:val="24"/>
        </w:rPr>
        <w:t>business</w:t>
      </w:r>
      <w:r>
        <w:rPr>
          <w:rFonts w:eastAsia="黑体"/>
          <w:b/>
          <w:bCs/>
          <w:iCs/>
          <w:kern w:val="0"/>
          <w:sz w:val="24"/>
        </w:rPr>
        <w:t>es</w:t>
      </w:r>
      <w:r>
        <w:rPr>
          <w:rFonts w:eastAsia="黑体" w:hint="eastAsia"/>
          <w:b/>
          <w:bCs/>
          <w:iCs/>
          <w:kern w:val="0"/>
          <w:sz w:val="24"/>
        </w:rPr>
        <w:t xml:space="preserve"> saw rapid </w:t>
      </w:r>
      <w:bookmarkEnd w:id="32"/>
      <w:r>
        <w:rPr>
          <w:rFonts w:eastAsia="黑体" w:hint="eastAsia"/>
          <w:b/>
          <w:bCs/>
          <w:iCs/>
          <w:kern w:val="0"/>
          <w:sz w:val="24"/>
        </w:rPr>
        <w:t>growth</w:t>
      </w:r>
      <w:bookmarkEnd w:id="33"/>
    </w:p>
    <w:p w:rsidR="00EB686F" w:rsidRDefault="00EB686F" w:rsidP="005A0958">
      <w:pPr>
        <w:spacing w:line="360" w:lineRule="auto"/>
        <w:rPr>
          <w:rFonts w:eastAsia="仿宋_GB2312"/>
          <w:sz w:val="24"/>
        </w:rPr>
      </w:pPr>
      <w:r>
        <w:rPr>
          <w:rFonts w:eastAsia="仿宋_GB2312" w:hint="eastAsia"/>
          <w:sz w:val="24"/>
        </w:rPr>
        <w:t>Since the beginning of 2018, the RMB exchange rate against a basket of currencies has remained basically stable</w:t>
      </w:r>
      <w:r>
        <w:rPr>
          <w:rFonts w:eastAsia="仿宋_GB2312"/>
          <w:sz w:val="24"/>
        </w:rPr>
        <w:t xml:space="preserve">; </w:t>
      </w:r>
      <w:r>
        <w:rPr>
          <w:rFonts w:eastAsia="仿宋_GB2312" w:hint="eastAsia"/>
          <w:sz w:val="24"/>
        </w:rPr>
        <w:t>t</w:t>
      </w:r>
      <w:r>
        <w:rPr>
          <w:rFonts w:eastAsia="仿宋_GB2312"/>
          <w:sz w:val="24"/>
        </w:rPr>
        <w:t>he flexibility of the RMB exchange rate against the USD strengthened further, with stronger two-way fluctuations;</w:t>
      </w:r>
      <w:r>
        <w:rPr>
          <w:rFonts w:eastAsia="仿宋_GB2312" w:hint="eastAsia"/>
          <w:sz w:val="24"/>
        </w:rPr>
        <w:t xml:space="preserve"> and</w:t>
      </w:r>
      <w:r>
        <w:rPr>
          <w:rFonts w:eastAsia="仿宋_GB2312"/>
          <w:sz w:val="24"/>
        </w:rPr>
        <w:t xml:space="preserve"> </w:t>
      </w:r>
      <w:r>
        <w:rPr>
          <w:rFonts w:eastAsia="仿宋_GB2312" w:hint="eastAsia"/>
          <w:sz w:val="24"/>
        </w:rPr>
        <w:t>e</w:t>
      </w:r>
      <w:r>
        <w:rPr>
          <w:rFonts w:eastAsia="仿宋_GB2312"/>
          <w:sz w:val="24"/>
        </w:rPr>
        <w:t>xchange-rate expectations</w:t>
      </w:r>
      <w:r>
        <w:rPr>
          <w:rFonts w:eastAsia="仿宋_GB2312" w:hint="eastAsia"/>
          <w:sz w:val="24"/>
        </w:rPr>
        <w:t xml:space="preserve"> </w:t>
      </w:r>
      <w:r>
        <w:rPr>
          <w:rFonts w:eastAsia="仿宋_GB2312"/>
          <w:sz w:val="24"/>
        </w:rPr>
        <w:t>remained well-anchored.</w:t>
      </w:r>
      <w:r>
        <w:rPr>
          <w:rFonts w:eastAsia="仿宋_GB2312" w:hint="eastAsia"/>
          <w:sz w:val="24"/>
        </w:rPr>
        <w:t xml:space="preserve"> In </w:t>
      </w:r>
      <w:r>
        <w:rPr>
          <w:sz w:val="24"/>
        </w:rPr>
        <w:t>Q3</w:t>
      </w:r>
      <w:r>
        <w:rPr>
          <w:rFonts w:eastAsia="仿宋_GB2312"/>
          <w:sz w:val="24"/>
        </w:rPr>
        <w:t xml:space="preserve">, </w:t>
      </w:r>
      <w:r>
        <w:rPr>
          <w:rFonts w:eastAsia="仿宋_GB2312" w:hint="eastAsia"/>
          <w:sz w:val="24"/>
        </w:rPr>
        <w:t>due to</w:t>
      </w:r>
      <w:r>
        <w:rPr>
          <w:rFonts w:eastAsia="仿宋_GB2312"/>
          <w:sz w:val="24"/>
        </w:rPr>
        <w:t xml:space="preserve"> the </w:t>
      </w:r>
      <w:r>
        <w:rPr>
          <w:rFonts w:eastAsia="仿宋_GB2312" w:hint="eastAsia"/>
          <w:sz w:val="24"/>
        </w:rPr>
        <w:t xml:space="preserve">stronger </w:t>
      </w:r>
      <w:r>
        <w:rPr>
          <w:rFonts w:eastAsia="仿宋_GB2312"/>
          <w:sz w:val="24"/>
        </w:rPr>
        <w:t>USD</w:t>
      </w:r>
      <w:r>
        <w:rPr>
          <w:rFonts w:eastAsia="仿宋_GB2312" w:hint="eastAsia"/>
          <w:sz w:val="24"/>
        </w:rPr>
        <w:t>, trade tension</w:t>
      </w:r>
      <w:r>
        <w:rPr>
          <w:rFonts w:eastAsia="仿宋_GB2312"/>
          <w:sz w:val="24"/>
        </w:rPr>
        <w:t>s,</w:t>
      </w:r>
      <w:r>
        <w:rPr>
          <w:rFonts w:eastAsia="仿宋_GB2312" w:hint="eastAsia"/>
          <w:sz w:val="24"/>
        </w:rPr>
        <w:t xml:space="preserve"> and other factors,</w:t>
      </w:r>
      <w:r>
        <w:rPr>
          <w:rFonts w:eastAsia="仿宋_GB2312"/>
          <w:sz w:val="24"/>
        </w:rPr>
        <w:t xml:space="preserve"> the RMB exchange rate </w:t>
      </w:r>
      <w:r>
        <w:rPr>
          <w:rFonts w:eastAsia="仿宋_GB2312" w:hint="eastAsia"/>
          <w:sz w:val="24"/>
        </w:rPr>
        <w:t>weakened</w:t>
      </w:r>
      <w:r>
        <w:rPr>
          <w:rFonts w:eastAsia="仿宋_GB2312"/>
          <w:sz w:val="24"/>
        </w:rPr>
        <w:t xml:space="preserve"> against the US</w:t>
      </w:r>
      <w:r>
        <w:rPr>
          <w:rFonts w:eastAsia="仿宋_GB2312" w:hint="eastAsia"/>
          <w:sz w:val="24"/>
        </w:rPr>
        <w:t>D</w:t>
      </w:r>
      <w:r>
        <w:rPr>
          <w:rFonts w:eastAsia="仿宋_GB2312"/>
          <w:sz w:val="24"/>
        </w:rPr>
        <w:t>.</w:t>
      </w:r>
      <w:r>
        <w:rPr>
          <w:rFonts w:eastAsia="仿宋_GB2312" w:hint="eastAsia"/>
          <w:sz w:val="24"/>
        </w:rPr>
        <w:t xml:space="preserve"> </w:t>
      </w:r>
      <w:r>
        <w:rPr>
          <w:rFonts w:eastAsia="仿宋_GB2312"/>
          <w:sz w:val="24"/>
        </w:rPr>
        <w:t>At end</w:t>
      </w:r>
      <w:r>
        <w:rPr>
          <w:rFonts w:eastAsia="仿宋_GB2312" w:hint="eastAsia"/>
          <w:sz w:val="24"/>
        </w:rPr>
        <w:t>-September 2018</w:t>
      </w:r>
      <w:r>
        <w:rPr>
          <w:rFonts w:eastAsia="仿宋_GB2312"/>
          <w:sz w:val="24"/>
        </w:rPr>
        <w:t>, the CFETS RMB exchange-rate index closed at 9</w:t>
      </w:r>
      <w:r>
        <w:rPr>
          <w:rFonts w:eastAsia="仿宋_GB2312" w:hint="eastAsia"/>
          <w:sz w:val="24"/>
        </w:rPr>
        <w:t>2</w:t>
      </w:r>
      <w:r>
        <w:rPr>
          <w:rFonts w:eastAsia="仿宋_GB2312"/>
          <w:sz w:val="24"/>
        </w:rPr>
        <w:t>.</w:t>
      </w:r>
      <w:r>
        <w:rPr>
          <w:rFonts w:eastAsia="仿宋_GB2312" w:hint="eastAsia"/>
          <w:sz w:val="24"/>
        </w:rPr>
        <w:t>35</w:t>
      </w:r>
      <w:r>
        <w:rPr>
          <w:rFonts w:eastAsia="仿宋_GB2312"/>
          <w:sz w:val="24"/>
        </w:rPr>
        <w:t xml:space="preserve">, </w:t>
      </w:r>
      <w:r>
        <w:rPr>
          <w:rFonts w:eastAsia="仿宋_GB2312" w:hint="eastAsia"/>
          <w:sz w:val="24"/>
        </w:rPr>
        <w:t>down</w:t>
      </w:r>
      <w:r>
        <w:rPr>
          <w:rFonts w:eastAsia="仿宋_GB2312"/>
          <w:sz w:val="24"/>
        </w:rPr>
        <w:t xml:space="preserve"> </w:t>
      </w:r>
      <w:r>
        <w:rPr>
          <w:rFonts w:eastAsia="仿宋_GB2312" w:hint="eastAsia"/>
          <w:sz w:val="24"/>
        </w:rPr>
        <w:t>2.6</w:t>
      </w:r>
      <w:r>
        <w:rPr>
          <w:rFonts w:eastAsia="仿宋_GB2312"/>
          <w:sz w:val="24"/>
        </w:rPr>
        <w:t xml:space="preserve"> percent from end</w:t>
      </w:r>
      <w:r>
        <w:rPr>
          <w:rFonts w:eastAsia="仿宋_GB2312" w:hint="eastAsia"/>
          <w:sz w:val="24"/>
        </w:rPr>
        <w:t>-</w:t>
      </w:r>
      <w:r>
        <w:rPr>
          <w:rFonts w:eastAsia="仿宋_GB2312"/>
          <w:sz w:val="24"/>
        </w:rPr>
        <w:t>201</w:t>
      </w:r>
      <w:r>
        <w:rPr>
          <w:rFonts w:eastAsia="仿宋_GB2312" w:hint="eastAsia"/>
          <w:sz w:val="24"/>
        </w:rPr>
        <w:t>7</w:t>
      </w:r>
      <w:r>
        <w:rPr>
          <w:rFonts w:eastAsia="仿宋_GB2312"/>
          <w:sz w:val="24"/>
        </w:rPr>
        <w:t>; the RMB exchange-rate index</w:t>
      </w:r>
      <w:r>
        <w:rPr>
          <w:rFonts w:eastAsia="仿宋_GB2312" w:hint="eastAsia"/>
          <w:sz w:val="24"/>
        </w:rPr>
        <w:t xml:space="preserve"> </w:t>
      </w:r>
      <w:r>
        <w:rPr>
          <w:rFonts w:eastAsia="仿宋_GB2312"/>
          <w:sz w:val="24"/>
        </w:rPr>
        <w:t>based on the</w:t>
      </w:r>
      <w:r>
        <w:rPr>
          <w:rFonts w:eastAsia="仿宋_GB2312" w:hint="eastAsia"/>
          <w:sz w:val="24"/>
        </w:rPr>
        <w:t xml:space="preserve"> </w:t>
      </w:r>
      <w:r>
        <w:rPr>
          <w:rFonts w:eastAsia="仿宋_GB2312"/>
          <w:sz w:val="24"/>
        </w:rPr>
        <w:t>SDR basket</w:t>
      </w:r>
      <w:r>
        <w:rPr>
          <w:rFonts w:eastAsia="仿宋_GB2312" w:hint="eastAsia"/>
          <w:sz w:val="24"/>
        </w:rPr>
        <w:t xml:space="preserve"> closed at 92.23, down 3.9 percent from end-2017. According to calculation</w:t>
      </w:r>
      <w:r>
        <w:rPr>
          <w:rFonts w:eastAsia="仿宋_GB2312"/>
          <w:sz w:val="24"/>
        </w:rPr>
        <w:t>s</w:t>
      </w:r>
      <w:r>
        <w:rPr>
          <w:rFonts w:eastAsia="仿宋_GB2312" w:hint="eastAsia"/>
          <w:sz w:val="24"/>
        </w:rPr>
        <w:t xml:space="preserve"> by </w:t>
      </w:r>
      <w:r>
        <w:rPr>
          <w:rFonts w:eastAsia="仿宋_GB2312"/>
          <w:sz w:val="24"/>
        </w:rPr>
        <w:t>the Bank for International Settlements (BIS)</w:t>
      </w:r>
      <w:r>
        <w:rPr>
          <w:rFonts w:eastAsia="仿宋_GB2312" w:hint="eastAsia"/>
          <w:sz w:val="24"/>
        </w:rPr>
        <w:t xml:space="preserve">, </w:t>
      </w:r>
      <w:r>
        <w:rPr>
          <w:sz w:val="24"/>
        </w:rPr>
        <w:t>during</w:t>
      </w:r>
      <w:r>
        <w:rPr>
          <w:rFonts w:eastAsia="仿宋_GB2312" w:hint="eastAsia"/>
          <w:sz w:val="24"/>
        </w:rPr>
        <w:t xml:space="preserve"> the first three quarters of 2018, the NEER and REER of the RMB appreciated by 1.02</w:t>
      </w:r>
      <w:r>
        <w:rPr>
          <w:rFonts w:eastAsia="仿宋_GB2312"/>
          <w:sz w:val="24"/>
        </w:rPr>
        <w:t xml:space="preserve"> percent</w:t>
      </w:r>
      <w:r>
        <w:rPr>
          <w:rFonts w:eastAsia="仿宋_GB2312" w:hint="eastAsia"/>
          <w:sz w:val="24"/>
        </w:rPr>
        <w:t xml:space="preserve"> and 0.71</w:t>
      </w:r>
      <w:r>
        <w:rPr>
          <w:rFonts w:eastAsia="仿宋_GB2312"/>
          <w:sz w:val="24"/>
        </w:rPr>
        <w:t xml:space="preserve"> percent</w:t>
      </w:r>
      <w:r>
        <w:rPr>
          <w:rFonts w:eastAsia="仿宋_GB2312" w:hint="eastAsia"/>
          <w:sz w:val="24"/>
        </w:rPr>
        <w:t xml:space="preserve"> respectively.</w:t>
      </w:r>
      <w:r>
        <w:rPr>
          <w:rFonts w:eastAsia="仿宋_GB2312"/>
          <w:sz w:val="24"/>
        </w:rPr>
        <w:t xml:space="preserve"> </w:t>
      </w:r>
      <w:r>
        <w:rPr>
          <w:rFonts w:eastAsia="仿宋_GB2312" w:hint="eastAsia"/>
          <w:sz w:val="24"/>
        </w:rPr>
        <w:t xml:space="preserve">From the reform of </w:t>
      </w:r>
      <w:r>
        <w:rPr>
          <w:rFonts w:eastAsia="仿宋_GB2312"/>
          <w:sz w:val="24"/>
        </w:rPr>
        <w:t xml:space="preserve">the </w:t>
      </w:r>
      <w:r>
        <w:rPr>
          <w:rFonts w:eastAsia="仿宋_GB2312" w:hint="eastAsia"/>
          <w:sz w:val="24"/>
        </w:rPr>
        <w:t>exchange</w:t>
      </w:r>
      <w:r>
        <w:rPr>
          <w:rFonts w:eastAsia="仿宋_GB2312"/>
          <w:sz w:val="24"/>
        </w:rPr>
        <w:t>-</w:t>
      </w:r>
      <w:r>
        <w:rPr>
          <w:rFonts w:eastAsia="仿宋_GB2312" w:hint="eastAsia"/>
          <w:sz w:val="24"/>
        </w:rPr>
        <w:t xml:space="preserve">rate formation regime in 2005 to end-September 2018, the NEER and REER of </w:t>
      </w:r>
      <w:r>
        <w:rPr>
          <w:rFonts w:eastAsia="仿宋_GB2312"/>
          <w:sz w:val="24"/>
        </w:rPr>
        <w:t xml:space="preserve">the </w:t>
      </w:r>
      <w:r>
        <w:rPr>
          <w:rFonts w:eastAsia="仿宋_GB2312" w:hint="eastAsia"/>
          <w:sz w:val="24"/>
        </w:rPr>
        <w:t>RMB appreciated by 35.33</w:t>
      </w:r>
      <w:r>
        <w:rPr>
          <w:rFonts w:eastAsia="仿宋_GB2312"/>
          <w:sz w:val="24"/>
        </w:rPr>
        <w:t xml:space="preserve"> percent</w:t>
      </w:r>
      <w:r>
        <w:rPr>
          <w:rFonts w:eastAsia="仿宋_GB2312" w:hint="eastAsia"/>
          <w:sz w:val="24"/>
        </w:rPr>
        <w:t xml:space="preserve"> and 44.04</w:t>
      </w:r>
      <w:r>
        <w:rPr>
          <w:rFonts w:eastAsia="仿宋_GB2312"/>
          <w:sz w:val="24"/>
        </w:rPr>
        <w:t xml:space="preserve"> percent respectively</w:t>
      </w:r>
      <w:r>
        <w:rPr>
          <w:rFonts w:eastAsia="仿宋_GB2312" w:hint="eastAsia"/>
          <w:sz w:val="24"/>
        </w:rPr>
        <w:t xml:space="preserve">. At end-September, </w:t>
      </w:r>
      <w:r>
        <w:rPr>
          <w:rFonts w:eastAsia="仿宋_GB2312"/>
          <w:sz w:val="24"/>
        </w:rPr>
        <w:t>the central parity of the RMB against the USD was 6.</w:t>
      </w:r>
      <w:r>
        <w:rPr>
          <w:rFonts w:eastAsia="仿宋_GB2312" w:hint="eastAsia"/>
          <w:sz w:val="24"/>
        </w:rPr>
        <w:t>8792</w:t>
      </w:r>
      <w:r>
        <w:rPr>
          <w:rFonts w:eastAsia="仿宋_GB2312"/>
          <w:sz w:val="24"/>
        </w:rPr>
        <w:t>, a</w:t>
      </w:r>
      <w:r>
        <w:rPr>
          <w:rFonts w:eastAsia="仿宋_GB2312" w:hint="eastAsia"/>
          <w:sz w:val="24"/>
        </w:rPr>
        <w:t xml:space="preserve"> depreciation</w:t>
      </w:r>
      <w:r>
        <w:rPr>
          <w:rFonts w:eastAsia="仿宋_GB2312"/>
          <w:sz w:val="24"/>
        </w:rPr>
        <w:t xml:space="preserve"> of </w:t>
      </w:r>
      <w:r>
        <w:rPr>
          <w:rFonts w:eastAsia="仿宋_GB2312" w:hint="eastAsia"/>
          <w:sz w:val="24"/>
        </w:rPr>
        <w:t>5</w:t>
      </w:r>
      <w:r>
        <w:rPr>
          <w:rFonts w:eastAsia="仿宋_GB2312"/>
          <w:sz w:val="24"/>
        </w:rPr>
        <w:t xml:space="preserve"> percent</w:t>
      </w:r>
      <w:r>
        <w:rPr>
          <w:rFonts w:eastAsia="仿宋_GB2312" w:hint="eastAsia"/>
          <w:sz w:val="24"/>
        </w:rPr>
        <w:t xml:space="preserve"> </w:t>
      </w:r>
      <w:r>
        <w:rPr>
          <w:rFonts w:eastAsia="仿宋_GB2312"/>
          <w:sz w:val="24"/>
        </w:rPr>
        <w:t>from end</w:t>
      </w:r>
      <w:r>
        <w:rPr>
          <w:rFonts w:eastAsia="仿宋_GB2312" w:hint="eastAsia"/>
          <w:sz w:val="24"/>
        </w:rPr>
        <w:t>-</w:t>
      </w:r>
      <w:r>
        <w:rPr>
          <w:rFonts w:eastAsia="仿宋_GB2312"/>
          <w:sz w:val="24"/>
        </w:rPr>
        <w:t>201</w:t>
      </w:r>
      <w:r>
        <w:rPr>
          <w:rFonts w:eastAsia="仿宋_GB2312" w:hint="eastAsia"/>
          <w:sz w:val="24"/>
        </w:rPr>
        <w:t>7</w:t>
      </w:r>
      <w:r>
        <w:rPr>
          <w:rFonts w:eastAsia="仿宋_GB2312"/>
          <w:sz w:val="24"/>
        </w:rPr>
        <w:t>.</w:t>
      </w:r>
      <w:r>
        <w:rPr>
          <w:rFonts w:eastAsia="仿宋_GB2312" w:hint="eastAsia"/>
          <w:sz w:val="24"/>
        </w:rPr>
        <w:t xml:space="preserve"> From the </w:t>
      </w:r>
      <w:r>
        <w:rPr>
          <w:rFonts w:eastAsia="仿宋_GB2312" w:hint="eastAsia"/>
          <w:sz w:val="24"/>
        </w:rPr>
        <w:lastRenderedPageBreak/>
        <w:t xml:space="preserve">reform of </w:t>
      </w:r>
      <w:r>
        <w:rPr>
          <w:rFonts w:eastAsia="仿宋_GB2312"/>
          <w:sz w:val="24"/>
        </w:rPr>
        <w:t xml:space="preserve">the </w:t>
      </w:r>
      <w:r>
        <w:rPr>
          <w:rFonts w:eastAsia="仿宋_GB2312" w:hint="eastAsia"/>
          <w:sz w:val="24"/>
        </w:rPr>
        <w:t>exchange</w:t>
      </w:r>
      <w:r>
        <w:rPr>
          <w:rFonts w:eastAsia="仿宋_GB2312"/>
          <w:sz w:val="24"/>
        </w:rPr>
        <w:t>-</w:t>
      </w:r>
      <w:r>
        <w:rPr>
          <w:rFonts w:eastAsia="仿宋_GB2312" w:hint="eastAsia"/>
          <w:sz w:val="24"/>
        </w:rPr>
        <w:t xml:space="preserve">rate formation regime in 2005 to end-September 2018, </w:t>
      </w:r>
      <w:r>
        <w:rPr>
          <w:rFonts w:eastAsia="仿宋_GB2312"/>
          <w:sz w:val="24"/>
        </w:rPr>
        <w:t>the central parity of the RMB against the USD</w:t>
      </w:r>
      <w:r>
        <w:rPr>
          <w:rFonts w:eastAsia="仿宋_GB2312" w:hint="eastAsia"/>
          <w:sz w:val="24"/>
        </w:rPr>
        <w:t xml:space="preserve"> appreciated by 20.31</w:t>
      </w:r>
      <w:r>
        <w:rPr>
          <w:rFonts w:eastAsia="仿宋_GB2312"/>
          <w:sz w:val="24"/>
        </w:rPr>
        <w:t xml:space="preserve"> percent </w:t>
      </w:r>
      <w:r>
        <w:rPr>
          <w:rFonts w:eastAsia="仿宋_GB2312" w:hint="eastAsia"/>
          <w:sz w:val="24"/>
        </w:rPr>
        <w:t xml:space="preserve">on a cumulative basis. </w:t>
      </w:r>
      <w:r>
        <w:rPr>
          <w:sz w:val="24"/>
        </w:rPr>
        <w:t>During</w:t>
      </w:r>
      <w:r>
        <w:rPr>
          <w:rFonts w:eastAsia="仿宋_GB2312" w:hint="eastAsia"/>
          <w:sz w:val="24"/>
        </w:rPr>
        <w:t xml:space="preserve"> the first three quarters, the annualized volatility rate of the central parity of the RMB against the USD was 4.2 percent, which </w:t>
      </w:r>
      <w:r>
        <w:rPr>
          <w:rFonts w:eastAsia="仿宋_GB2312"/>
          <w:sz w:val="24"/>
        </w:rPr>
        <w:t>was a</w:t>
      </w:r>
      <w:r>
        <w:rPr>
          <w:rFonts w:eastAsia="仿宋_GB2312" w:hint="eastAsia"/>
          <w:sz w:val="24"/>
        </w:rPr>
        <w:t xml:space="preserve"> significant</w:t>
      </w:r>
      <w:r>
        <w:rPr>
          <w:rFonts w:eastAsia="仿宋_GB2312"/>
          <w:sz w:val="24"/>
        </w:rPr>
        <w:t xml:space="preserve"> increase</w:t>
      </w:r>
      <w:r>
        <w:rPr>
          <w:rFonts w:eastAsia="仿宋_GB2312" w:hint="eastAsia"/>
          <w:sz w:val="24"/>
        </w:rPr>
        <w:t xml:space="preserve"> from</w:t>
      </w:r>
      <w:r>
        <w:rPr>
          <w:rFonts w:eastAsia="仿宋_GB2312"/>
          <w:sz w:val="24"/>
        </w:rPr>
        <w:t xml:space="preserve"> that in</w:t>
      </w:r>
      <w:r>
        <w:rPr>
          <w:rFonts w:eastAsia="仿宋_GB2312" w:hint="eastAsia"/>
          <w:sz w:val="24"/>
        </w:rPr>
        <w:t xml:space="preserve"> the same period of the last year. T</w:t>
      </w:r>
      <w:r>
        <w:rPr>
          <w:rFonts w:eastAsia="仿宋_GB2312"/>
          <w:sz w:val="24"/>
        </w:rPr>
        <w:t xml:space="preserve">he stronger </w:t>
      </w:r>
      <w:r>
        <w:rPr>
          <w:rFonts w:eastAsia="仿宋_GB2312" w:hint="eastAsia"/>
          <w:sz w:val="24"/>
        </w:rPr>
        <w:t>flexib</w:t>
      </w:r>
      <w:r>
        <w:rPr>
          <w:rFonts w:eastAsia="仿宋_GB2312"/>
          <w:sz w:val="24"/>
        </w:rPr>
        <w:t>i</w:t>
      </w:r>
      <w:r>
        <w:rPr>
          <w:rFonts w:eastAsia="仿宋_GB2312" w:hint="eastAsia"/>
          <w:sz w:val="24"/>
        </w:rPr>
        <w:t>l</w:t>
      </w:r>
      <w:r>
        <w:rPr>
          <w:rFonts w:eastAsia="仿宋_GB2312"/>
          <w:sz w:val="24"/>
        </w:rPr>
        <w:t>ity</w:t>
      </w:r>
      <w:r>
        <w:rPr>
          <w:rFonts w:eastAsia="仿宋_GB2312" w:hint="eastAsia"/>
          <w:sz w:val="24"/>
        </w:rPr>
        <w:t xml:space="preserve"> </w:t>
      </w:r>
      <w:r>
        <w:rPr>
          <w:rFonts w:eastAsia="仿宋_GB2312"/>
          <w:sz w:val="24"/>
        </w:rPr>
        <w:t>of the RMB exchange rate played an “automatic stabilizing” role</w:t>
      </w:r>
      <w:r>
        <w:rPr>
          <w:rFonts w:eastAsia="仿宋_GB2312" w:hint="eastAsia"/>
          <w:sz w:val="24"/>
        </w:rPr>
        <w:t xml:space="preserve"> </w:t>
      </w:r>
      <w:r>
        <w:rPr>
          <w:rFonts w:eastAsia="仿宋_GB2312"/>
          <w:sz w:val="24"/>
        </w:rPr>
        <w:t>in</w:t>
      </w:r>
      <w:r>
        <w:rPr>
          <w:rFonts w:eastAsia="仿宋_GB2312" w:hint="eastAsia"/>
          <w:sz w:val="24"/>
        </w:rPr>
        <w:t xml:space="preserve"> adjusting </w:t>
      </w:r>
      <w:r>
        <w:rPr>
          <w:rFonts w:eastAsia="仿宋_GB2312"/>
          <w:sz w:val="24"/>
        </w:rPr>
        <w:t xml:space="preserve">the </w:t>
      </w:r>
      <w:r>
        <w:rPr>
          <w:rFonts w:eastAsia="仿宋_GB2312" w:hint="eastAsia"/>
          <w:sz w:val="24"/>
        </w:rPr>
        <w:t xml:space="preserve">macro-economy and </w:t>
      </w:r>
      <w:r>
        <w:rPr>
          <w:rFonts w:eastAsia="仿宋_GB2312"/>
          <w:sz w:val="24"/>
        </w:rPr>
        <w:t xml:space="preserve">the </w:t>
      </w:r>
      <w:r>
        <w:rPr>
          <w:rFonts w:eastAsia="仿宋_GB2312" w:hint="eastAsia"/>
          <w:sz w:val="24"/>
        </w:rPr>
        <w:t>balance of payments</w:t>
      </w:r>
      <w:r>
        <w:rPr>
          <w:rFonts w:eastAsia="仿宋_GB2312"/>
          <w:sz w:val="24"/>
        </w:rPr>
        <w:t>.</w:t>
      </w:r>
    </w:p>
    <w:p w:rsidR="005A0958" w:rsidRPr="005A0958" w:rsidRDefault="005A0958" w:rsidP="005A0958">
      <w:pPr>
        <w:spacing w:line="360" w:lineRule="auto"/>
        <w:rPr>
          <w:rFonts w:eastAsia="仿宋_GB2312"/>
          <w:sz w:val="24"/>
        </w:rPr>
      </w:pPr>
    </w:p>
    <w:p w:rsidR="00EB686F" w:rsidRDefault="00EB686F" w:rsidP="00EB686F">
      <w:pPr>
        <w:spacing w:line="360" w:lineRule="auto"/>
        <w:rPr>
          <w:rFonts w:eastAsia="仿宋_GB2312"/>
          <w:sz w:val="24"/>
        </w:rPr>
      </w:pPr>
      <w:r>
        <w:rPr>
          <w:sz w:val="24"/>
        </w:rPr>
        <w:t>During</w:t>
      </w:r>
      <w:r>
        <w:rPr>
          <w:rFonts w:eastAsia="仿宋_GB2312"/>
          <w:sz w:val="24"/>
        </w:rPr>
        <w:t xml:space="preserve"> </w:t>
      </w:r>
      <w:r>
        <w:rPr>
          <w:rFonts w:eastAsia="仿宋_GB2312" w:hint="eastAsia"/>
          <w:sz w:val="24"/>
        </w:rPr>
        <w:t>the first three quarters of</w:t>
      </w:r>
      <w:r>
        <w:rPr>
          <w:rFonts w:eastAsia="仿宋_GB2312"/>
          <w:sz w:val="24"/>
        </w:rPr>
        <w:t xml:space="preserve"> 2018, cross-border receipts and payments in RMB totaled RMB </w:t>
      </w:r>
      <w:r>
        <w:rPr>
          <w:rFonts w:eastAsia="仿宋_GB2312" w:hint="eastAsia"/>
          <w:sz w:val="24"/>
        </w:rPr>
        <w:t>10.44</w:t>
      </w:r>
      <w:r>
        <w:rPr>
          <w:rFonts w:eastAsia="仿宋_GB2312"/>
          <w:sz w:val="24"/>
        </w:rPr>
        <w:t xml:space="preserve"> trillion, up 48.9 percent year on year. In particular, RMB receipts and payments registered RMB </w:t>
      </w:r>
      <w:r>
        <w:rPr>
          <w:rFonts w:eastAsia="仿宋_GB2312" w:hint="eastAsia"/>
          <w:sz w:val="24"/>
        </w:rPr>
        <w:t>5</w:t>
      </w:r>
      <w:r>
        <w:rPr>
          <w:rFonts w:eastAsia="仿宋_GB2312"/>
          <w:sz w:val="24"/>
        </w:rPr>
        <w:t>.</w:t>
      </w:r>
      <w:r>
        <w:rPr>
          <w:rFonts w:eastAsia="仿宋_GB2312" w:hint="eastAsia"/>
          <w:sz w:val="24"/>
        </w:rPr>
        <w:t>2</w:t>
      </w:r>
      <w:r>
        <w:rPr>
          <w:rFonts w:eastAsia="仿宋_GB2312"/>
          <w:sz w:val="24"/>
        </w:rPr>
        <w:t xml:space="preserve">4 trillion and RMB </w:t>
      </w:r>
      <w:r>
        <w:rPr>
          <w:rFonts w:eastAsia="仿宋_GB2312" w:hint="eastAsia"/>
          <w:sz w:val="24"/>
        </w:rPr>
        <w:t>5.20</w:t>
      </w:r>
      <w:r>
        <w:rPr>
          <w:rFonts w:eastAsia="仿宋_GB2312"/>
          <w:sz w:val="24"/>
        </w:rPr>
        <w:t xml:space="preserve"> trillion respectively</w:t>
      </w:r>
      <w:r>
        <w:rPr>
          <w:rFonts w:eastAsia="仿宋_GB2312" w:hint="eastAsia"/>
          <w:sz w:val="24"/>
        </w:rPr>
        <w:t>, representing a net inflow of RMB 48.13 billion</w:t>
      </w:r>
      <w:r>
        <w:rPr>
          <w:rFonts w:eastAsia="仿宋_GB2312"/>
          <w:sz w:val="24"/>
        </w:rPr>
        <w:t xml:space="preserve">. RMB cross-border receipts and payments under the current account posted RMB </w:t>
      </w:r>
      <w:r>
        <w:rPr>
          <w:rFonts w:eastAsia="仿宋_GB2312" w:hint="eastAsia"/>
          <w:sz w:val="24"/>
        </w:rPr>
        <w:t>3.71</w:t>
      </w:r>
      <w:r>
        <w:rPr>
          <w:rFonts w:eastAsia="仿宋_GB2312"/>
          <w:sz w:val="24"/>
        </w:rPr>
        <w:t xml:space="preserve"> trillion</w:t>
      </w:r>
      <w:r>
        <w:rPr>
          <w:rFonts w:eastAsia="仿宋_GB2312" w:hint="eastAsia"/>
          <w:sz w:val="24"/>
        </w:rPr>
        <w:t>, a year-on-year increase of 14.5 percent</w:t>
      </w:r>
      <w:r>
        <w:rPr>
          <w:rFonts w:eastAsia="仿宋_GB2312"/>
          <w:sz w:val="24"/>
        </w:rPr>
        <w:t xml:space="preserve">. In particular, the settlement of trade in goods registered RMB </w:t>
      </w:r>
      <w:r>
        <w:rPr>
          <w:rFonts w:eastAsia="仿宋_GB2312" w:hint="eastAsia"/>
          <w:sz w:val="24"/>
        </w:rPr>
        <w:t>2.64</w:t>
      </w:r>
      <w:r>
        <w:rPr>
          <w:rFonts w:eastAsia="仿宋_GB2312"/>
          <w:sz w:val="24"/>
        </w:rPr>
        <w:t xml:space="preserve"> trillion, whereas the settlement of trade in services and other items registered RMB </w:t>
      </w:r>
      <w:r>
        <w:rPr>
          <w:rFonts w:eastAsia="仿宋_GB2312" w:hint="eastAsia"/>
          <w:sz w:val="24"/>
        </w:rPr>
        <w:t>1.07 trillion</w:t>
      </w:r>
      <w:r>
        <w:rPr>
          <w:rFonts w:eastAsia="仿宋_GB2312"/>
          <w:sz w:val="24"/>
        </w:rPr>
        <w:t xml:space="preserve">. RMB cross-border receipts and payments under the capital account posted RMB </w:t>
      </w:r>
      <w:r>
        <w:rPr>
          <w:rFonts w:eastAsia="仿宋_GB2312" w:hint="eastAsia"/>
          <w:sz w:val="24"/>
        </w:rPr>
        <w:t>6</w:t>
      </w:r>
      <w:r>
        <w:rPr>
          <w:rFonts w:eastAsia="仿宋_GB2312"/>
          <w:sz w:val="24"/>
        </w:rPr>
        <w:t>.7</w:t>
      </w:r>
      <w:r>
        <w:rPr>
          <w:rFonts w:eastAsia="仿宋_GB2312" w:hint="eastAsia"/>
          <w:sz w:val="24"/>
        </w:rPr>
        <w:t>3</w:t>
      </w:r>
      <w:r>
        <w:rPr>
          <w:rFonts w:eastAsia="仿宋_GB2312"/>
          <w:sz w:val="24"/>
        </w:rPr>
        <w:t xml:space="preserve"> trillion</w:t>
      </w:r>
      <w:r>
        <w:rPr>
          <w:rFonts w:eastAsia="仿宋_GB2312" w:hint="eastAsia"/>
          <w:sz w:val="24"/>
        </w:rPr>
        <w:t>, a year-on-year increase of 78.5</w:t>
      </w:r>
      <w:r>
        <w:rPr>
          <w:rFonts w:eastAsia="仿宋_GB2312"/>
          <w:sz w:val="24"/>
        </w:rPr>
        <w:t xml:space="preserve"> percent.</w:t>
      </w:r>
    </w:p>
    <w:p w:rsidR="00EB686F" w:rsidRDefault="00EB686F" w:rsidP="00EB686F">
      <w:pPr>
        <w:spacing w:line="360" w:lineRule="auto"/>
        <w:rPr>
          <w:rFonts w:eastAsia="仿宋_GB2312"/>
          <w:sz w:val="24"/>
        </w:rPr>
      </w:pPr>
    </w:p>
    <w:p w:rsidR="005A0958" w:rsidRDefault="005A0958" w:rsidP="00EB686F">
      <w:pPr>
        <w:spacing w:line="360" w:lineRule="auto"/>
        <w:rPr>
          <w:rFonts w:eastAsia="仿宋_GB2312"/>
          <w:sz w:val="24"/>
        </w:rPr>
      </w:pPr>
    </w:p>
    <w:p w:rsidR="005A0958" w:rsidRDefault="005A0958" w:rsidP="00EB686F">
      <w:pPr>
        <w:spacing w:line="360" w:lineRule="auto"/>
        <w:rPr>
          <w:rFonts w:eastAsia="仿宋_GB2312"/>
          <w:sz w:val="24"/>
        </w:rPr>
      </w:pPr>
    </w:p>
    <w:p w:rsidR="005A0958" w:rsidRDefault="005A0958" w:rsidP="00EB686F">
      <w:pPr>
        <w:spacing w:line="360" w:lineRule="auto"/>
        <w:rPr>
          <w:rFonts w:eastAsia="仿宋_GB2312"/>
          <w:sz w:val="24"/>
        </w:rPr>
      </w:pPr>
    </w:p>
    <w:p w:rsidR="005A0958" w:rsidRDefault="005A0958" w:rsidP="00EB686F">
      <w:pPr>
        <w:spacing w:line="360" w:lineRule="auto"/>
        <w:rPr>
          <w:rFonts w:eastAsia="仿宋_GB2312"/>
          <w:sz w:val="24"/>
        </w:rPr>
      </w:pPr>
    </w:p>
    <w:p w:rsidR="005A0958" w:rsidRDefault="005A0958" w:rsidP="00EB686F">
      <w:pPr>
        <w:spacing w:line="360" w:lineRule="auto"/>
        <w:rPr>
          <w:rFonts w:eastAsia="仿宋_GB2312"/>
          <w:sz w:val="24"/>
        </w:rPr>
      </w:pPr>
    </w:p>
    <w:p w:rsidR="005A0958" w:rsidRDefault="005A0958" w:rsidP="00EB686F">
      <w:pPr>
        <w:spacing w:line="360" w:lineRule="auto"/>
        <w:rPr>
          <w:rFonts w:eastAsia="仿宋_GB2312"/>
          <w:sz w:val="24"/>
        </w:rPr>
      </w:pPr>
    </w:p>
    <w:p w:rsidR="005A0958" w:rsidRDefault="005A0958" w:rsidP="00EB686F">
      <w:pPr>
        <w:spacing w:line="360" w:lineRule="auto"/>
        <w:rPr>
          <w:rFonts w:eastAsia="仿宋_GB2312"/>
          <w:sz w:val="24"/>
        </w:rPr>
      </w:pPr>
    </w:p>
    <w:p w:rsidR="005A0958" w:rsidRDefault="005A0958" w:rsidP="00EB686F">
      <w:pPr>
        <w:spacing w:line="360" w:lineRule="auto"/>
        <w:rPr>
          <w:rFonts w:eastAsia="仿宋_GB2312"/>
          <w:sz w:val="24"/>
        </w:rPr>
      </w:pPr>
    </w:p>
    <w:p w:rsidR="005A0958" w:rsidRDefault="005A0958" w:rsidP="00EB686F">
      <w:pPr>
        <w:spacing w:line="360" w:lineRule="auto"/>
        <w:rPr>
          <w:rFonts w:eastAsia="仿宋_GB2312"/>
          <w:sz w:val="24"/>
        </w:rPr>
      </w:pPr>
    </w:p>
    <w:p w:rsidR="005A0958" w:rsidRDefault="005A0958" w:rsidP="00EB686F">
      <w:pPr>
        <w:spacing w:line="360" w:lineRule="auto"/>
        <w:rPr>
          <w:rFonts w:eastAsia="仿宋_GB2312"/>
          <w:sz w:val="24"/>
        </w:rPr>
      </w:pPr>
    </w:p>
    <w:p w:rsidR="005A0958" w:rsidRDefault="005A0958" w:rsidP="00EB686F">
      <w:pPr>
        <w:spacing w:line="360" w:lineRule="auto"/>
        <w:rPr>
          <w:rFonts w:eastAsia="仿宋_GB2312"/>
          <w:sz w:val="24"/>
        </w:rPr>
      </w:pPr>
    </w:p>
    <w:p w:rsidR="00EB686F" w:rsidRDefault="00EE3C76" w:rsidP="00EE3C76">
      <w:pPr>
        <w:keepNext/>
        <w:spacing w:line="360" w:lineRule="auto"/>
        <w:rPr>
          <w:b/>
          <w:sz w:val="24"/>
        </w:rPr>
      </w:pPr>
      <w:bookmarkStart w:id="34" w:name="_Toc532202351"/>
      <w:r w:rsidRPr="00EE3C76">
        <w:rPr>
          <w:b/>
          <w:sz w:val="24"/>
        </w:rPr>
        <w:lastRenderedPageBreak/>
        <w:t xml:space="preserve">Figure </w:t>
      </w:r>
      <w:r w:rsidR="002447A7" w:rsidRPr="00EE3C76">
        <w:rPr>
          <w:b/>
          <w:sz w:val="24"/>
        </w:rPr>
        <w:fldChar w:fldCharType="begin"/>
      </w:r>
      <w:r w:rsidRPr="00EE3C76">
        <w:rPr>
          <w:b/>
          <w:sz w:val="24"/>
        </w:rPr>
        <w:instrText xml:space="preserve"> SEQ Figure \* ARABIC </w:instrText>
      </w:r>
      <w:r w:rsidR="002447A7" w:rsidRPr="00EE3C76">
        <w:rPr>
          <w:b/>
          <w:sz w:val="24"/>
        </w:rPr>
        <w:fldChar w:fldCharType="separate"/>
      </w:r>
      <w:r w:rsidR="00EC1136">
        <w:rPr>
          <w:b/>
          <w:noProof/>
          <w:sz w:val="24"/>
        </w:rPr>
        <w:t>3</w:t>
      </w:r>
      <w:r w:rsidR="002447A7" w:rsidRPr="00EE3C76">
        <w:rPr>
          <w:b/>
          <w:sz w:val="24"/>
        </w:rPr>
        <w:fldChar w:fldCharType="end"/>
      </w:r>
      <w:r w:rsidRPr="00EE3C76">
        <w:rPr>
          <w:b/>
          <w:sz w:val="24"/>
        </w:rPr>
        <w:t xml:space="preserve"> </w:t>
      </w:r>
      <w:r>
        <w:rPr>
          <w:b/>
          <w:sz w:val="24"/>
        </w:rPr>
        <w:t>Monthly RMB Payments and Receipts under the Current Account</w:t>
      </w:r>
      <w:bookmarkEnd w:id="34"/>
    </w:p>
    <w:p w:rsidR="00EB686F" w:rsidRPr="005A0958" w:rsidRDefault="00EB686F" w:rsidP="005A0958">
      <w:pPr>
        <w:pStyle w:val="jnTimes2"/>
        <w:spacing w:line="240" w:lineRule="auto"/>
        <w:rPr>
          <w:rFonts w:ascii="楷体_GB2312" w:eastAsia="楷体_GB2312" w:hAnsi="Times New Roman" w:cs="楷体_GB2312"/>
          <w:color w:val="000000"/>
        </w:rPr>
      </w:pPr>
    </w:p>
    <w:p w:rsidR="00EB686F" w:rsidRDefault="00EB686F" w:rsidP="00EB686F">
      <w:pPr>
        <w:pStyle w:val="p0"/>
        <w:widowControl w:val="0"/>
        <w:ind w:firstLineChars="200" w:firstLine="560"/>
        <w:rPr>
          <w:rFonts w:ascii="仿宋_GB2312" w:eastAsia="仿宋_GB2312" w:cs="宋体"/>
          <w:color w:val="000000"/>
          <w:kern w:val="2"/>
          <w:sz w:val="28"/>
          <w:szCs w:val="28"/>
        </w:rPr>
      </w:pPr>
      <w:r>
        <w:rPr>
          <w:rFonts w:ascii="仿宋_GB2312" w:eastAsia="仿宋_GB2312" w:cs="宋体"/>
          <w:noProof/>
          <w:color w:val="000000"/>
          <w:kern w:val="2"/>
          <w:sz w:val="28"/>
          <w:szCs w:val="28"/>
        </w:rPr>
        <w:drawing>
          <wp:inline distT="0" distB="0" distL="0" distR="0">
            <wp:extent cx="5059045" cy="2921635"/>
            <wp:effectExtent l="19050" t="0" r="0" b="0"/>
            <wp:docPr id="20"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5"/>
                    <pic:cNvPicPr>
                      <a:picLocks noChangeArrowheads="1"/>
                    </pic:cNvPicPr>
                  </pic:nvPicPr>
                  <pic:blipFill>
                    <a:blip r:embed="rId11"/>
                    <a:srcRect/>
                    <a:stretch>
                      <a:fillRect/>
                    </a:stretch>
                  </pic:blipFill>
                  <pic:spPr bwMode="auto">
                    <a:xfrm>
                      <a:off x="0" y="0"/>
                      <a:ext cx="5059045" cy="2921635"/>
                    </a:xfrm>
                    <a:prstGeom prst="rect">
                      <a:avLst/>
                    </a:prstGeom>
                    <a:noFill/>
                    <a:ln w="9525" cmpd="sng">
                      <a:noFill/>
                      <a:miter lim="800000"/>
                      <a:headEnd/>
                      <a:tailEnd/>
                    </a:ln>
                  </pic:spPr>
                </pic:pic>
              </a:graphicData>
            </a:graphic>
          </wp:inline>
        </w:drawing>
      </w:r>
    </w:p>
    <w:p w:rsidR="00EB686F" w:rsidRDefault="00EB686F" w:rsidP="00EB686F">
      <w:pPr>
        <w:pStyle w:val="p0"/>
        <w:jc w:val="center"/>
        <w:rPr>
          <w:rFonts w:cs="宋体"/>
          <w:color w:val="FF0000"/>
        </w:rPr>
      </w:pPr>
      <w:bookmarkStart w:id="35" w:name="_Toc261012927"/>
      <w:bookmarkEnd w:id="35"/>
    </w:p>
    <w:p w:rsidR="00EB686F" w:rsidRPr="00EE3C76" w:rsidRDefault="00EB686F" w:rsidP="00EE3C76">
      <w:pPr>
        <w:spacing w:line="360" w:lineRule="auto"/>
        <w:rPr>
          <w:sz w:val="24"/>
        </w:rPr>
      </w:pPr>
      <w:bookmarkStart w:id="36" w:name="_Toc529558914"/>
      <w:r>
        <w:rPr>
          <w:sz w:val="24"/>
        </w:rPr>
        <w:t>Source: People’s Bank of China.</w:t>
      </w:r>
      <w:bookmarkEnd w:id="36"/>
    </w:p>
    <w:p w:rsidR="008451C7" w:rsidRDefault="008451C7" w:rsidP="002E7312">
      <w:pPr>
        <w:keepNext/>
        <w:keepLines/>
        <w:spacing w:beforeLines="100" w:afterLines="100" w:line="360" w:lineRule="auto"/>
        <w:jc w:val="center"/>
        <w:outlineLvl w:val="0"/>
        <w:rPr>
          <w:b/>
          <w:sz w:val="28"/>
        </w:rPr>
      </w:pPr>
      <w:bookmarkStart w:id="37" w:name="_Toc532201081"/>
      <w:r>
        <w:rPr>
          <w:b/>
          <w:sz w:val="28"/>
        </w:rPr>
        <w:t>Part 2. Monetary-Policy Operations</w:t>
      </w:r>
      <w:bookmarkEnd w:id="37"/>
    </w:p>
    <w:p w:rsidR="008451C7" w:rsidRDefault="008451C7" w:rsidP="008451C7">
      <w:pPr>
        <w:pStyle w:val="p0"/>
        <w:widowControl w:val="0"/>
        <w:spacing w:line="360" w:lineRule="auto"/>
        <w:rPr>
          <w:kern w:val="2"/>
          <w:sz w:val="24"/>
          <w:szCs w:val="24"/>
        </w:rPr>
      </w:pPr>
      <w:r>
        <w:rPr>
          <w:rFonts w:hint="eastAsia"/>
          <w:kern w:val="2"/>
          <w:sz w:val="24"/>
          <w:szCs w:val="24"/>
        </w:rPr>
        <w:t xml:space="preserve">Based on the instructions of the Central Committee of the Communist Party of China (CPC) and the State Council, the PBC implemented principles </w:t>
      </w:r>
      <w:r>
        <w:rPr>
          <w:kern w:val="2"/>
          <w:sz w:val="24"/>
          <w:szCs w:val="24"/>
        </w:rPr>
        <w:t>for</w:t>
      </w:r>
      <w:r>
        <w:rPr>
          <w:rFonts w:hint="eastAsia"/>
          <w:kern w:val="2"/>
          <w:sz w:val="24"/>
          <w:szCs w:val="24"/>
        </w:rPr>
        <w:t xml:space="preserve"> stabilizing employment, finance, foreign trade, foreign capital, investment</w:t>
      </w:r>
      <w:r>
        <w:rPr>
          <w:kern w:val="2"/>
          <w:sz w:val="24"/>
          <w:szCs w:val="24"/>
        </w:rPr>
        <w:t>s,</w:t>
      </w:r>
      <w:r>
        <w:rPr>
          <w:rFonts w:hint="eastAsia"/>
          <w:kern w:val="2"/>
          <w:sz w:val="24"/>
          <w:szCs w:val="24"/>
        </w:rPr>
        <w:t xml:space="preserve"> and expectations, adhered to a sound and neutral monetary policy, further improved the monetary-policy transmission mechanism, continued to strengthen policy coordination, and proactively adopted a series of effective measures to actively cope with the complicated changes in </w:t>
      </w:r>
      <w:r>
        <w:rPr>
          <w:kern w:val="2"/>
          <w:sz w:val="24"/>
          <w:szCs w:val="24"/>
        </w:rPr>
        <w:t xml:space="preserve">the </w:t>
      </w:r>
      <w:r>
        <w:rPr>
          <w:rFonts w:hint="eastAsia"/>
          <w:kern w:val="2"/>
          <w:sz w:val="24"/>
          <w:szCs w:val="24"/>
        </w:rPr>
        <w:t>internal and external situation</w:t>
      </w:r>
      <w:r>
        <w:rPr>
          <w:kern w:val="2"/>
          <w:sz w:val="24"/>
          <w:szCs w:val="24"/>
        </w:rPr>
        <w:t>s</w:t>
      </w:r>
      <w:r>
        <w:rPr>
          <w:rFonts w:hint="eastAsia"/>
          <w:kern w:val="2"/>
          <w:sz w:val="24"/>
          <w:szCs w:val="24"/>
        </w:rPr>
        <w:t>, which created a favorable monetary and financial environment for supply-side structural reforms and high-quality development.</w:t>
      </w:r>
    </w:p>
    <w:p w:rsidR="008451C7" w:rsidRDefault="008451C7" w:rsidP="008451C7">
      <w:pPr>
        <w:pStyle w:val="p0"/>
        <w:widowControl w:val="0"/>
        <w:spacing w:line="360" w:lineRule="auto"/>
        <w:rPr>
          <w:kern w:val="2"/>
          <w:sz w:val="24"/>
          <w:szCs w:val="24"/>
        </w:rPr>
      </w:pPr>
    </w:p>
    <w:p w:rsidR="008451C7" w:rsidRDefault="008451C7" w:rsidP="008451C7">
      <w:pPr>
        <w:pStyle w:val="2"/>
        <w:spacing w:line="360" w:lineRule="auto"/>
        <w:ind w:firstLineChars="0" w:firstLine="0"/>
        <w:rPr>
          <w:rFonts w:ascii="Times New Roman" w:eastAsia="SimSun" w:hAnsi="Times New Roman"/>
          <w:bCs w:val="0"/>
          <w:sz w:val="24"/>
          <w:szCs w:val="24"/>
        </w:rPr>
      </w:pPr>
      <w:bookmarkStart w:id="38" w:name="_Toc29086"/>
      <w:bookmarkStart w:id="39" w:name="_Toc532201082"/>
      <w:r>
        <w:rPr>
          <w:rFonts w:ascii="Times New Roman" w:eastAsia="SimSun" w:hAnsi="Times New Roman"/>
          <w:bCs w:val="0"/>
          <w:sz w:val="24"/>
          <w:szCs w:val="24"/>
        </w:rPr>
        <w:t>I. Conducting Open Market Operations (OMOs) in a flexible manner</w:t>
      </w:r>
      <w:bookmarkEnd w:id="38"/>
      <w:bookmarkEnd w:id="39"/>
    </w:p>
    <w:p w:rsidR="008451C7" w:rsidRDefault="008451C7" w:rsidP="008451C7">
      <w:pPr>
        <w:pStyle w:val="p0"/>
        <w:spacing w:line="360" w:lineRule="auto"/>
        <w:rPr>
          <w:kern w:val="2"/>
          <w:sz w:val="24"/>
          <w:szCs w:val="24"/>
        </w:rPr>
      </w:pPr>
      <w:r>
        <w:rPr>
          <w:rFonts w:hint="eastAsia"/>
          <w:b/>
          <w:bCs/>
          <w:kern w:val="2"/>
          <w:sz w:val="24"/>
          <w:szCs w:val="24"/>
        </w:rPr>
        <w:t>S</w:t>
      </w:r>
      <w:r>
        <w:rPr>
          <w:b/>
          <w:bCs/>
          <w:kern w:val="2"/>
          <w:sz w:val="24"/>
          <w:szCs w:val="24"/>
        </w:rPr>
        <w:t>upplementing medium and long-term liquidity</w:t>
      </w:r>
      <w:r>
        <w:rPr>
          <w:rFonts w:hint="eastAsia"/>
          <w:b/>
          <w:bCs/>
          <w:kern w:val="2"/>
          <w:sz w:val="24"/>
          <w:szCs w:val="24"/>
        </w:rPr>
        <w:t xml:space="preserve"> and smoothing</w:t>
      </w:r>
      <w:r>
        <w:rPr>
          <w:b/>
          <w:bCs/>
          <w:kern w:val="2"/>
          <w:sz w:val="24"/>
          <w:szCs w:val="24"/>
        </w:rPr>
        <w:t xml:space="preserve"> out short-term fluctuations in a timely manner.</w:t>
      </w:r>
      <w:r>
        <w:rPr>
          <w:rFonts w:hint="eastAsia"/>
          <w:kern w:val="2"/>
          <w:sz w:val="24"/>
          <w:szCs w:val="24"/>
        </w:rPr>
        <w:t xml:space="preserve"> In accordance with the requirements </w:t>
      </w:r>
      <w:r>
        <w:rPr>
          <w:kern w:val="2"/>
          <w:sz w:val="24"/>
          <w:szCs w:val="24"/>
        </w:rPr>
        <w:t>for</w:t>
      </w:r>
      <w:r>
        <w:rPr>
          <w:rFonts w:hint="eastAsia"/>
          <w:kern w:val="2"/>
          <w:sz w:val="24"/>
          <w:szCs w:val="24"/>
        </w:rPr>
        <w:t xml:space="preserve"> a sound </w:t>
      </w:r>
      <w:r>
        <w:rPr>
          <w:rFonts w:hint="eastAsia"/>
          <w:kern w:val="2"/>
          <w:sz w:val="24"/>
          <w:szCs w:val="24"/>
        </w:rPr>
        <w:lastRenderedPageBreak/>
        <w:t>and neutral monetary policy, the PBC proactively provide</w:t>
      </w:r>
      <w:r>
        <w:rPr>
          <w:kern w:val="2"/>
          <w:sz w:val="24"/>
          <w:szCs w:val="24"/>
        </w:rPr>
        <w:t>d</w:t>
      </w:r>
      <w:r>
        <w:rPr>
          <w:rFonts w:hint="eastAsia"/>
          <w:kern w:val="2"/>
          <w:sz w:val="24"/>
          <w:szCs w:val="24"/>
        </w:rPr>
        <w:t xml:space="preserve"> medium and long-term liquidity and improved the term structure of liquidity in the banking system through RRR cuts and new MLFs. Meanwhile, in response to the short-term changes in liquidity caused by the accelerated issuance of local government bonds, the </w:t>
      </w:r>
      <w:r>
        <w:rPr>
          <w:kern w:val="2"/>
          <w:sz w:val="24"/>
          <w:szCs w:val="24"/>
        </w:rPr>
        <w:t xml:space="preserve">payment </w:t>
      </w:r>
      <w:r>
        <w:rPr>
          <w:rFonts w:hint="eastAsia"/>
          <w:kern w:val="2"/>
          <w:sz w:val="24"/>
          <w:szCs w:val="24"/>
        </w:rPr>
        <w:t xml:space="preserve">of </w:t>
      </w:r>
      <w:r>
        <w:rPr>
          <w:kern w:val="2"/>
          <w:sz w:val="24"/>
          <w:szCs w:val="24"/>
        </w:rPr>
        <w:t xml:space="preserve">deposits </w:t>
      </w:r>
      <w:r>
        <w:rPr>
          <w:rFonts w:hint="eastAsia"/>
          <w:kern w:val="2"/>
          <w:sz w:val="24"/>
          <w:szCs w:val="24"/>
        </w:rPr>
        <w:t xml:space="preserve">by third-party payment institutions and seasonal factors, the PBC flexibly conducted repos to maintain reasonable and adequate liquidity in the banking system and </w:t>
      </w:r>
      <w:r>
        <w:rPr>
          <w:kern w:val="2"/>
          <w:sz w:val="24"/>
          <w:szCs w:val="24"/>
        </w:rPr>
        <w:t>to maintain a stable interest rate in the money market.</w:t>
      </w:r>
      <w:r>
        <w:rPr>
          <w:rFonts w:hint="eastAsia"/>
          <w:kern w:val="2"/>
          <w:sz w:val="24"/>
          <w:szCs w:val="24"/>
        </w:rPr>
        <w:t xml:space="preserve">  </w:t>
      </w:r>
      <w:r>
        <w:rPr>
          <w:kern w:val="2"/>
          <w:sz w:val="24"/>
          <w:szCs w:val="24"/>
        </w:rPr>
        <w:t>Taking into account both</w:t>
      </w:r>
      <w:r>
        <w:rPr>
          <w:rFonts w:hint="eastAsia"/>
          <w:kern w:val="2"/>
          <w:sz w:val="24"/>
          <w:szCs w:val="24"/>
        </w:rPr>
        <w:t xml:space="preserve"> </w:t>
      </w:r>
      <w:r>
        <w:rPr>
          <w:kern w:val="2"/>
          <w:sz w:val="24"/>
          <w:szCs w:val="24"/>
        </w:rPr>
        <w:t>the i</w:t>
      </w:r>
      <w:r>
        <w:rPr>
          <w:rFonts w:hint="eastAsia"/>
          <w:kern w:val="2"/>
          <w:sz w:val="24"/>
          <w:szCs w:val="24"/>
        </w:rPr>
        <w:t>nternal and external economic and financial environment</w:t>
      </w:r>
      <w:r>
        <w:rPr>
          <w:kern w:val="2"/>
          <w:sz w:val="24"/>
          <w:szCs w:val="24"/>
        </w:rPr>
        <w:t>s</w:t>
      </w:r>
      <w:r>
        <w:rPr>
          <w:rFonts w:hint="eastAsia"/>
          <w:kern w:val="2"/>
          <w:sz w:val="24"/>
          <w:szCs w:val="24"/>
        </w:rPr>
        <w:t xml:space="preserve"> and </w:t>
      </w:r>
      <w:r>
        <w:rPr>
          <w:kern w:val="2"/>
          <w:sz w:val="24"/>
          <w:szCs w:val="24"/>
        </w:rPr>
        <w:t xml:space="preserve">the needs for </w:t>
      </w:r>
      <w:r>
        <w:rPr>
          <w:rFonts w:hint="eastAsia"/>
          <w:kern w:val="2"/>
          <w:sz w:val="24"/>
          <w:szCs w:val="24"/>
        </w:rPr>
        <w:t xml:space="preserve">macro-control, </w:t>
      </w:r>
      <w:r>
        <w:rPr>
          <w:kern w:val="2"/>
          <w:sz w:val="24"/>
          <w:szCs w:val="24"/>
        </w:rPr>
        <w:t xml:space="preserve">the PBC kept the </w:t>
      </w:r>
      <w:r>
        <w:rPr>
          <w:rFonts w:hint="eastAsia"/>
          <w:kern w:val="2"/>
          <w:sz w:val="24"/>
          <w:szCs w:val="24"/>
        </w:rPr>
        <w:t>OMO interest rate stable</w:t>
      </w:r>
      <w:r>
        <w:rPr>
          <w:kern w:val="2"/>
          <w:sz w:val="24"/>
          <w:szCs w:val="24"/>
        </w:rPr>
        <w:t xml:space="preserve"> to</w:t>
      </w:r>
      <w:r>
        <w:rPr>
          <w:rFonts w:hint="eastAsia"/>
          <w:kern w:val="2"/>
          <w:sz w:val="24"/>
          <w:szCs w:val="24"/>
        </w:rPr>
        <w:t xml:space="preserve"> balance a number of </w:t>
      </w:r>
      <w:r>
        <w:rPr>
          <w:kern w:val="2"/>
          <w:sz w:val="24"/>
          <w:szCs w:val="24"/>
        </w:rPr>
        <w:t>adjustment</w:t>
      </w:r>
      <w:r>
        <w:rPr>
          <w:rFonts w:hint="eastAsia"/>
          <w:kern w:val="2"/>
          <w:sz w:val="24"/>
          <w:szCs w:val="24"/>
        </w:rPr>
        <w:t xml:space="preserve"> targets</w:t>
      </w:r>
      <w:r>
        <w:rPr>
          <w:kern w:val="2"/>
          <w:sz w:val="24"/>
          <w:szCs w:val="24"/>
        </w:rPr>
        <w:t>,</w:t>
      </w:r>
      <w:r>
        <w:rPr>
          <w:rFonts w:hint="eastAsia"/>
          <w:kern w:val="2"/>
          <w:sz w:val="24"/>
          <w:szCs w:val="24"/>
        </w:rPr>
        <w:t xml:space="preserve"> </w:t>
      </w:r>
      <w:r>
        <w:rPr>
          <w:kern w:val="2"/>
          <w:sz w:val="24"/>
          <w:szCs w:val="24"/>
        </w:rPr>
        <w:t>which were</w:t>
      </w:r>
      <w:r>
        <w:rPr>
          <w:rFonts w:hint="eastAsia"/>
          <w:kern w:val="2"/>
          <w:sz w:val="24"/>
          <w:szCs w:val="24"/>
        </w:rPr>
        <w:t xml:space="preserve"> in line with market expectations.</w:t>
      </w:r>
    </w:p>
    <w:p w:rsidR="008451C7" w:rsidRDefault="008451C7" w:rsidP="008451C7">
      <w:pPr>
        <w:pStyle w:val="p0"/>
        <w:spacing w:line="360" w:lineRule="auto"/>
        <w:rPr>
          <w:kern w:val="2"/>
          <w:sz w:val="24"/>
          <w:szCs w:val="24"/>
        </w:rPr>
      </w:pPr>
    </w:p>
    <w:p w:rsidR="008451C7" w:rsidRDefault="008451C7" w:rsidP="008451C7">
      <w:pPr>
        <w:pStyle w:val="p0"/>
        <w:spacing w:line="360" w:lineRule="auto"/>
        <w:rPr>
          <w:kern w:val="2"/>
          <w:sz w:val="24"/>
          <w:szCs w:val="24"/>
        </w:rPr>
      </w:pPr>
      <w:r>
        <w:rPr>
          <w:rFonts w:hint="eastAsia"/>
          <w:b/>
          <w:bCs/>
          <w:kern w:val="2"/>
          <w:sz w:val="24"/>
          <w:szCs w:val="24"/>
        </w:rPr>
        <w:t xml:space="preserve">Liquidity in the banking system </w:t>
      </w:r>
      <w:r>
        <w:rPr>
          <w:b/>
          <w:bCs/>
          <w:kern w:val="2"/>
          <w:sz w:val="24"/>
          <w:szCs w:val="24"/>
        </w:rPr>
        <w:t xml:space="preserve">was </w:t>
      </w:r>
      <w:r>
        <w:rPr>
          <w:rFonts w:hint="eastAsia"/>
          <w:b/>
          <w:bCs/>
          <w:kern w:val="2"/>
          <w:sz w:val="24"/>
          <w:szCs w:val="24"/>
        </w:rPr>
        <w:t>reasonable and adequate, and market interest rates operated smoothly.</w:t>
      </w:r>
      <w:r>
        <w:rPr>
          <w:rFonts w:hint="eastAsia"/>
          <w:kern w:val="2"/>
          <w:sz w:val="24"/>
          <w:szCs w:val="24"/>
        </w:rPr>
        <w:t xml:space="preserve"> The money-market benchmark 7-day reverse repo rate DR007 declined, hovering between 2.50</w:t>
      </w:r>
      <w:r>
        <w:rPr>
          <w:kern w:val="2"/>
          <w:sz w:val="24"/>
          <w:szCs w:val="24"/>
        </w:rPr>
        <w:t>–</w:t>
      </w:r>
      <w:r>
        <w:rPr>
          <w:rFonts w:hint="eastAsia"/>
          <w:kern w:val="2"/>
          <w:sz w:val="24"/>
          <w:szCs w:val="24"/>
        </w:rPr>
        <w:t>2.75</w:t>
      </w:r>
      <w:r>
        <w:rPr>
          <w:kern w:val="2"/>
          <w:sz w:val="24"/>
          <w:szCs w:val="24"/>
        </w:rPr>
        <w:t xml:space="preserve"> percent</w:t>
      </w:r>
      <w:r>
        <w:rPr>
          <w:rFonts w:hint="eastAsia"/>
          <w:kern w:val="2"/>
          <w:sz w:val="24"/>
          <w:szCs w:val="24"/>
        </w:rPr>
        <w:t>, without obvious fluctuation</w:t>
      </w:r>
      <w:r>
        <w:rPr>
          <w:kern w:val="2"/>
          <w:sz w:val="24"/>
          <w:szCs w:val="24"/>
        </w:rPr>
        <w:t>s</w:t>
      </w:r>
      <w:r>
        <w:rPr>
          <w:rFonts w:hint="eastAsia"/>
          <w:kern w:val="2"/>
          <w:sz w:val="24"/>
          <w:szCs w:val="24"/>
        </w:rPr>
        <w:t xml:space="preserve"> at quarter-end. The term spread of major money-market interest rates and the spread between depository institutions and non-banking institutions narrowed, indicating that </w:t>
      </w:r>
      <w:r>
        <w:rPr>
          <w:kern w:val="2"/>
          <w:sz w:val="24"/>
          <w:szCs w:val="24"/>
        </w:rPr>
        <w:t>the demand and supply for funds as well as</w:t>
      </w:r>
      <w:r>
        <w:rPr>
          <w:rFonts w:hint="eastAsia"/>
          <w:kern w:val="2"/>
          <w:sz w:val="24"/>
          <w:szCs w:val="24"/>
        </w:rPr>
        <w:t xml:space="preserve"> market expectations </w:t>
      </w:r>
      <w:r>
        <w:rPr>
          <w:kern w:val="2"/>
          <w:sz w:val="24"/>
          <w:szCs w:val="24"/>
        </w:rPr>
        <w:t>were becoming</w:t>
      </w:r>
      <w:r>
        <w:rPr>
          <w:rFonts w:hint="eastAsia"/>
          <w:kern w:val="2"/>
          <w:sz w:val="24"/>
          <w:szCs w:val="24"/>
        </w:rPr>
        <w:t xml:space="preserve"> more stable, and the demand-supply structure of liquidity </w:t>
      </w:r>
      <w:r>
        <w:rPr>
          <w:kern w:val="2"/>
          <w:sz w:val="24"/>
          <w:szCs w:val="24"/>
        </w:rPr>
        <w:t>was becoming</w:t>
      </w:r>
      <w:r>
        <w:rPr>
          <w:rFonts w:hint="eastAsia"/>
          <w:kern w:val="2"/>
          <w:sz w:val="24"/>
          <w:szCs w:val="24"/>
        </w:rPr>
        <w:t xml:space="preserve"> more reasonable. The decline of major money-market interest rates gradually </w:t>
      </w:r>
      <w:r>
        <w:rPr>
          <w:kern w:val="2"/>
          <w:sz w:val="24"/>
          <w:szCs w:val="24"/>
        </w:rPr>
        <w:t>spread</w:t>
      </w:r>
      <w:r>
        <w:rPr>
          <w:rFonts w:hint="eastAsia"/>
          <w:kern w:val="2"/>
          <w:sz w:val="24"/>
          <w:szCs w:val="24"/>
        </w:rPr>
        <w:t xml:space="preserve"> to the bond and credit market</w:t>
      </w:r>
      <w:r>
        <w:rPr>
          <w:kern w:val="2"/>
          <w:sz w:val="24"/>
          <w:szCs w:val="24"/>
        </w:rPr>
        <w:t>s</w:t>
      </w:r>
      <w:r>
        <w:rPr>
          <w:rFonts w:hint="eastAsia"/>
          <w:kern w:val="2"/>
          <w:sz w:val="24"/>
          <w:szCs w:val="24"/>
        </w:rPr>
        <w:t xml:space="preserve">, </w:t>
      </w:r>
      <w:r>
        <w:rPr>
          <w:kern w:val="2"/>
          <w:sz w:val="24"/>
          <w:szCs w:val="24"/>
        </w:rPr>
        <w:t>which will help reduce the</w:t>
      </w:r>
      <w:r>
        <w:rPr>
          <w:rFonts w:hint="eastAsia"/>
          <w:kern w:val="2"/>
          <w:sz w:val="24"/>
          <w:szCs w:val="24"/>
        </w:rPr>
        <w:t xml:space="preserve"> financing cost</w:t>
      </w:r>
      <w:r>
        <w:rPr>
          <w:kern w:val="2"/>
          <w:sz w:val="24"/>
          <w:szCs w:val="24"/>
        </w:rPr>
        <w:t xml:space="preserve">s </w:t>
      </w:r>
      <w:r>
        <w:rPr>
          <w:rFonts w:hint="eastAsia"/>
          <w:kern w:val="2"/>
          <w:sz w:val="24"/>
          <w:szCs w:val="24"/>
        </w:rPr>
        <w:t xml:space="preserve">for the real economy and </w:t>
      </w:r>
      <w:r>
        <w:rPr>
          <w:kern w:val="2"/>
          <w:sz w:val="24"/>
          <w:szCs w:val="24"/>
        </w:rPr>
        <w:t xml:space="preserve">prop up </w:t>
      </w:r>
      <w:r>
        <w:rPr>
          <w:rFonts w:hint="eastAsia"/>
          <w:kern w:val="2"/>
          <w:sz w:val="24"/>
          <w:szCs w:val="24"/>
        </w:rPr>
        <w:t xml:space="preserve">steady </w:t>
      </w:r>
      <w:r>
        <w:rPr>
          <w:kern w:val="2"/>
          <w:sz w:val="24"/>
          <w:szCs w:val="24"/>
        </w:rPr>
        <w:t xml:space="preserve">economic </w:t>
      </w:r>
      <w:r>
        <w:rPr>
          <w:rFonts w:hint="eastAsia"/>
          <w:kern w:val="2"/>
          <w:sz w:val="24"/>
          <w:szCs w:val="24"/>
        </w:rPr>
        <w:t>growth.</w:t>
      </w:r>
    </w:p>
    <w:p w:rsidR="008451C7" w:rsidRDefault="008451C7" w:rsidP="008451C7">
      <w:pPr>
        <w:pStyle w:val="p0"/>
        <w:spacing w:line="360" w:lineRule="auto"/>
        <w:rPr>
          <w:kern w:val="2"/>
          <w:sz w:val="24"/>
          <w:szCs w:val="24"/>
        </w:rPr>
      </w:pPr>
      <w:r>
        <w:rPr>
          <w:rFonts w:hint="eastAsia"/>
          <w:kern w:val="2"/>
          <w:sz w:val="24"/>
          <w:szCs w:val="24"/>
        </w:rPr>
        <w:t xml:space="preserve">                                                                                                                                                                                                                                                                                                                                                                                                                </w:t>
      </w:r>
      <w:bookmarkStart w:id="40" w:name="_Toc489534251"/>
    </w:p>
    <w:bookmarkEnd w:id="40"/>
    <w:p w:rsidR="008451C7" w:rsidRDefault="008451C7" w:rsidP="008451C7">
      <w:pPr>
        <w:pStyle w:val="p0"/>
        <w:spacing w:line="360" w:lineRule="auto"/>
        <w:rPr>
          <w:kern w:val="2"/>
          <w:sz w:val="24"/>
          <w:szCs w:val="24"/>
        </w:rPr>
      </w:pPr>
      <w:r>
        <w:rPr>
          <w:rFonts w:hint="eastAsia"/>
          <w:kern w:val="2"/>
          <w:sz w:val="24"/>
          <w:szCs w:val="24"/>
        </w:rPr>
        <w:t xml:space="preserve">Since the beginning of 2018, the provision of medium and long-term liquidity by the PBC </w:t>
      </w:r>
      <w:r>
        <w:rPr>
          <w:kern w:val="2"/>
          <w:sz w:val="24"/>
          <w:szCs w:val="24"/>
        </w:rPr>
        <w:t>was</w:t>
      </w:r>
      <w:r>
        <w:rPr>
          <w:rFonts w:hint="eastAsia"/>
          <w:kern w:val="2"/>
          <w:sz w:val="24"/>
          <w:szCs w:val="24"/>
        </w:rPr>
        <w:t xml:space="preserve"> approximately the same as the medium and long-term liquidity </w:t>
      </w:r>
      <w:r>
        <w:rPr>
          <w:kern w:val="2"/>
          <w:sz w:val="24"/>
          <w:szCs w:val="24"/>
        </w:rPr>
        <w:t>siphoned out</w:t>
      </w:r>
      <w:r w:rsidRPr="0048289F">
        <w:rPr>
          <w:rFonts w:hint="eastAsia"/>
          <w:kern w:val="2"/>
          <w:sz w:val="24"/>
          <w:szCs w:val="24"/>
        </w:rPr>
        <w:t xml:space="preserve"> </w:t>
      </w:r>
      <w:r>
        <w:rPr>
          <w:rFonts w:hint="eastAsia"/>
          <w:kern w:val="2"/>
          <w:sz w:val="24"/>
          <w:szCs w:val="24"/>
        </w:rPr>
        <w:t>by financial institutions</w:t>
      </w:r>
      <w:r>
        <w:rPr>
          <w:kern w:val="2"/>
          <w:sz w:val="24"/>
          <w:szCs w:val="24"/>
        </w:rPr>
        <w:t xml:space="preserve"> in the form of</w:t>
      </w:r>
      <w:r>
        <w:rPr>
          <w:rFonts w:hint="eastAsia"/>
          <w:kern w:val="2"/>
          <w:sz w:val="24"/>
          <w:szCs w:val="24"/>
        </w:rPr>
        <w:t xml:space="preserve"> required reserves</w:t>
      </w:r>
      <w:r>
        <w:rPr>
          <w:kern w:val="2"/>
          <w:sz w:val="24"/>
          <w:szCs w:val="24"/>
        </w:rPr>
        <w:t>,</w:t>
      </w:r>
      <w:r>
        <w:rPr>
          <w:rFonts w:hint="eastAsia"/>
          <w:kern w:val="2"/>
          <w:sz w:val="24"/>
          <w:szCs w:val="24"/>
        </w:rPr>
        <w:t xml:space="preserve"> </w:t>
      </w:r>
      <w:r>
        <w:rPr>
          <w:kern w:val="2"/>
          <w:sz w:val="24"/>
          <w:szCs w:val="24"/>
        </w:rPr>
        <w:t>cash supplies,</w:t>
      </w:r>
      <w:r>
        <w:rPr>
          <w:rFonts w:hint="eastAsia"/>
          <w:kern w:val="2"/>
          <w:sz w:val="24"/>
          <w:szCs w:val="24"/>
        </w:rPr>
        <w:t xml:space="preserve"> and rising fiscal funds. </w:t>
      </w:r>
      <w:r>
        <w:rPr>
          <w:kern w:val="2"/>
          <w:sz w:val="24"/>
          <w:szCs w:val="24"/>
        </w:rPr>
        <w:t>Overall, t</w:t>
      </w:r>
      <w:r>
        <w:rPr>
          <w:rFonts w:hint="eastAsia"/>
          <w:kern w:val="2"/>
          <w:sz w:val="24"/>
          <w:szCs w:val="24"/>
        </w:rPr>
        <w:t>he PBC</w:t>
      </w:r>
      <w:r>
        <w:rPr>
          <w:kern w:val="2"/>
          <w:sz w:val="24"/>
          <w:szCs w:val="24"/>
        </w:rPr>
        <w:t>’</w:t>
      </w:r>
      <w:r>
        <w:rPr>
          <w:rFonts w:hint="eastAsia"/>
          <w:kern w:val="2"/>
          <w:sz w:val="24"/>
          <w:szCs w:val="24"/>
        </w:rPr>
        <w:t>s monetary</w:t>
      </w:r>
      <w:r>
        <w:rPr>
          <w:kern w:val="2"/>
          <w:sz w:val="24"/>
          <w:szCs w:val="24"/>
        </w:rPr>
        <w:t>-p</w:t>
      </w:r>
      <w:r>
        <w:rPr>
          <w:rFonts w:hint="eastAsia"/>
          <w:kern w:val="2"/>
          <w:sz w:val="24"/>
          <w:szCs w:val="24"/>
        </w:rPr>
        <w:t xml:space="preserve">olicy operations were neutral. Meanwhile, </w:t>
      </w:r>
      <w:r>
        <w:rPr>
          <w:kern w:val="2"/>
          <w:sz w:val="24"/>
          <w:szCs w:val="24"/>
        </w:rPr>
        <w:t xml:space="preserve">the demand and supply of </w:t>
      </w:r>
      <w:r>
        <w:rPr>
          <w:rFonts w:hint="eastAsia"/>
          <w:kern w:val="2"/>
          <w:sz w:val="24"/>
          <w:szCs w:val="24"/>
        </w:rPr>
        <w:t>short-term fund</w:t>
      </w:r>
      <w:r>
        <w:rPr>
          <w:kern w:val="2"/>
          <w:sz w:val="24"/>
          <w:szCs w:val="24"/>
        </w:rPr>
        <w:t>s</w:t>
      </w:r>
      <w:r>
        <w:rPr>
          <w:rFonts w:hint="eastAsia"/>
          <w:kern w:val="2"/>
          <w:sz w:val="24"/>
          <w:szCs w:val="24"/>
        </w:rPr>
        <w:t xml:space="preserve"> sometimes fluctuated slightly due to seasonal factors, but </w:t>
      </w:r>
      <w:r>
        <w:rPr>
          <w:kern w:val="2"/>
          <w:sz w:val="24"/>
          <w:szCs w:val="24"/>
        </w:rPr>
        <w:t>this did not indicate a</w:t>
      </w:r>
      <w:r>
        <w:rPr>
          <w:rFonts w:hint="eastAsia"/>
          <w:kern w:val="2"/>
          <w:sz w:val="24"/>
          <w:szCs w:val="24"/>
        </w:rPr>
        <w:t xml:space="preserve"> policy change</w:t>
      </w:r>
      <w:r>
        <w:rPr>
          <w:kern w:val="2"/>
          <w:sz w:val="24"/>
          <w:szCs w:val="24"/>
        </w:rPr>
        <w:t xml:space="preserve"> </w:t>
      </w:r>
      <w:r>
        <w:rPr>
          <w:rFonts w:hint="eastAsia"/>
          <w:kern w:val="2"/>
          <w:sz w:val="24"/>
          <w:szCs w:val="24"/>
        </w:rPr>
        <w:t>and liquidity eventually converge</w:t>
      </w:r>
      <w:r>
        <w:rPr>
          <w:kern w:val="2"/>
          <w:sz w:val="24"/>
          <w:szCs w:val="24"/>
        </w:rPr>
        <w:t>d</w:t>
      </w:r>
      <w:r>
        <w:rPr>
          <w:rFonts w:hint="eastAsia"/>
          <w:kern w:val="2"/>
          <w:sz w:val="24"/>
          <w:szCs w:val="24"/>
        </w:rPr>
        <w:t xml:space="preserve"> </w:t>
      </w:r>
      <w:r>
        <w:rPr>
          <w:kern w:val="2"/>
          <w:sz w:val="24"/>
          <w:szCs w:val="24"/>
        </w:rPr>
        <w:t xml:space="preserve">at </w:t>
      </w:r>
      <w:r>
        <w:rPr>
          <w:rFonts w:hint="eastAsia"/>
          <w:kern w:val="2"/>
          <w:sz w:val="24"/>
          <w:szCs w:val="24"/>
        </w:rPr>
        <w:t xml:space="preserve">a reasonable and adequate level. </w:t>
      </w:r>
      <w:r>
        <w:rPr>
          <w:kern w:val="2"/>
          <w:sz w:val="24"/>
          <w:szCs w:val="24"/>
        </w:rPr>
        <w:t>A</w:t>
      </w:r>
      <w:r>
        <w:rPr>
          <w:rFonts w:hint="eastAsia"/>
          <w:kern w:val="2"/>
          <w:sz w:val="24"/>
          <w:szCs w:val="24"/>
        </w:rPr>
        <w:t xml:space="preserve">nalysis of </w:t>
      </w:r>
      <w:r>
        <w:rPr>
          <w:kern w:val="2"/>
          <w:sz w:val="24"/>
          <w:szCs w:val="24"/>
        </w:rPr>
        <w:t>the monetary-</w:t>
      </w:r>
      <w:r>
        <w:rPr>
          <w:rFonts w:hint="eastAsia"/>
          <w:kern w:val="2"/>
          <w:sz w:val="24"/>
          <w:szCs w:val="24"/>
        </w:rPr>
        <w:t xml:space="preserve">policy </w:t>
      </w:r>
      <w:r>
        <w:rPr>
          <w:kern w:val="2"/>
          <w:sz w:val="24"/>
          <w:szCs w:val="24"/>
        </w:rPr>
        <w:t xml:space="preserve">stance </w:t>
      </w:r>
      <w:r>
        <w:rPr>
          <w:rFonts w:hint="eastAsia"/>
          <w:kern w:val="2"/>
          <w:sz w:val="24"/>
          <w:szCs w:val="24"/>
        </w:rPr>
        <w:lastRenderedPageBreak/>
        <w:t xml:space="preserve">should </w:t>
      </w:r>
      <w:r>
        <w:rPr>
          <w:kern w:val="2"/>
          <w:sz w:val="24"/>
          <w:szCs w:val="24"/>
        </w:rPr>
        <w:t>be from</w:t>
      </w:r>
      <w:r>
        <w:rPr>
          <w:rFonts w:hint="eastAsia"/>
          <w:kern w:val="2"/>
          <w:sz w:val="24"/>
          <w:szCs w:val="24"/>
        </w:rPr>
        <w:t xml:space="preserve"> a medium and long-term perspective, and </w:t>
      </w:r>
      <w:r>
        <w:rPr>
          <w:kern w:val="2"/>
          <w:sz w:val="24"/>
          <w:szCs w:val="24"/>
        </w:rPr>
        <w:t xml:space="preserve">it should </w:t>
      </w:r>
      <w:r>
        <w:rPr>
          <w:rFonts w:hint="eastAsia"/>
          <w:kern w:val="2"/>
          <w:sz w:val="24"/>
          <w:szCs w:val="24"/>
        </w:rPr>
        <w:t>focus on trend</w:t>
      </w:r>
      <w:r>
        <w:rPr>
          <w:kern w:val="2"/>
          <w:sz w:val="24"/>
          <w:szCs w:val="24"/>
        </w:rPr>
        <w:t>s</w:t>
      </w:r>
      <w:r>
        <w:rPr>
          <w:rFonts w:hint="eastAsia"/>
          <w:kern w:val="2"/>
          <w:sz w:val="24"/>
          <w:szCs w:val="24"/>
        </w:rPr>
        <w:t xml:space="preserve"> </w:t>
      </w:r>
      <w:r>
        <w:rPr>
          <w:kern w:val="2"/>
          <w:sz w:val="24"/>
          <w:szCs w:val="24"/>
        </w:rPr>
        <w:t>in</w:t>
      </w:r>
      <w:r>
        <w:rPr>
          <w:rFonts w:hint="eastAsia"/>
          <w:kern w:val="2"/>
          <w:sz w:val="24"/>
          <w:szCs w:val="24"/>
        </w:rPr>
        <w:t xml:space="preserve"> market interest rates over a </w:t>
      </w:r>
      <w:r>
        <w:rPr>
          <w:kern w:val="2"/>
          <w:sz w:val="24"/>
          <w:szCs w:val="24"/>
        </w:rPr>
        <w:t>longer</w:t>
      </w:r>
      <w:r>
        <w:rPr>
          <w:rFonts w:hint="eastAsia"/>
          <w:kern w:val="2"/>
          <w:sz w:val="24"/>
          <w:szCs w:val="24"/>
        </w:rPr>
        <w:t xml:space="preserve"> period of time.</w:t>
      </w:r>
    </w:p>
    <w:p w:rsidR="008451C7" w:rsidRDefault="008451C7" w:rsidP="008451C7">
      <w:pPr>
        <w:spacing w:line="360" w:lineRule="auto"/>
        <w:rPr>
          <w:sz w:val="24"/>
        </w:rPr>
      </w:pPr>
    </w:p>
    <w:p w:rsidR="008451C7" w:rsidRDefault="008451C7" w:rsidP="008451C7">
      <w:pPr>
        <w:pStyle w:val="2"/>
        <w:spacing w:line="360" w:lineRule="auto"/>
        <w:ind w:firstLineChars="0" w:firstLine="0"/>
        <w:rPr>
          <w:rFonts w:ascii="Times New Roman" w:eastAsia="SimSun" w:hAnsi="Times New Roman"/>
          <w:bCs w:val="0"/>
          <w:sz w:val="24"/>
          <w:szCs w:val="24"/>
        </w:rPr>
      </w:pPr>
      <w:bookmarkStart w:id="41" w:name="_Toc532201083"/>
      <w:r>
        <w:rPr>
          <w:rFonts w:ascii="Times New Roman" w:eastAsia="SimSun" w:hAnsi="Times New Roman"/>
          <w:bCs w:val="0"/>
          <w:sz w:val="24"/>
          <w:szCs w:val="24"/>
        </w:rPr>
        <w:t>II.</w:t>
      </w:r>
      <w:r>
        <w:rPr>
          <w:rFonts w:ascii="Times New Roman" w:eastAsia="SimSun" w:hAnsi="Times New Roman" w:hint="eastAsia"/>
          <w:bCs w:val="0"/>
          <w:sz w:val="24"/>
          <w:szCs w:val="24"/>
        </w:rPr>
        <w:t xml:space="preserve"> </w:t>
      </w:r>
      <w:r>
        <w:rPr>
          <w:rFonts w:ascii="Times New Roman" w:eastAsia="SimSun" w:hAnsi="Times New Roman"/>
          <w:bCs w:val="0"/>
          <w:sz w:val="24"/>
          <w:szCs w:val="24"/>
        </w:rPr>
        <w:t>Conducting MLF operations and the Standing Lending Facility (SLF)</w:t>
      </w:r>
      <w:bookmarkEnd w:id="41"/>
      <w:r>
        <w:rPr>
          <w:rFonts w:ascii="Times New Roman" w:eastAsia="SimSun" w:hAnsi="Times New Roman"/>
          <w:bCs w:val="0"/>
          <w:sz w:val="24"/>
          <w:szCs w:val="24"/>
        </w:rPr>
        <w:t xml:space="preserve">  </w:t>
      </w:r>
    </w:p>
    <w:p w:rsidR="008451C7" w:rsidRDefault="008451C7" w:rsidP="008451C7">
      <w:pPr>
        <w:pStyle w:val="p0"/>
        <w:spacing w:line="360" w:lineRule="auto"/>
        <w:rPr>
          <w:kern w:val="2"/>
          <w:sz w:val="24"/>
          <w:szCs w:val="24"/>
        </w:rPr>
      </w:pPr>
      <w:r>
        <w:rPr>
          <w:rFonts w:hint="eastAsia"/>
          <w:b/>
          <w:bCs/>
          <w:kern w:val="2"/>
          <w:sz w:val="24"/>
          <w:szCs w:val="24"/>
        </w:rPr>
        <w:t xml:space="preserve">MLFs were conducted monthly as necessary to ensure an adequate supply of base money. </w:t>
      </w:r>
      <w:r>
        <w:rPr>
          <w:sz w:val="24"/>
        </w:rPr>
        <w:t>During</w:t>
      </w:r>
      <w:r>
        <w:rPr>
          <w:rFonts w:hint="eastAsia"/>
          <w:kern w:val="2"/>
          <w:sz w:val="24"/>
          <w:szCs w:val="24"/>
        </w:rPr>
        <w:t xml:space="preserve"> the first three quarters, the PBC conducted a total of RMB 4074 billion MLF operations, all with maturities of 1 year. A total of RMB 1664 billion MLF operations was conducted in </w:t>
      </w:r>
      <w:r>
        <w:rPr>
          <w:sz w:val="24"/>
        </w:rPr>
        <w:t>Q3</w:t>
      </w:r>
      <w:r>
        <w:rPr>
          <w:rFonts w:hint="eastAsia"/>
          <w:kern w:val="2"/>
          <w:sz w:val="24"/>
          <w:szCs w:val="24"/>
        </w:rPr>
        <w:t xml:space="preserve"> and the bid rate of the last operation recorded 3.30 percent, the same as</w:t>
      </w:r>
      <w:r>
        <w:rPr>
          <w:kern w:val="2"/>
          <w:sz w:val="24"/>
          <w:szCs w:val="24"/>
        </w:rPr>
        <w:t xml:space="preserve"> that in</w:t>
      </w:r>
      <w:r>
        <w:rPr>
          <w:rFonts w:hint="eastAsia"/>
          <w:kern w:val="2"/>
          <w:sz w:val="24"/>
          <w:szCs w:val="24"/>
        </w:rPr>
        <w:t xml:space="preserve"> Q2. By end-September, the outstanding volume of MLFs posted RMB 5383 billion, RMB 861.5 billion more than that at the beginning of 2018.</w:t>
      </w:r>
    </w:p>
    <w:p w:rsidR="008451C7" w:rsidRDefault="008451C7" w:rsidP="008451C7">
      <w:pPr>
        <w:pStyle w:val="p0"/>
        <w:spacing w:line="360" w:lineRule="auto"/>
        <w:rPr>
          <w:kern w:val="2"/>
          <w:sz w:val="24"/>
          <w:szCs w:val="24"/>
        </w:rPr>
      </w:pPr>
    </w:p>
    <w:p w:rsidR="008451C7" w:rsidRDefault="008451C7" w:rsidP="008451C7">
      <w:pPr>
        <w:pStyle w:val="p0"/>
        <w:spacing w:line="360" w:lineRule="auto"/>
        <w:rPr>
          <w:kern w:val="2"/>
          <w:sz w:val="24"/>
          <w:szCs w:val="24"/>
        </w:rPr>
      </w:pPr>
      <w:r>
        <w:rPr>
          <w:rFonts w:hint="eastAsia"/>
          <w:b/>
          <w:bCs/>
          <w:kern w:val="2"/>
          <w:sz w:val="24"/>
          <w:szCs w:val="24"/>
        </w:rPr>
        <w:t xml:space="preserve">SLFs were conducted </w:t>
      </w:r>
      <w:r>
        <w:rPr>
          <w:b/>
          <w:bCs/>
          <w:kern w:val="2"/>
          <w:sz w:val="24"/>
          <w:szCs w:val="24"/>
        </w:rPr>
        <w:t xml:space="preserve">in a </w:t>
      </w:r>
      <w:r>
        <w:rPr>
          <w:rFonts w:hint="eastAsia"/>
          <w:b/>
          <w:bCs/>
          <w:kern w:val="2"/>
          <w:sz w:val="24"/>
          <w:szCs w:val="24"/>
        </w:rPr>
        <w:t>timely</w:t>
      </w:r>
      <w:r>
        <w:rPr>
          <w:b/>
          <w:bCs/>
          <w:kern w:val="2"/>
          <w:sz w:val="24"/>
          <w:szCs w:val="24"/>
        </w:rPr>
        <w:t xml:space="preserve"> manner</w:t>
      </w:r>
      <w:r>
        <w:rPr>
          <w:rFonts w:hint="eastAsia"/>
          <w:b/>
          <w:bCs/>
          <w:kern w:val="2"/>
          <w:sz w:val="24"/>
          <w:szCs w:val="24"/>
        </w:rPr>
        <w:t xml:space="preserve">. </w:t>
      </w:r>
      <w:r>
        <w:rPr>
          <w:rFonts w:hint="eastAsia"/>
          <w:kern w:val="2"/>
          <w:sz w:val="24"/>
          <w:szCs w:val="24"/>
        </w:rPr>
        <w:t>To promote</w:t>
      </w:r>
      <w:r>
        <w:rPr>
          <w:kern w:val="2"/>
          <w:sz w:val="24"/>
          <w:szCs w:val="24"/>
        </w:rPr>
        <w:t xml:space="preserve"> the</w:t>
      </w:r>
      <w:r>
        <w:rPr>
          <w:rFonts w:hint="eastAsia"/>
          <w:kern w:val="2"/>
          <w:sz w:val="24"/>
          <w:szCs w:val="24"/>
        </w:rPr>
        <w:t xml:space="preserve"> smooth operation of the money market, the PBC injected short-term liquidity to locally</w:t>
      </w:r>
      <w:r>
        <w:rPr>
          <w:kern w:val="2"/>
          <w:sz w:val="24"/>
          <w:szCs w:val="24"/>
        </w:rPr>
        <w:t xml:space="preserve"> </w:t>
      </w:r>
      <w:r>
        <w:rPr>
          <w:rFonts w:hint="eastAsia"/>
          <w:kern w:val="2"/>
          <w:sz w:val="24"/>
          <w:szCs w:val="24"/>
        </w:rPr>
        <w:t xml:space="preserve">incorporated financial institutions through SLFs to fully meet their demands, while using the SLF rates as the ceiling of the interest-rate corridor. </w:t>
      </w:r>
      <w:r>
        <w:rPr>
          <w:sz w:val="24"/>
        </w:rPr>
        <w:t>During</w:t>
      </w:r>
      <w:r>
        <w:rPr>
          <w:rFonts w:hint="eastAsia"/>
          <w:kern w:val="2"/>
          <w:sz w:val="24"/>
          <w:szCs w:val="24"/>
        </w:rPr>
        <w:t xml:space="preserve"> the first three quarters, the PBC conducted a total of RMB 301.3 billion SLF operations. </w:t>
      </w:r>
      <w:r>
        <w:rPr>
          <w:kern w:val="2"/>
          <w:sz w:val="24"/>
          <w:szCs w:val="24"/>
        </w:rPr>
        <w:t xml:space="preserve">In </w:t>
      </w:r>
      <w:r>
        <w:rPr>
          <w:sz w:val="24"/>
        </w:rPr>
        <w:t>Q3,</w:t>
      </w:r>
      <w:r>
        <w:rPr>
          <w:kern w:val="2"/>
          <w:sz w:val="24"/>
          <w:szCs w:val="24"/>
        </w:rPr>
        <w:t xml:space="preserve"> the PBC conducted a total of </w:t>
      </w:r>
      <w:r>
        <w:rPr>
          <w:rFonts w:hint="eastAsia"/>
          <w:kern w:val="2"/>
          <w:sz w:val="24"/>
          <w:szCs w:val="24"/>
        </w:rPr>
        <w:t xml:space="preserve">RMB 51.9 billion SLF operations and </w:t>
      </w:r>
      <w:r>
        <w:rPr>
          <w:kern w:val="2"/>
          <w:sz w:val="24"/>
          <w:szCs w:val="24"/>
        </w:rPr>
        <w:t xml:space="preserve">the </w:t>
      </w:r>
      <w:r>
        <w:rPr>
          <w:rFonts w:hint="eastAsia"/>
          <w:kern w:val="2"/>
          <w:sz w:val="24"/>
          <w:szCs w:val="24"/>
        </w:rPr>
        <w:t>quarter-end outstanding SLFs stood at RMB 47.5 billion. At end-September, the overnight, 7-day, and 1-month SLF interest rates were 3.40 percent, 3.55 percent, and 3.90 percent respectively, the same as</w:t>
      </w:r>
      <w:r>
        <w:rPr>
          <w:kern w:val="2"/>
          <w:sz w:val="24"/>
          <w:szCs w:val="24"/>
        </w:rPr>
        <w:t xml:space="preserve"> the SLF interest rates in</w:t>
      </w:r>
      <w:r>
        <w:rPr>
          <w:rFonts w:hint="eastAsia"/>
          <w:kern w:val="2"/>
          <w:sz w:val="24"/>
          <w:szCs w:val="24"/>
        </w:rPr>
        <w:t xml:space="preserve"> Q2.</w:t>
      </w:r>
    </w:p>
    <w:p w:rsidR="008451C7" w:rsidRDefault="008451C7" w:rsidP="008451C7">
      <w:pPr>
        <w:spacing w:line="360" w:lineRule="auto"/>
        <w:rPr>
          <w:color w:val="0000FF"/>
          <w:sz w:val="24"/>
        </w:rPr>
      </w:pPr>
      <w:r>
        <w:rPr>
          <w:rFonts w:hint="eastAsia"/>
          <w:color w:val="0000FF"/>
          <w:sz w:val="24"/>
        </w:rPr>
        <w:t xml:space="preserve">　　　</w:t>
      </w:r>
    </w:p>
    <w:p w:rsidR="008451C7" w:rsidRDefault="008451C7" w:rsidP="008451C7">
      <w:pPr>
        <w:pStyle w:val="2"/>
        <w:spacing w:line="360" w:lineRule="auto"/>
        <w:ind w:firstLineChars="0" w:firstLine="0"/>
        <w:rPr>
          <w:rFonts w:ascii="Times New Roman" w:eastAsia="SimSun" w:hAnsi="Times New Roman"/>
          <w:bCs w:val="0"/>
          <w:sz w:val="24"/>
          <w:szCs w:val="24"/>
        </w:rPr>
      </w:pPr>
      <w:bookmarkStart w:id="42" w:name="_Toc532201084"/>
      <w:r>
        <w:rPr>
          <w:rFonts w:ascii="Times New Roman" w:eastAsia="SimSun" w:hAnsi="Times New Roman"/>
          <w:bCs w:val="0"/>
          <w:sz w:val="24"/>
          <w:szCs w:val="24"/>
        </w:rPr>
        <w:t xml:space="preserve">III. </w:t>
      </w:r>
      <w:r>
        <w:rPr>
          <w:rFonts w:ascii="Times New Roman" w:eastAsia="SimSun" w:hAnsi="Times New Roman" w:hint="eastAsia"/>
          <w:bCs w:val="0"/>
          <w:sz w:val="24"/>
          <w:szCs w:val="24"/>
        </w:rPr>
        <w:t>Cutt</w:t>
      </w:r>
      <w:r>
        <w:rPr>
          <w:rFonts w:ascii="Times New Roman" w:eastAsia="SimSun" w:hAnsi="Times New Roman"/>
          <w:bCs w:val="0"/>
          <w:sz w:val="24"/>
          <w:szCs w:val="24"/>
        </w:rPr>
        <w:t>ing the RRR</w:t>
      </w:r>
      <w:r>
        <w:rPr>
          <w:rFonts w:ascii="Times New Roman" w:eastAsia="SimSun" w:hAnsi="Times New Roman" w:hint="eastAsia"/>
          <w:bCs w:val="0"/>
          <w:sz w:val="24"/>
          <w:szCs w:val="24"/>
        </w:rPr>
        <w:t>s</w:t>
      </w:r>
      <w:r>
        <w:rPr>
          <w:rFonts w:ascii="Times New Roman" w:eastAsia="SimSun" w:hAnsi="Times New Roman"/>
          <w:bCs w:val="0"/>
          <w:sz w:val="24"/>
          <w:szCs w:val="24"/>
        </w:rPr>
        <w:t xml:space="preserve"> of some financial institutions</w:t>
      </w:r>
      <w:bookmarkEnd w:id="42"/>
    </w:p>
    <w:p w:rsidR="008451C7" w:rsidRDefault="008451C7" w:rsidP="008451C7">
      <w:pPr>
        <w:spacing w:line="360" w:lineRule="auto"/>
        <w:rPr>
          <w:sz w:val="24"/>
        </w:rPr>
      </w:pPr>
      <w:r>
        <w:rPr>
          <w:rFonts w:hint="eastAsia"/>
          <w:b/>
          <w:bCs/>
          <w:sz w:val="24"/>
        </w:rPr>
        <w:t xml:space="preserve">Supporting legal and market-based debt-for-equity swaps and small and micro business financing through targeted RRR </w:t>
      </w:r>
      <w:r>
        <w:rPr>
          <w:b/>
          <w:bCs/>
          <w:sz w:val="24"/>
        </w:rPr>
        <w:t>cuts</w:t>
      </w:r>
      <w:r>
        <w:rPr>
          <w:rFonts w:hint="eastAsia"/>
          <w:b/>
          <w:bCs/>
          <w:sz w:val="24"/>
        </w:rPr>
        <w:t>.</w:t>
      </w:r>
      <w:r>
        <w:rPr>
          <w:rFonts w:hint="eastAsia"/>
          <w:sz w:val="24"/>
        </w:rPr>
        <w:t xml:space="preserve"> In July 2018, the PBC cut the RMB reserve requirement ratio by 0.5 percentage point for large commercial banks, joint-stock commercial banks, urban commercial banks, non-county rural commercial banks</w:t>
      </w:r>
      <w:r>
        <w:rPr>
          <w:sz w:val="24"/>
        </w:rPr>
        <w:t>,</w:t>
      </w:r>
      <w:r>
        <w:rPr>
          <w:rFonts w:hint="eastAsia"/>
          <w:sz w:val="24"/>
        </w:rPr>
        <w:t xml:space="preserve"> and foreign banks to support market-based and law-based debt-for-equity swaps and small and micro business financing. Specifically, five state-owned </w:t>
      </w:r>
      <w:r>
        <w:rPr>
          <w:rFonts w:hint="eastAsia"/>
          <w:sz w:val="24"/>
        </w:rPr>
        <w:lastRenderedPageBreak/>
        <w:t xml:space="preserve">commercial banks and twelve joint-stock commercial banks released liquidity </w:t>
      </w:r>
      <w:r>
        <w:rPr>
          <w:sz w:val="24"/>
        </w:rPr>
        <w:t>in the amount of about</w:t>
      </w:r>
      <w:r>
        <w:rPr>
          <w:rFonts w:hint="eastAsia"/>
          <w:sz w:val="24"/>
        </w:rPr>
        <w:t xml:space="preserve"> RMB 500 billion, which helped increase capacity </w:t>
      </w:r>
      <w:r>
        <w:rPr>
          <w:sz w:val="24"/>
        </w:rPr>
        <w:t>for</w:t>
      </w:r>
      <w:r>
        <w:rPr>
          <w:rFonts w:hint="eastAsia"/>
          <w:sz w:val="24"/>
        </w:rPr>
        <w:t xml:space="preserve"> debt-for-equity swaps and facilitated implementation of signed projects. The Postal Savings Bank of China, city commercial banks, non-county rural commercial banks, and foreign-funded commercial banks released liquidity totaling RMB 200 billion, which contributed to an increased credit supply, lower financing costs, and improved financial services for small and micro businesses.</w:t>
      </w:r>
    </w:p>
    <w:p w:rsidR="008451C7" w:rsidRDefault="008451C7" w:rsidP="008451C7">
      <w:pPr>
        <w:spacing w:line="360" w:lineRule="auto"/>
        <w:rPr>
          <w:sz w:val="24"/>
        </w:rPr>
      </w:pPr>
    </w:p>
    <w:p w:rsidR="008451C7" w:rsidRDefault="008451C7" w:rsidP="008451C7">
      <w:pPr>
        <w:spacing w:line="360" w:lineRule="auto"/>
        <w:rPr>
          <w:sz w:val="24"/>
        </w:rPr>
      </w:pPr>
      <w:r>
        <w:rPr>
          <w:rFonts w:hint="eastAsia"/>
          <w:b/>
          <w:bCs/>
          <w:sz w:val="24"/>
        </w:rPr>
        <w:t>RRRs were lowered for some financial institutions to replace the MLF loans.</w:t>
      </w:r>
      <w:r>
        <w:rPr>
          <w:rFonts w:hint="eastAsia"/>
          <w:sz w:val="24"/>
        </w:rPr>
        <w:t xml:space="preserve"> In October 2018, the PBC lowered the RRRs of large commercial banks, joint-stock commercial banks, city commercial banks, non-county rural commercial banks, and foreign-funded commercial banks by one percentage point. </w:t>
      </w:r>
      <w:r>
        <w:rPr>
          <w:sz w:val="24"/>
        </w:rPr>
        <w:t>Some of</w:t>
      </w:r>
      <w:r>
        <w:rPr>
          <w:rFonts w:hint="eastAsia"/>
          <w:sz w:val="24"/>
        </w:rPr>
        <w:t xml:space="preserve"> the funds released by </w:t>
      </w:r>
      <w:r>
        <w:rPr>
          <w:sz w:val="24"/>
        </w:rPr>
        <w:t xml:space="preserve">the </w:t>
      </w:r>
      <w:r>
        <w:rPr>
          <w:rFonts w:hint="eastAsia"/>
          <w:sz w:val="24"/>
        </w:rPr>
        <w:t>RRR reduction was used to repay the approximately RMB 450 billion MLF due on the same day, which further reinforced fund stability in the banking system and optimized the liquidity structure of commercial banks and financial markets. The RMB 750 billion</w:t>
      </w:r>
      <w:r>
        <w:rPr>
          <w:sz w:val="24"/>
        </w:rPr>
        <w:t xml:space="preserve"> in</w:t>
      </w:r>
      <w:r>
        <w:rPr>
          <w:rFonts w:hint="eastAsia"/>
          <w:sz w:val="24"/>
        </w:rPr>
        <w:t xml:space="preserve"> liquidity released by the RRR reduction was mainly used to increase the financial sources of financial institutions for small and micro businesses, private enterprises</w:t>
      </w:r>
      <w:r>
        <w:rPr>
          <w:sz w:val="24"/>
        </w:rPr>
        <w:t>,</w:t>
      </w:r>
      <w:r>
        <w:rPr>
          <w:rFonts w:hint="eastAsia"/>
          <w:sz w:val="24"/>
        </w:rPr>
        <w:t xml:space="preserve"> and innovative enterprises, </w:t>
      </w:r>
      <w:r>
        <w:rPr>
          <w:sz w:val="24"/>
        </w:rPr>
        <w:t xml:space="preserve">to </w:t>
      </w:r>
      <w:r>
        <w:rPr>
          <w:rFonts w:hint="eastAsia"/>
          <w:sz w:val="24"/>
        </w:rPr>
        <w:t xml:space="preserve">promote economic innovation vitality and resilience, </w:t>
      </w:r>
      <w:r>
        <w:rPr>
          <w:sz w:val="24"/>
        </w:rPr>
        <w:t xml:space="preserve">to </w:t>
      </w:r>
      <w:r>
        <w:rPr>
          <w:rFonts w:hint="eastAsia"/>
          <w:sz w:val="24"/>
        </w:rPr>
        <w:t>enhance endogenous economic</w:t>
      </w:r>
      <w:r>
        <w:rPr>
          <w:sz w:val="24"/>
        </w:rPr>
        <w:t>-</w:t>
      </w:r>
      <w:r>
        <w:rPr>
          <w:rFonts w:hint="eastAsia"/>
          <w:sz w:val="24"/>
        </w:rPr>
        <w:t xml:space="preserve">growth momentum, and </w:t>
      </w:r>
      <w:r>
        <w:rPr>
          <w:sz w:val="24"/>
        </w:rPr>
        <w:t xml:space="preserve">to </w:t>
      </w:r>
      <w:r>
        <w:rPr>
          <w:rFonts w:hint="eastAsia"/>
          <w:sz w:val="24"/>
        </w:rPr>
        <w:t>promote healthy development of the real economy.</w:t>
      </w:r>
    </w:p>
    <w:p w:rsidR="008451C7" w:rsidRDefault="008451C7" w:rsidP="008451C7">
      <w:pPr>
        <w:spacing w:line="360" w:lineRule="auto"/>
        <w:rPr>
          <w:color w:val="0000FF"/>
          <w:sz w:val="24"/>
        </w:rPr>
      </w:pPr>
    </w:p>
    <w:p w:rsidR="008451C7" w:rsidRDefault="008451C7" w:rsidP="008451C7">
      <w:pPr>
        <w:pStyle w:val="2"/>
        <w:spacing w:line="360" w:lineRule="auto"/>
        <w:ind w:firstLineChars="0" w:firstLine="0"/>
        <w:rPr>
          <w:rFonts w:ascii="Times New Roman" w:eastAsia="SimSun" w:hAnsi="Times New Roman"/>
          <w:bCs w:val="0"/>
          <w:sz w:val="24"/>
          <w:szCs w:val="24"/>
        </w:rPr>
      </w:pPr>
      <w:bookmarkStart w:id="43" w:name="_Toc532201085"/>
      <w:r>
        <w:rPr>
          <w:rFonts w:ascii="Times New Roman" w:eastAsia="SimSun" w:hAnsi="Times New Roman"/>
          <w:bCs w:val="0"/>
          <w:sz w:val="24"/>
          <w:szCs w:val="24"/>
        </w:rPr>
        <w:t>IV. Further improving the framework for macro-prudential policies</w:t>
      </w:r>
      <w:bookmarkEnd w:id="43"/>
    </w:p>
    <w:p w:rsidR="008451C7" w:rsidRDefault="008451C7" w:rsidP="008451C7">
      <w:pPr>
        <w:spacing w:line="360" w:lineRule="auto"/>
        <w:rPr>
          <w:sz w:val="24"/>
        </w:rPr>
      </w:pPr>
      <w:r>
        <w:rPr>
          <w:b/>
          <w:bCs/>
          <w:sz w:val="24"/>
        </w:rPr>
        <w:t xml:space="preserve">The </w:t>
      </w:r>
      <w:r>
        <w:rPr>
          <w:rFonts w:hint="eastAsia"/>
          <w:b/>
          <w:bCs/>
          <w:sz w:val="24"/>
        </w:rPr>
        <w:t xml:space="preserve">MPA played the role of </w:t>
      </w:r>
      <w:r>
        <w:rPr>
          <w:b/>
          <w:bCs/>
          <w:sz w:val="24"/>
        </w:rPr>
        <w:t xml:space="preserve">a </w:t>
      </w:r>
      <w:r>
        <w:rPr>
          <w:rFonts w:hint="eastAsia"/>
          <w:b/>
          <w:bCs/>
          <w:sz w:val="24"/>
        </w:rPr>
        <w:t xml:space="preserve">counter-cyclical adjustment. </w:t>
      </w:r>
      <w:r>
        <w:rPr>
          <w:b/>
          <w:bCs/>
          <w:sz w:val="24"/>
        </w:rPr>
        <w:t xml:space="preserve">The </w:t>
      </w:r>
      <w:r>
        <w:rPr>
          <w:rFonts w:hint="eastAsia"/>
          <w:sz w:val="24"/>
        </w:rPr>
        <w:t xml:space="preserve">MPA parameters were adjusted to guide financial institutions to increase support for the real economy, especially </w:t>
      </w:r>
      <w:r>
        <w:rPr>
          <w:sz w:val="24"/>
        </w:rPr>
        <w:t xml:space="preserve">the </w:t>
      </w:r>
      <w:r>
        <w:rPr>
          <w:rFonts w:hint="eastAsia"/>
          <w:sz w:val="24"/>
        </w:rPr>
        <w:t>weak links such as small and micro enterprises</w:t>
      </w:r>
      <w:r>
        <w:rPr>
          <w:sz w:val="24"/>
        </w:rPr>
        <w:t>. It was encouraged that e</w:t>
      </w:r>
      <w:r>
        <w:rPr>
          <w:rFonts w:hint="eastAsia"/>
          <w:sz w:val="24"/>
        </w:rPr>
        <w:t xml:space="preserve">ligible off-balance-sheet assets </w:t>
      </w:r>
      <w:r>
        <w:rPr>
          <w:sz w:val="24"/>
        </w:rPr>
        <w:t xml:space="preserve">be moved back to </w:t>
      </w:r>
      <w:r>
        <w:rPr>
          <w:rFonts w:hint="eastAsia"/>
          <w:sz w:val="24"/>
        </w:rPr>
        <w:t xml:space="preserve">the balance sheet. </w:t>
      </w:r>
      <w:r>
        <w:rPr>
          <w:sz w:val="24"/>
        </w:rPr>
        <w:t>The i</w:t>
      </w:r>
      <w:r>
        <w:rPr>
          <w:rFonts w:hint="eastAsia"/>
          <w:sz w:val="24"/>
        </w:rPr>
        <w:t xml:space="preserve">ndicator structures were optimized to encourage financial institutions to implement the </w:t>
      </w:r>
      <w:r>
        <w:rPr>
          <w:sz w:val="24"/>
        </w:rPr>
        <w:t>n</w:t>
      </w:r>
      <w:r>
        <w:rPr>
          <w:rFonts w:hint="eastAsia"/>
          <w:sz w:val="24"/>
        </w:rPr>
        <w:t xml:space="preserve">ew </w:t>
      </w:r>
      <w:r>
        <w:rPr>
          <w:sz w:val="24"/>
        </w:rPr>
        <w:t>r</w:t>
      </w:r>
      <w:r>
        <w:rPr>
          <w:rFonts w:hint="eastAsia"/>
          <w:sz w:val="24"/>
        </w:rPr>
        <w:t xml:space="preserve">egulations on </w:t>
      </w:r>
      <w:r>
        <w:rPr>
          <w:sz w:val="24"/>
        </w:rPr>
        <w:t>a</w:t>
      </w:r>
      <w:r>
        <w:rPr>
          <w:rFonts w:hint="eastAsia"/>
          <w:sz w:val="24"/>
        </w:rPr>
        <w:t xml:space="preserve">sset </w:t>
      </w:r>
      <w:r>
        <w:rPr>
          <w:sz w:val="24"/>
        </w:rPr>
        <w:t>m</w:t>
      </w:r>
      <w:r>
        <w:rPr>
          <w:rFonts w:hint="eastAsia"/>
          <w:sz w:val="24"/>
        </w:rPr>
        <w:t xml:space="preserve">anagement and debt-to-equity swaps, </w:t>
      </w:r>
      <w:r>
        <w:rPr>
          <w:sz w:val="24"/>
        </w:rPr>
        <w:t>and so forth</w:t>
      </w:r>
      <w:r>
        <w:rPr>
          <w:rFonts w:hint="eastAsia"/>
          <w:sz w:val="24"/>
        </w:rPr>
        <w:t>.</w:t>
      </w:r>
    </w:p>
    <w:p w:rsidR="008451C7" w:rsidRDefault="008451C7" w:rsidP="008451C7">
      <w:pPr>
        <w:spacing w:line="360" w:lineRule="auto"/>
        <w:rPr>
          <w:color w:val="0000FF"/>
          <w:sz w:val="24"/>
        </w:rPr>
      </w:pPr>
    </w:p>
    <w:p w:rsidR="008451C7" w:rsidRDefault="008451C7" w:rsidP="008451C7">
      <w:pPr>
        <w:spacing w:line="360" w:lineRule="auto"/>
        <w:rPr>
          <w:sz w:val="24"/>
        </w:rPr>
      </w:pPr>
      <w:r>
        <w:rPr>
          <w:rFonts w:hint="eastAsia"/>
          <w:b/>
          <w:bCs/>
          <w:sz w:val="24"/>
        </w:rPr>
        <w:lastRenderedPageBreak/>
        <w:t>The foreign</w:t>
      </w:r>
      <w:r>
        <w:rPr>
          <w:b/>
          <w:bCs/>
          <w:sz w:val="24"/>
        </w:rPr>
        <w:t>-</w:t>
      </w:r>
      <w:r>
        <w:rPr>
          <w:rFonts w:hint="eastAsia"/>
          <w:b/>
          <w:bCs/>
          <w:sz w:val="24"/>
        </w:rPr>
        <w:t>exchange risk reserve ratio was adjusted in a timely manner.</w:t>
      </w:r>
      <w:r>
        <w:rPr>
          <w:rFonts w:hint="eastAsia"/>
          <w:sz w:val="24"/>
        </w:rPr>
        <w:t xml:space="preserve"> Since Q2 2018, due to factors such as trade </w:t>
      </w:r>
      <w:r>
        <w:rPr>
          <w:sz w:val="24"/>
        </w:rPr>
        <w:t>tension</w:t>
      </w:r>
      <w:r>
        <w:rPr>
          <w:rFonts w:hint="eastAsia"/>
          <w:sz w:val="24"/>
        </w:rPr>
        <w:t>s and changes in the international foreign</w:t>
      </w:r>
      <w:r>
        <w:rPr>
          <w:sz w:val="24"/>
        </w:rPr>
        <w:t>-</w:t>
      </w:r>
      <w:r>
        <w:rPr>
          <w:rFonts w:hint="eastAsia"/>
          <w:sz w:val="24"/>
        </w:rPr>
        <w:t xml:space="preserve"> exchange market, there have been signs of pro-cyclical fluctuations in the foreign</w:t>
      </w:r>
      <w:r>
        <w:rPr>
          <w:sz w:val="24"/>
        </w:rPr>
        <w:t>-</w:t>
      </w:r>
      <w:r>
        <w:rPr>
          <w:rFonts w:hint="eastAsia"/>
          <w:sz w:val="24"/>
        </w:rPr>
        <w:t xml:space="preserve"> exchange market. In order to prevent macro financial risks, promote </w:t>
      </w:r>
      <w:r>
        <w:rPr>
          <w:sz w:val="24"/>
        </w:rPr>
        <w:t>the sound</w:t>
      </w:r>
      <w:r>
        <w:rPr>
          <w:rFonts w:hint="eastAsia"/>
          <w:sz w:val="24"/>
        </w:rPr>
        <w:t xml:space="preserve"> management of financial institutions</w:t>
      </w:r>
      <w:r>
        <w:rPr>
          <w:sz w:val="24"/>
        </w:rPr>
        <w:t>,</w:t>
      </w:r>
      <w:r>
        <w:rPr>
          <w:rFonts w:hint="eastAsia"/>
          <w:sz w:val="24"/>
        </w:rPr>
        <w:t xml:space="preserve"> and strengthen macro-prudential management, the PBC decided to adjust the foreign</w:t>
      </w:r>
      <w:r>
        <w:rPr>
          <w:sz w:val="24"/>
        </w:rPr>
        <w:t>-</w:t>
      </w:r>
      <w:r>
        <w:rPr>
          <w:rFonts w:hint="eastAsia"/>
          <w:sz w:val="24"/>
        </w:rPr>
        <w:t xml:space="preserve">exchange risk reserve ratio </w:t>
      </w:r>
      <w:r>
        <w:rPr>
          <w:sz w:val="24"/>
        </w:rPr>
        <w:t>for</w:t>
      </w:r>
      <w:r>
        <w:rPr>
          <w:rFonts w:hint="eastAsia"/>
          <w:sz w:val="24"/>
        </w:rPr>
        <w:t xml:space="preserve"> forward foreign</w:t>
      </w:r>
      <w:r>
        <w:rPr>
          <w:sz w:val="24"/>
        </w:rPr>
        <w:t>-</w:t>
      </w:r>
      <w:r>
        <w:rPr>
          <w:rFonts w:hint="eastAsia"/>
          <w:sz w:val="24"/>
        </w:rPr>
        <w:t xml:space="preserve"> exchange sale business from 0 to 20</w:t>
      </w:r>
      <w:r>
        <w:rPr>
          <w:sz w:val="24"/>
        </w:rPr>
        <w:t xml:space="preserve"> percent, starting</w:t>
      </w:r>
      <w:r>
        <w:rPr>
          <w:rFonts w:hint="eastAsia"/>
          <w:sz w:val="24"/>
        </w:rPr>
        <w:t xml:space="preserve"> from August 6.</w:t>
      </w:r>
    </w:p>
    <w:p w:rsidR="008451C7" w:rsidRDefault="008451C7" w:rsidP="008451C7">
      <w:pPr>
        <w:spacing w:line="360" w:lineRule="auto"/>
        <w:rPr>
          <w:color w:val="0000FF"/>
          <w:sz w:val="24"/>
        </w:rPr>
      </w:pPr>
    </w:p>
    <w:p w:rsidR="008451C7" w:rsidRDefault="008451C7" w:rsidP="008451C7">
      <w:pPr>
        <w:spacing w:line="360" w:lineRule="auto"/>
        <w:rPr>
          <w:sz w:val="24"/>
        </w:rPr>
      </w:pPr>
      <w:r>
        <w:rPr>
          <w:b/>
          <w:bCs/>
          <w:sz w:val="24"/>
        </w:rPr>
        <w:t>S</w:t>
      </w:r>
      <w:r>
        <w:rPr>
          <w:rFonts w:hint="eastAsia"/>
          <w:b/>
          <w:bCs/>
          <w:sz w:val="24"/>
        </w:rPr>
        <w:t xml:space="preserve">mooth implementation of the </w:t>
      </w:r>
      <w:r>
        <w:rPr>
          <w:b/>
          <w:bCs/>
          <w:sz w:val="24"/>
        </w:rPr>
        <w:t>n</w:t>
      </w:r>
      <w:r>
        <w:rPr>
          <w:rFonts w:hint="eastAsia"/>
          <w:b/>
          <w:bCs/>
          <w:sz w:val="24"/>
        </w:rPr>
        <w:t xml:space="preserve">ew </w:t>
      </w:r>
      <w:r>
        <w:rPr>
          <w:b/>
          <w:bCs/>
          <w:sz w:val="24"/>
        </w:rPr>
        <w:t>r</w:t>
      </w:r>
      <w:r>
        <w:rPr>
          <w:rFonts w:hint="eastAsia"/>
          <w:b/>
          <w:bCs/>
          <w:sz w:val="24"/>
        </w:rPr>
        <w:t xml:space="preserve">egulations on </w:t>
      </w:r>
      <w:r>
        <w:rPr>
          <w:b/>
          <w:bCs/>
          <w:sz w:val="24"/>
        </w:rPr>
        <w:t>a</w:t>
      </w:r>
      <w:r>
        <w:rPr>
          <w:rFonts w:hint="eastAsia"/>
          <w:b/>
          <w:bCs/>
          <w:sz w:val="24"/>
        </w:rPr>
        <w:t xml:space="preserve">sset </w:t>
      </w:r>
      <w:r>
        <w:rPr>
          <w:b/>
          <w:bCs/>
          <w:sz w:val="24"/>
        </w:rPr>
        <w:t>m</w:t>
      </w:r>
      <w:r>
        <w:rPr>
          <w:rFonts w:hint="eastAsia"/>
          <w:b/>
          <w:bCs/>
          <w:sz w:val="24"/>
        </w:rPr>
        <w:t>anagement</w:t>
      </w:r>
      <w:r>
        <w:rPr>
          <w:b/>
          <w:bCs/>
          <w:sz w:val="24"/>
        </w:rPr>
        <w:t xml:space="preserve"> was steadily promoted</w:t>
      </w:r>
      <w:r>
        <w:rPr>
          <w:rFonts w:hint="eastAsia"/>
          <w:b/>
          <w:bCs/>
          <w:sz w:val="24"/>
        </w:rPr>
        <w:t>.</w:t>
      </w:r>
      <w:r>
        <w:rPr>
          <w:rFonts w:hint="eastAsia"/>
          <w:sz w:val="24"/>
        </w:rPr>
        <w:t xml:space="preserve"> On April 27, the </w:t>
      </w:r>
      <w:r>
        <w:rPr>
          <w:sz w:val="24"/>
        </w:rPr>
        <w:t>PBC</w:t>
      </w:r>
      <w:r>
        <w:rPr>
          <w:rFonts w:hint="eastAsia"/>
          <w:sz w:val="24"/>
        </w:rPr>
        <w:t xml:space="preserve">, China Banking and Insurance Regulatory Commission, </w:t>
      </w:r>
      <w:r>
        <w:rPr>
          <w:sz w:val="24"/>
        </w:rPr>
        <w:t xml:space="preserve">the </w:t>
      </w:r>
      <w:r>
        <w:rPr>
          <w:rFonts w:hint="eastAsia"/>
          <w:sz w:val="24"/>
        </w:rPr>
        <w:t xml:space="preserve">China Securities Regulatory Commission, and the State Administration of Foreign Exchange jointly issued the </w:t>
      </w:r>
      <w:r>
        <w:rPr>
          <w:rFonts w:hint="eastAsia"/>
          <w:i/>
          <w:iCs/>
          <w:sz w:val="24"/>
        </w:rPr>
        <w:t>Guid</w:t>
      </w:r>
      <w:r>
        <w:rPr>
          <w:i/>
          <w:iCs/>
          <w:sz w:val="24"/>
        </w:rPr>
        <w:t>ing Opinions</w:t>
      </w:r>
      <w:r>
        <w:rPr>
          <w:rFonts w:hint="eastAsia"/>
          <w:i/>
          <w:iCs/>
          <w:sz w:val="24"/>
        </w:rPr>
        <w:t xml:space="preserve"> on Regulating </w:t>
      </w:r>
      <w:r>
        <w:rPr>
          <w:i/>
          <w:iCs/>
          <w:sz w:val="24"/>
        </w:rPr>
        <w:t xml:space="preserve">the </w:t>
      </w:r>
      <w:r>
        <w:rPr>
          <w:rFonts w:hint="eastAsia"/>
          <w:i/>
          <w:iCs/>
          <w:sz w:val="24"/>
        </w:rPr>
        <w:t>Asset Management Business of Financial Institutions</w:t>
      </w:r>
      <w:r>
        <w:rPr>
          <w:rFonts w:hint="eastAsia"/>
          <w:sz w:val="24"/>
        </w:rPr>
        <w:t xml:space="preserve"> (hereafter referred to as the </w:t>
      </w:r>
      <w:r>
        <w:rPr>
          <w:sz w:val="24"/>
        </w:rPr>
        <w:t>n</w:t>
      </w:r>
      <w:r>
        <w:rPr>
          <w:rFonts w:hint="eastAsia"/>
          <w:sz w:val="24"/>
        </w:rPr>
        <w:t xml:space="preserve">ew </w:t>
      </w:r>
      <w:r>
        <w:rPr>
          <w:sz w:val="24"/>
        </w:rPr>
        <w:t>r</w:t>
      </w:r>
      <w:r>
        <w:rPr>
          <w:rFonts w:hint="eastAsia"/>
          <w:sz w:val="24"/>
        </w:rPr>
        <w:t xml:space="preserve">egulations on </w:t>
      </w:r>
      <w:r>
        <w:rPr>
          <w:sz w:val="24"/>
        </w:rPr>
        <w:t>a</w:t>
      </w:r>
      <w:r>
        <w:rPr>
          <w:rFonts w:hint="eastAsia"/>
          <w:sz w:val="24"/>
        </w:rPr>
        <w:t xml:space="preserve">sset </w:t>
      </w:r>
      <w:r>
        <w:rPr>
          <w:sz w:val="24"/>
        </w:rPr>
        <w:t>m</w:t>
      </w:r>
      <w:r>
        <w:rPr>
          <w:rFonts w:hint="eastAsia"/>
          <w:sz w:val="24"/>
        </w:rPr>
        <w:t xml:space="preserve">anagement), and unified the regulatory standards based on the categories of the asset management products to make up for regulatory defects, </w:t>
      </w:r>
      <w:r>
        <w:rPr>
          <w:sz w:val="24"/>
        </w:rPr>
        <w:t xml:space="preserve">to </w:t>
      </w:r>
      <w:r>
        <w:rPr>
          <w:rFonts w:hint="eastAsia"/>
          <w:sz w:val="24"/>
        </w:rPr>
        <w:t xml:space="preserve">tackle market chaos, and </w:t>
      </w:r>
      <w:r>
        <w:rPr>
          <w:sz w:val="24"/>
        </w:rPr>
        <w:t xml:space="preserve">to </w:t>
      </w:r>
      <w:r>
        <w:rPr>
          <w:rFonts w:hint="eastAsia"/>
          <w:sz w:val="24"/>
        </w:rPr>
        <w:t xml:space="preserve">prevent systemic risks. On July 20, </w:t>
      </w:r>
      <w:r>
        <w:rPr>
          <w:sz w:val="24"/>
        </w:rPr>
        <w:t xml:space="preserve">to </w:t>
      </w:r>
      <w:r>
        <w:rPr>
          <w:rFonts w:hint="eastAsia"/>
          <w:sz w:val="24"/>
        </w:rPr>
        <w:t xml:space="preserve">better implement the </w:t>
      </w:r>
      <w:r>
        <w:rPr>
          <w:sz w:val="24"/>
        </w:rPr>
        <w:t>n</w:t>
      </w:r>
      <w:r>
        <w:rPr>
          <w:rFonts w:hint="eastAsia"/>
          <w:sz w:val="24"/>
        </w:rPr>
        <w:t xml:space="preserve">ew </w:t>
      </w:r>
      <w:r>
        <w:rPr>
          <w:sz w:val="24"/>
        </w:rPr>
        <w:t>r</w:t>
      </w:r>
      <w:r>
        <w:rPr>
          <w:rFonts w:hint="eastAsia"/>
          <w:sz w:val="24"/>
        </w:rPr>
        <w:t xml:space="preserve">egulations on </w:t>
      </w:r>
      <w:r>
        <w:rPr>
          <w:sz w:val="24"/>
        </w:rPr>
        <w:t>a</w:t>
      </w:r>
      <w:r>
        <w:rPr>
          <w:rFonts w:hint="eastAsia"/>
          <w:sz w:val="24"/>
        </w:rPr>
        <w:t xml:space="preserve">sset </w:t>
      </w:r>
      <w:r>
        <w:rPr>
          <w:sz w:val="24"/>
        </w:rPr>
        <w:t>m</w:t>
      </w:r>
      <w:r>
        <w:rPr>
          <w:rFonts w:hint="eastAsia"/>
          <w:sz w:val="24"/>
        </w:rPr>
        <w:t>anagement and to ensure a smooth transition under the circumstances of a declining growth rate of stock of all-system financing aggregates, the PBC issued the</w:t>
      </w:r>
      <w:r>
        <w:rPr>
          <w:rFonts w:hint="eastAsia"/>
          <w:i/>
          <w:iCs/>
          <w:sz w:val="24"/>
        </w:rPr>
        <w:t xml:space="preserve"> Notice of the General Office of the People's Bank of China on Further Clarifying Matters Related to the Guiding Opinions for Regulating </w:t>
      </w:r>
      <w:r>
        <w:rPr>
          <w:i/>
          <w:iCs/>
          <w:sz w:val="24"/>
        </w:rPr>
        <w:t xml:space="preserve">the </w:t>
      </w:r>
      <w:r>
        <w:rPr>
          <w:rFonts w:hint="eastAsia"/>
          <w:i/>
          <w:iCs/>
          <w:sz w:val="24"/>
        </w:rPr>
        <w:t>Asset Management Business of Financial Institutions</w:t>
      </w:r>
      <w:r>
        <w:rPr>
          <w:rFonts w:hint="eastAsia"/>
          <w:sz w:val="24"/>
        </w:rPr>
        <w:t xml:space="preserve"> (hereafter referred to as the </w:t>
      </w:r>
      <w:r>
        <w:rPr>
          <w:sz w:val="24"/>
        </w:rPr>
        <w:t>“</w:t>
      </w:r>
      <w:r>
        <w:rPr>
          <w:rFonts w:hint="eastAsia"/>
          <w:sz w:val="24"/>
        </w:rPr>
        <w:t>Notice</w:t>
      </w:r>
      <w:r>
        <w:rPr>
          <w:sz w:val="24"/>
        </w:rPr>
        <w:t>”)</w:t>
      </w:r>
      <w:r>
        <w:rPr>
          <w:rFonts w:hint="eastAsia"/>
          <w:sz w:val="24"/>
        </w:rPr>
        <w:t xml:space="preserve"> to clarify specific operational issues during the transition period. The Notice further explain</w:t>
      </w:r>
      <w:r>
        <w:rPr>
          <w:sz w:val="24"/>
        </w:rPr>
        <w:t>s</w:t>
      </w:r>
      <w:r>
        <w:rPr>
          <w:rFonts w:hint="eastAsia"/>
          <w:sz w:val="24"/>
        </w:rPr>
        <w:t xml:space="preserve"> the investment scope of public asset management products</w:t>
      </w:r>
      <w:r>
        <w:rPr>
          <w:sz w:val="24"/>
        </w:rPr>
        <w:t xml:space="preserve"> and</w:t>
      </w:r>
      <w:r>
        <w:rPr>
          <w:rFonts w:hint="eastAsia"/>
          <w:sz w:val="24"/>
        </w:rPr>
        <w:t xml:space="preserve"> clarifie</w:t>
      </w:r>
      <w:r>
        <w:rPr>
          <w:sz w:val="24"/>
        </w:rPr>
        <w:t>s</w:t>
      </w:r>
      <w:r>
        <w:rPr>
          <w:rFonts w:hint="eastAsia"/>
          <w:sz w:val="24"/>
        </w:rPr>
        <w:t xml:space="preserve"> that financial institutions </w:t>
      </w:r>
      <w:r>
        <w:rPr>
          <w:sz w:val="24"/>
        </w:rPr>
        <w:t>are</w:t>
      </w:r>
      <w:r>
        <w:rPr>
          <w:rFonts w:hint="eastAsia"/>
          <w:sz w:val="24"/>
        </w:rPr>
        <w:t xml:space="preserve"> eligible to issue old products and </w:t>
      </w:r>
      <w:r>
        <w:rPr>
          <w:sz w:val="24"/>
        </w:rPr>
        <w:t xml:space="preserve">to </w:t>
      </w:r>
      <w:r>
        <w:rPr>
          <w:rFonts w:hint="eastAsia"/>
          <w:sz w:val="24"/>
        </w:rPr>
        <w:t xml:space="preserve">invest in new assets during the transition period, </w:t>
      </w:r>
      <w:r>
        <w:rPr>
          <w:sz w:val="24"/>
        </w:rPr>
        <w:t>to give</w:t>
      </w:r>
      <w:r>
        <w:rPr>
          <w:rFonts w:hint="eastAsia"/>
          <w:sz w:val="24"/>
        </w:rPr>
        <w:t xml:space="preserve"> priority to the financing needs of national key areas, major </w:t>
      </w:r>
      <w:r>
        <w:rPr>
          <w:sz w:val="24"/>
        </w:rPr>
        <w:t>ongoing</w:t>
      </w:r>
      <w:r>
        <w:rPr>
          <w:rFonts w:hint="eastAsia"/>
          <w:sz w:val="24"/>
        </w:rPr>
        <w:t xml:space="preserve"> construction projects</w:t>
      </w:r>
      <w:r>
        <w:rPr>
          <w:sz w:val="24"/>
        </w:rPr>
        <w:t>, and</w:t>
      </w:r>
      <w:r>
        <w:rPr>
          <w:rFonts w:hint="eastAsia"/>
          <w:sz w:val="24"/>
        </w:rPr>
        <w:t xml:space="preserve"> micro-</w:t>
      </w:r>
      <w:r>
        <w:rPr>
          <w:sz w:val="24"/>
        </w:rPr>
        <w:t xml:space="preserve">, </w:t>
      </w:r>
      <w:r>
        <w:rPr>
          <w:rFonts w:hint="eastAsia"/>
          <w:sz w:val="24"/>
        </w:rPr>
        <w:t>small</w:t>
      </w:r>
      <w:r>
        <w:rPr>
          <w:sz w:val="24"/>
        </w:rPr>
        <w:t>-,</w:t>
      </w:r>
      <w:r>
        <w:rPr>
          <w:rFonts w:hint="eastAsia"/>
          <w:sz w:val="24"/>
        </w:rPr>
        <w:t xml:space="preserve"> and medium-sized enterprises. </w:t>
      </w:r>
      <w:r w:rsidRPr="00F513FF">
        <w:rPr>
          <w:sz w:val="24"/>
        </w:rPr>
        <w:t>The Notice also clarifie</w:t>
      </w:r>
      <w:r>
        <w:rPr>
          <w:sz w:val="24"/>
        </w:rPr>
        <w:t>s</w:t>
      </w:r>
      <w:r w:rsidRPr="00F513FF">
        <w:rPr>
          <w:sz w:val="24"/>
        </w:rPr>
        <w:t xml:space="preserve"> that </w:t>
      </w:r>
      <w:r>
        <w:rPr>
          <w:sz w:val="24"/>
        </w:rPr>
        <w:t xml:space="preserve">regular </w:t>
      </w:r>
      <w:r w:rsidRPr="00F513FF">
        <w:rPr>
          <w:sz w:val="24"/>
        </w:rPr>
        <w:t>open</w:t>
      </w:r>
      <w:r>
        <w:rPr>
          <w:sz w:val="24"/>
        </w:rPr>
        <w:t xml:space="preserve">-end </w:t>
      </w:r>
      <w:r w:rsidRPr="00F513FF">
        <w:rPr>
          <w:sz w:val="24"/>
        </w:rPr>
        <w:t>asset management products with a lockup period of over half a year, held-to-maturity bonds invested for the purpose of collecting contractual cash flows</w:t>
      </w:r>
      <w:r>
        <w:rPr>
          <w:sz w:val="24"/>
        </w:rPr>
        <w:t>,</w:t>
      </w:r>
      <w:r w:rsidRPr="00F513FF">
        <w:rPr>
          <w:sz w:val="24"/>
        </w:rPr>
        <w:t xml:space="preserve"> and bank cash-management-type wealth management products can be calculated by amortized </w:t>
      </w:r>
      <w:r w:rsidRPr="00F513FF">
        <w:rPr>
          <w:sz w:val="24"/>
        </w:rPr>
        <w:lastRenderedPageBreak/>
        <w:t>cost</w:t>
      </w:r>
      <w:r>
        <w:rPr>
          <w:sz w:val="24"/>
        </w:rPr>
        <w:t>s</w:t>
      </w:r>
      <w:r w:rsidRPr="00F513FF">
        <w:rPr>
          <w:sz w:val="24"/>
        </w:rPr>
        <w:t xml:space="preserve">. The Notice </w:t>
      </w:r>
      <w:r>
        <w:rPr>
          <w:sz w:val="24"/>
        </w:rPr>
        <w:t>introduces</w:t>
      </w:r>
      <w:r w:rsidRPr="00F513FF">
        <w:rPr>
          <w:sz w:val="24"/>
        </w:rPr>
        <w:t xml:space="preserve"> the macro-prudential policy arrangement of including non-standard assets on the balance sheet </w:t>
      </w:r>
      <w:r>
        <w:rPr>
          <w:sz w:val="24"/>
        </w:rPr>
        <w:t xml:space="preserve">and of an </w:t>
      </w:r>
      <w:r w:rsidRPr="00F513FF">
        <w:rPr>
          <w:sz w:val="24"/>
        </w:rPr>
        <w:t xml:space="preserve">independent and orderly rectification, conveying to the society a positive sign of supporting </w:t>
      </w:r>
      <w:r>
        <w:rPr>
          <w:sz w:val="24"/>
        </w:rPr>
        <w:t xml:space="preserve">the </w:t>
      </w:r>
      <w:r w:rsidRPr="00F513FF">
        <w:rPr>
          <w:sz w:val="24"/>
        </w:rPr>
        <w:t xml:space="preserve">financing of the real economy. After issuance of the Notice, the issuance of asset management products accelerated, some of the investments </w:t>
      </w:r>
      <w:r>
        <w:rPr>
          <w:sz w:val="24"/>
        </w:rPr>
        <w:t xml:space="preserve">that had been </w:t>
      </w:r>
      <w:r w:rsidRPr="00F513FF">
        <w:rPr>
          <w:sz w:val="24"/>
        </w:rPr>
        <w:t xml:space="preserve">suspended </w:t>
      </w:r>
      <w:r>
        <w:rPr>
          <w:sz w:val="24"/>
        </w:rPr>
        <w:t>because</w:t>
      </w:r>
      <w:r w:rsidRPr="00F513FF">
        <w:rPr>
          <w:sz w:val="24"/>
        </w:rPr>
        <w:t xml:space="preserve"> organizations </w:t>
      </w:r>
      <w:r>
        <w:rPr>
          <w:sz w:val="24"/>
        </w:rPr>
        <w:t xml:space="preserve">were </w:t>
      </w:r>
      <w:r w:rsidRPr="00F513FF">
        <w:rPr>
          <w:sz w:val="24"/>
        </w:rPr>
        <w:t>taking a wait-and-see attitude</w:t>
      </w:r>
      <w:r>
        <w:rPr>
          <w:sz w:val="24"/>
        </w:rPr>
        <w:t xml:space="preserve"> </w:t>
      </w:r>
      <w:r w:rsidRPr="00F513FF">
        <w:rPr>
          <w:sz w:val="24"/>
        </w:rPr>
        <w:t>recovered, and market confidence was boosted. Meanwhile, the PBC and financial regulators strengthened communication</w:t>
      </w:r>
      <w:r>
        <w:rPr>
          <w:sz w:val="24"/>
        </w:rPr>
        <w:t>s</w:t>
      </w:r>
      <w:r w:rsidRPr="00F513FF">
        <w:rPr>
          <w:sz w:val="24"/>
        </w:rPr>
        <w:t xml:space="preserve"> and coordination to promote the introduction of supporting rules. On September 28, the China Banking and Insurance Regulatory Commission issued the </w:t>
      </w:r>
      <w:r w:rsidRPr="00F513FF">
        <w:rPr>
          <w:i/>
          <w:iCs/>
          <w:sz w:val="24"/>
        </w:rPr>
        <w:t>Measures for the Supervision and Regulation of the Wealth Management Business of Commercial Banks</w:t>
      </w:r>
      <w:r w:rsidRPr="00F513FF">
        <w:rPr>
          <w:sz w:val="24"/>
        </w:rPr>
        <w:t xml:space="preserve">, which </w:t>
      </w:r>
      <w:r>
        <w:rPr>
          <w:sz w:val="24"/>
        </w:rPr>
        <w:t>are</w:t>
      </w:r>
      <w:r w:rsidRPr="00F513FF">
        <w:rPr>
          <w:sz w:val="24"/>
        </w:rPr>
        <w:t xml:space="preserve"> consistent with the</w:t>
      </w:r>
      <w:r>
        <w:rPr>
          <w:sz w:val="24"/>
        </w:rPr>
        <w:t xml:space="preserve"> overall framework for the</w:t>
      </w:r>
      <w:r w:rsidRPr="00F513FF">
        <w:rPr>
          <w:sz w:val="24"/>
        </w:rPr>
        <w:t xml:space="preserve"> new regulations </w:t>
      </w:r>
      <w:r>
        <w:rPr>
          <w:sz w:val="24"/>
        </w:rPr>
        <w:t>on</w:t>
      </w:r>
      <w:r w:rsidRPr="00F513FF">
        <w:rPr>
          <w:rFonts w:hint="eastAsia"/>
          <w:sz w:val="24"/>
        </w:rPr>
        <w:t xml:space="preserve"> </w:t>
      </w:r>
      <w:r w:rsidRPr="00F513FF">
        <w:rPr>
          <w:sz w:val="24"/>
        </w:rPr>
        <w:t>a</w:t>
      </w:r>
      <w:r w:rsidRPr="00F513FF">
        <w:rPr>
          <w:rFonts w:hint="eastAsia"/>
          <w:sz w:val="24"/>
        </w:rPr>
        <w:t xml:space="preserve">sset </w:t>
      </w:r>
      <w:r w:rsidRPr="00F513FF">
        <w:rPr>
          <w:sz w:val="24"/>
        </w:rPr>
        <w:t>m</w:t>
      </w:r>
      <w:r w:rsidRPr="00F513FF">
        <w:rPr>
          <w:rFonts w:hint="eastAsia"/>
          <w:sz w:val="24"/>
        </w:rPr>
        <w:t>anagement</w:t>
      </w:r>
      <w:r>
        <w:rPr>
          <w:sz w:val="24"/>
        </w:rPr>
        <w:t>.</w:t>
      </w:r>
    </w:p>
    <w:p w:rsidR="008451C7" w:rsidRDefault="008451C7" w:rsidP="008451C7">
      <w:pPr>
        <w:spacing w:line="360" w:lineRule="auto"/>
        <w:rPr>
          <w:color w:val="0000FF"/>
          <w:sz w:val="24"/>
        </w:rPr>
      </w:pPr>
    </w:p>
    <w:p w:rsidR="008451C7" w:rsidRDefault="008451C7" w:rsidP="008451C7">
      <w:pPr>
        <w:pStyle w:val="2"/>
        <w:spacing w:line="360" w:lineRule="auto"/>
        <w:ind w:firstLineChars="0" w:firstLine="0"/>
        <w:rPr>
          <w:rFonts w:ascii="Times New Roman" w:eastAsia="SimSun" w:hAnsi="Times New Roman"/>
          <w:bCs w:val="0"/>
          <w:sz w:val="24"/>
          <w:szCs w:val="24"/>
        </w:rPr>
      </w:pPr>
      <w:bookmarkStart w:id="44" w:name="_Toc532201086"/>
      <w:r>
        <w:rPr>
          <w:rFonts w:ascii="Times New Roman" w:eastAsia="SimSun" w:hAnsi="Times New Roman"/>
          <w:bCs w:val="0"/>
          <w:sz w:val="24"/>
          <w:szCs w:val="24"/>
        </w:rPr>
        <w:t>V. Supporting and</w:t>
      </w:r>
      <w:r>
        <w:rPr>
          <w:rFonts w:ascii="Times New Roman" w:eastAsia="SimSun" w:hAnsi="Times New Roman" w:hint="eastAsia"/>
          <w:bCs w:val="0"/>
          <w:sz w:val="24"/>
          <w:szCs w:val="24"/>
        </w:rPr>
        <w:t xml:space="preserve"> increase</w:t>
      </w:r>
      <w:r>
        <w:rPr>
          <w:rFonts w:ascii="Times New Roman" w:eastAsia="SimSun" w:hAnsi="Times New Roman"/>
          <w:bCs w:val="0"/>
          <w:sz w:val="24"/>
          <w:szCs w:val="24"/>
        </w:rPr>
        <w:t>d</w:t>
      </w:r>
      <w:r>
        <w:rPr>
          <w:rFonts w:ascii="Times New Roman" w:eastAsia="SimSun" w:hAnsi="Times New Roman" w:hint="eastAsia"/>
          <w:bCs w:val="0"/>
          <w:sz w:val="24"/>
          <w:szCs w:val="24"/>
        </w:rPr>
        <w:t xml:space="preserve"> c</w:t>
      </w:r>
      <w:r>
        <w:rPr>
          <w:rFonts w:ascii="Times New Roman" w:eastAsia="SimSun" w:hAnsi="Times New Roman"/>
          <w:bCs w:val="0"/>
          <w:sz w:val="24"/>
          <w:szCs w:val="24"/>
        </w:rPr>
        <w:t>redit supply for</w:t>
      </w:r>
      <w:r>
        <w:rPr>
          <w:rFonts w:ascii="Times New Roman" w:eastAsia="SimSun" w:hAnsi="Times New Roman" w:hint="eastAsia"/>
          <w:bCs w:val="0"/>
          <w:sz w:val="24"/>
          <w:szCs w:val="24"/>
        </w:rPr>
        <w:t xml:space="preserve"> </w:t>
      </w:r>
      <w:r>
        <w:rPr>
          <w:rFonts w:ascii="Times New Roman" w:eastAsia="SimSun" w:hAnsi="Times New Roman"/>
          <w:bCs w:val="0"/>
          <w:sz w:val="24"/>
          <w:szCs w:val="24"/>
        </w:rPr>
        <w:t xml:space="preserve">key areas and weak sectors, </w:t>
      </w:r>
      <w:r>
        <w:rPr>
          <w:rFonts w:ascii="Times New Roman" w:eastAsia="SimSun" w:hAnsi="Times New Roman" w:hint="eastAsia"/>
          <w:bCs w:val="0"/>
          <w:sz w:val="24"/>
          <w:szCs w:val="24"/>
        </w:rPr>
        <w:t>such as small and micro businesses and private enterprises</w:t>
      </w:r>
      <w:bookmarkEnd w:id="44"/>
    </w:p>
    <w:p w:rsidR="008451C7" w:rsidRDefault="008451C7" w:rsidP="00B160B4">
      <w:pPr>
        <w:widowControl/>
        <w:spacing w:line="360" w:lineRule="auto"/>
        <w:rPr>
          <w:sz w:val="24"/>
        </w:rPr>
      </w:pPr>
      <w:r>
        <w:rPr>
          <w:rFonts w:hint="eastAsia"/>
          <w:sz w:val="24"/>
        </w:rPr>
        <w:t xml:space="preserve">The PBC actively used credit policies to enhance the effectiveness of central-bank lending, central-bank discounts, Pledged Supplementary Lending (PSL), and other policy instruments to guide financial institutions to increase support for small and micro businesses, agriculture, rural areas and </w:t>
      </w:r>
      <w:r>
        <w:rPr>
          <w:sz w:val="24"/>
        </w:rPr>
        <w:t>farmers</w:t>
      </w:r>
      <w:r>
        <w:rPr>
          <w:rFonts w:hint="eastAsia"/>
          <w:sz w:val="24"/>
        </w:rPr>
        <w:t xml:space="preserve">, poverty alleviation, renovation of shanty towns, and hydraulic projects. At end-September, outstanding central-bank </w:t>
      </w:r>
      <w:r>
        <w:rPr>
          <w:sz w:val="24"/>
        </w:rPr>
        <w:t>lending</w:t>
      </w:r>
      <w:r>
        <w:rPr>
          <w:rFonts w:hint="eastAsia"/>
          <w:sz w:val="24"/>
        </w:rPr>
        <w:t xml:space="preserve"> for agriculture, poverty alleviation, and small businesses posted RMB 268.1 billion, RMB 161.9 billion, and RMB 127.6 billion respectively, and outstanding central-bank discounts stood at RMB 216.2 billion. </w:t>
      </w:r>
      <w:r>
        <w:rPr>
          <w:sz w:val="24"/>
        </w:rPr>
        <w:t xml:space="preserve">During </w:t>
      </w:r>
      <w:r>
        <w:rPr>
          <w:rFonts w:hint="eastAsia"/>
          <w:sz w:val="24"/>
        </w:rPr>
        <w:t xml:space="preserve">the first three quarters, the PSLs provided to policy and development banks posted RMB 549.5 billion. The PSLs issued in </w:t>
      </w:r>
      <w:r>
        <w:rPr>
          <w:sz w:val="24"/>
        </w:rPr>
        <w:t xml:space="preserve">Q3 </w:t>
      </w:r>
      <w:r>
        <w:rPr>
          <w:rFonts w:hint="eastAsia"/>
          <w:sz w:val="24"/>
        </w:rPr>
        <w:t xml:space="preserve">registered RMB 51.9 billion and at quarter-end the outstanding PSLs registered RMB 3,237.1 billion. On October 22, the PBC expanded </w:t>
      </w:r>
      <w:r>
        <w:rPr>
          <w:sz w:val="24"/>
        </w:rPr>
        <w:t xml:space="preserve">central-bank lending and discounts </w:t>
      </w:r>
      <w:r>
        <w:rPr>
          <w:rFonts w:hint="eastAsia"/>
          <w:sz w:val="24"/>
        </w:rPr>
        <w:t>by</w:t>
      </w:r>
      <w:r>
        <w:rPr>
          <w:sz w:val="24"/>
        </w:rPr>
        <w:t xml:space="preserve"> another</w:t>
      </w:r>
      <w:r>
        <w:rPr>
          <w:rFonts w:hint="eastAsia"/>
          <w:sz w:val="24"/>
        </w:rPr>
        <w:t xml:space="preserve"> RMB 150 billion to play its role </w:t>
      </w:r>
      <w:r>
        <w:rPr>
          <w:sz w:val="24"/>
        </w:rPr>
        <w:t>of directional</w:t>
      </w:r>
      <w:r>
        <w:rPr>
          <w:rFonts w:hint="eastAsia"/>
          <w:sz w:val="24"/>
        </w:rPr>
        <w:t xml:space="preserve"> regulation and precise drip irrigation, </w:t>
      </w:r>
      <w:r>
        <w:rPr>
          <w:sz w:val="24"/>
        </w:rPr>
        <w:t xml:space="preserve">and to support </w:t>
      </w:r>
      <w:r>
        <w:rPr>
          <w:rFonts w:hint="eastAsia"/>
          <w:sz w:val="24"/>
        </w:rPr>
        <w:t xml:space="preserve">financial institutions </w:t>
      </w:r>
      <w:r>
        <w:rPr>
          <w:sz w:val="24"/>
        </w:rPr>
        <w:t xml:space="preserve">in expanding the </w:t>
      </w:r>
      <w:r>
        <w:rPr>
          <w:rFonts w:hint="eastAsia"/>
          <w:sz w:val="24"/>
        </w:rPr>
        <w:t xml:space="preserve">credit supply </w:t>
      </w:r>
      <w:r>
        <w:rPr>
          <w:sz w:val="24"/>
        </w:rPr>
        <w:t>to</w:t>
      </w:r>
      <w:r>
        <w:rPr>
          <w:rFonts w:hint="eastAsia"/>
          <w:sz w:val="24"/>
        </w:rPr>
        <w:t xml:space="preserve"> small and micro businesses and private enterprises.</w:t>
      </w:r>
      <w:r w:rsidRPr="00B160B4">
        <w:rPr>
          <w:sz w:val="24"/>
        </w:rPr>
        <w:t xml:space="preserve"> </w:t>
      </w:r>
    </w:p>
    <w:p w:rsidR="008451C7" w:rsidRDefault="008451C7" w:rsidP="008451C7">
      <w:pPr>
        <w:spacing w:line="360" w:lineRule="auto"/>
        <w:rPr>
          <w:color w:val="0000FF"/>
          <w:sz w:val="24"/>
        </w:rPr>
      </w:pPr>
    </w:p>
    <w:p w:rsidR="008451C7" w:rsidRDefault="008451C7" w:rsidP="008451C7">
      <w:pPr>
        <w:pStyle w:val="2"/>
        <w:spacing w:line="360" w:lineRule="auto"/>
        <w:ind w:firstLineChars="0" w:firstLine="0"/>
        <w:rPr>
          <w:rFonts w:ascii="Times New Roman" w:eastAsia="SimSun" w:hAnsi="Times New Roman"/>
          <w:bCs w:val="0"/>
          <w:sz w:val="24"/>
          <w:szCs w:val="24"/>
        </w:rPr>
      </w:pPr>
      <w:bookmarkStart w:id="45" w:name="_Toc532201087"/>
      <w:r>
        <w:rPr>
          <w:rFonts w:ascii="Times New Roman" w:eastAsia="SimSun" w:hAnsi="Times New Roman" w:hint="eastAsia"/>
          <w:bCs w:val="0"/>
          <w:sz w:val="24"/>
          <w:szCs w:val="24"/>
        </w:rPr>
        <w:t>VI. Window guidance and credit policies for structural guidance</w:t>
      </w:r>
      <w:bookmarkEnd w:id="45"/>
      <w:r>
        <w:rPr>
          <w:rFonts w:ascii="Times New Roman" w:eastAsia="SimSun" w:hAnsi="Times New Roman" w:hint="eastAsia"/>
          <w:bCs w:val="0"/>
          <w:sz w:val="24"/>
          <w:szCs w:val="24"/>
        </w:rPr>
        <w:t xml:space="preserve"> </w:t>
      </w:r>
    </w:p>
    <w:p w:rsidR="008451C7" w:rsidRDefault="008451C7" w:rsidP="008451C7">
      <w:pPr>
        <w:spacing w:line="360" w:lineRule="auto"/>
        <w:rPr>
          <w:sz w:val="24"/>
        </w:rPr>
      </w:pPr>
      <w:r>
        <w:rPr>
          <w:rFonts w:hint="eastAsia"/>
          <w:sz w:val="24"/>
        </w:rPr>
        <w:t xml:space="preserve">To implement the decisions of the CPC Central Committee and the State Council, the PBC combined the promotion of supply-side structural reforms with structural adjustments </w:t>
      </w:r>
      <w:r>
        <w:rPr>
          <w:sz w:val="24"/>
        </w:rPr>
        <w:t>to the</w:t>
      </w:r>
      <w:r>
        <w:rPr>
          <w:rFonts w:hint="eastAsia"/>
          <w:sz w:val="24"/>
        </w:rPr>
        <w:t xml:space="preserve"> credit policies to promote optimization of the economic structure and upgrading of the industrial structure, transformation of the energy mix, financial inclusiveness, and the people's livelihood, and to guide financial resources to key fields and important areas for economic and social development and to weak sectors so as to </w:t>
      </w:r>
      <w:r>
        <w:rPr>
          <w:sz w:val="24"/>
        </w:rPr>
        <w:t xml:space="preserve">effectively </w:t>
      </w:r>
      <w:r>
        <w:rPr>
          <w:rFonts w:hint="eastAsia"/>
          <w:sz w:val="24"/>
        </w:rPr>
        <w:t xml:space="preserve">meet the financing needs of the real economy. </w:t>
      </w:r>
      <w:r>
        <w:rPr>
          <w:rFonts w:hint="eastAsia"/>
          <w:b/>
          <w:bCs/>
          <w:sz w:val="24"/>
        </w:rPr>
        <w:t>First,</w:t>
      </w:r>
      <w:r>
        <w:rPr>
          <w:rFonts w:hint="eastAsia"/>
          <w:sz w:val="24"/>
        </w:rPr>
        <w:t xml:space="preserve"> </w:t>
      </w:r>
      <w:r>
        <w:rPr>
          <w:sz w:val="24"/>
        </w:rPr>
        <w:t>extensive</w:t>
      </w:r>
      <w:r>
        <w:rPr>
          <w:rFonts w:hint="eastAsia"/>
          <w:sz w:val="24"/>
        </w:rPr>
        <w:t xml:space="preserve"> efforts were made to provide financial support </w:t>
      </w:r>
      <w:r>
        <w:rPr>
          <w:sz w:val="24"/>
        </w:rPr>
        <w:t xml:space="preserve">to target </w:t>
      </w:r>
      <w:r>
        <w:rPr>
          <w:rFonts w:hint="eastAsia"/>
          <w:sz w:val="24"/>
        </w:rPr>
        <w:t xml:space="preserve">poverty reduction and alleviation. </w:t>
      </w:r>
      <w:bookmarkStart w:id="46" w:name="OLE_LINK12"/>
      <w:r>
        <w:rPr>
          <w:rFonts w:hint="eastAsia"/>
          <w:sz w:val="24"/>
        </w:rPr>
        <w:t>The PBC promoted financial support for poverty alleviation in deeply impoverished areas</w:t>
      </w:r>
      <w:bookmarkEnd w:id="46"/>
      <w:r>
        <w:rPr>
          <w:rFonts w:hint="eastAsia"/>
          <w:sz w:val="24"/>
        </w:rPr>
        <w:t xml:space="preserve"> and encouraged financial institutions to provide funds and services to these areas. The PBC made good use of the central</w:t>
      </w:r>
      <w:r>
        <w:rPr>
          <w:sz w:val="24"/>
        </w:rPr>
        <w:t>-</w:t>
      </w:r>
      <w:r>
        <w:rPr>
          <w:rFonts w:hint="eastAsia"/>
          <w:sz w:val="24"/>
        </w:rPr>
        <w:t xml:space="preserve">banking lending for poverty alleviation and optimized the use of </w:t>
      </w:r>
      <w:r>
        <w:rPr>
          <w:sz w:val="24"/>
        </w:rPr>
        <w:t>a</w:t>
      </w:r>
      <w:r>
        <w:rPr>
          <w:rFonts w:hint="eastAsia"/>
          <w:sz w:val="24"/>
        </w:rPr>
        <w:t xml:space="preserve"> pricing mechanism </w:t>
      </w:r>
      <w:r>
        <w:rPr>
          <w:sz w:val="24"/>
        </w:rPr>
        <w:t xml:space="preserve">to grant loans </w:t>
      </w:r>
      <w:r>
        <w:rPr>
          <w:rFonts w:hint="eastAsia"/>
          <w:sz w:val="24"/>
        </w:rPr>
        <w:t>for poverty alleviation</w:t>
      </w:r>
      <w:r>
        <w:rPr>
          <w:sz w:val="24"/>
        </w:rPr>
        <w:t>.</w:t>
      </w:r>
      <w:r>
        <w:rPr>
          <w:rFonts w:hint="eastAsia"/>
          <w:sz w:val="24"/>
        </w:rPr>
        <w:t xml:space="preserve"> The interest bond mechanism was perfected to effectively promote the integration of poverty-relief efforts from both </w:t>
      </w:r>
      <w:r>
        <w:rPr>
          <w:sz w:val="24"/>
        </w:rPr>
        <w:t>the f</w:t>
      </w:r>
      <w:r>
        <w:rPr>
          <w:rFonts w:hint="eastAsia"/>
          <w:sz w:val="24"/>
        </w:rPr>
        <w:t xml:space="preserve">inancial and industrial perspectives. In addition, the PBC took targeted measures against misconduct in the field of poverty alleviation to improve the precision and efficiency of targeted poverty alleviation. </w:t>
      </w:r>
      <w:r>
        <w:rPr>
          <w:rFonts w:hint="eastAsia"/>
          <w:b/>
          <w:bCs/>
          <w:sz w:val="24"/>
        </w:rPr>
        <w:t xml:space="preserve">Second, </w:t>
      </w:r>
      <w:r>
        <w:rPr>
          <w:rFonts w:hint="eastAsia"/>
          <w:sz w:val="24"/>
        </w:rPr>
        <w:t xml:space="preserve">financial services were provided for rural revitalization. Guidance was provided to </w:t>
      </w:r>
      <w:r>
        <w:rPr>
          <w:sz w:val="24"/>
        </w:rPr>
        <w:t>shift</w:t>
      </w:r>
      <w:r>
        <w:rPr>
          <w:rFonts w:hint="eastAsia"/>
          <w:sz w:val="24"/>
        </w:rPr>
        <w:t xml:space="preserve"> the focus of rural financial services to </w:t>
      </w:r>
      <w:r>
        <w:rPr>
          <w:sz w:val="24"/>
        </w:rPr>
        <w:t>a</w:t>
      </w:r>
      <w:r>
        <w:rPr>
          <w:rFonts w:hint="eastAsia"/>
          <w:sz w:val="24"/>
        </w:rPr>
        <w:t xml:space="preserve"> rural revitalization strategy, </w:t>
      </w:r>
      <w:r>
        <w:rPr>
          <w:sz w:val="24"/>
        </w:rPr>
        <w:t>giving full play to</w:t>
      </w:r>
      <w:r>
        <w:rPr>
          <w:rFonts w:hint="eastAsia"/>
          <w:sz w:val="24"/>
        </w:rPr>
        <w:t xml:space="preserve"> agriculture-related financial institutions and allocating more financial resources to key areas and weak sectors in rural economic and social development. The PBC accelerated </w:t>
      </w:r>
      <w:r>
        <w:rPr>
          <w:sz w:val="24"/>
        </w:rPr>
        <w:t>innovations in</w:t>
      </w:r>
      <w:r>
        <w:rPr>
          <w:rFonts w:hint="eastAsia"/>
          <w:sz w:val="24"/>
        </w:rPr>
        <w:t xml:space="preserve"> rural financial products and services, deepened the promotion of pilots o</w:t>
      </w:r>
      <w:r>
        <w:rPr>
          <w:sz w:val="24"/>
        </w:rPr>
        <w:t xml:space="preserve">n </w:t>
      </w:r>
      <w:r>
        <w:rPr>
          <w:rFonts w:hint="eastAsia"/>
          <w:sz w:val="24"/>
        </w:rPr>
        <w:t xml:space="preserve">the </w:t>
      </w:r>
      <w:r w:rsidRPr="00E73ABB">
        <w:rPr>
          <w:sz w:val="24"/>
        </w:rPr>
        <w:t xml:space="preserve">collateralization of </w:t>
      </w:r>
      <w:r w:rsidRPr="00BF7F69">
        <w:rPr>
          <w:sz w:val="24"/>
        </w:rPr>
        <w:t>contracted farmland operational rights and farmers’ property rights</w:t>
      </w:r>
      <w:r w:rsidRPr="00E73ABB">
        <w:rPr>
          <w:sz w:val="24"/>
        </w:rPr>
        <w:t>, improved</w:t>
      </w:r>
      <w:r>
        <w:rPr>
          <w:rFonts w:hint="eastAsia"/>
          <w:sz w:val="24"/>
        </w:rPr>
        <w:t xml:space="preserve"> the pilot support system, and conducted mid-term assessments of the pilots in a timely manner. </w:t>
      </w:r>
      <w:r>
        <w:rPr>
          <w:rFonts w:hint="eastAsia"/>
          <w:b/>
          <w:bCs/>
          <w:sz w:val="24"/>
        </w:rPr>
        <w:t>Third,</w:t>
      </w:r>
      <w:r>
        <w:rPr>
          <w:rFonts w:hint="eastAsia"/>
          <w:sz w:val="24"/>
        </w:rPr>
        <w:t xml:space="preserve"> financial service</w:t>
      </w:r>
      <w:r>
        <w:rPr>
          <w:sz w:val="24"/>
        </w:rPr>
        <w:t>s</w:t>
      </w:r>
      <w:r>
        <w:rPr>
          <w:rFonts w:hint="eastAsia"/>
          <w:sz w:val="24"/>
        </w:rPr>
        <w:t xml:space="preserve"> for small and micro businesses w</w:t>
      </w:r>
      <w:r>
        <w:rPr>
          <w:sz w:val="24"/>
        </w:rPr>
        <w:t>ere</w:t>
      </w:r>
      <w:r>
        <w:rPr>
          <w:rFonts w:hint="eastAsia"/>
          <w:sz w:val="24"/>
        </w:rPr>
        <w:t xml:space="preserve"> deepen</w:t>
      </w:r>
      <w:r>
        <w:rPr>
          <w:sz w:val="24"/>
        </w:rPr>
        <w:t>ed</w:t>
      </w:r>
      <w:r>
        <w:rPr>
          <w:rFonts w:hint="eastAsia"/>
          <w:sz w:val="24"/>
        </w:rPr>
        <w:t xml:space="preserve"> in an all-round way. Joint efforts </w:t>
      </w:r>
      <w:r>
        <w:rPr>
          <w:sz w:val="24"/>
        </w:rPr>
        <w:t>were</w:t>
      </w:r>
      <w:r>
        <w:rPr>
          <w:rFonts w:hint="eastAsia"/>
          <w:sz w:val="24"/>
        </w:rPr>
        <w:t xml:space="preserve"> made to achieve policy synergy</w:t>
      </w:r>
      <w:r>
        <w:rPr>
          <w:sz w:val="24"/>
        </w:rPr>
        <w:t xml:space="preserve"> so as </w:t>
      </w:r>
      <w:r>
        <w:rPr>
          <w:rFonts w:hint="eastAsia"/>
          <w:sz w:val="24"/>
        </w:rPr>
        <w:t xml:space="preserve">to refine policy measures, unblock the transmission mechanism of monetary and credit policies, supervise and </w:t>
      </w:r>
      <w:r>
        <w:rPr>
          <w:rFonts w:hint="eastAsia"/>
          <w:sz w:val="24"/>
        </w:rPr>
        <w:lastRenderedPageBreak/>
        <w:t>guide financial institutions to optimize internal resource allocation</w:t>
      </w:r>
      <w:r>
        <w:rPr>
          <w:sz w:val="24"/>
        </w:rPr>
        <w:t>s</w:t>
      </w:r>
      <w:r>
        <w:rPr>
          <w:rFonts w:hint="eastAsia"/>
          <w:sz w:val="24"/>
        </w:rPr>
        <w:t xml:space="preserve">, and guide more funds to small and micro businesses. The PBC cooperated with the </w:t>
      </w:r>
      <w:r>
        <w:rPr>
          <w:sz w:val="24"/>
        </w:rPr>
        <w:t>finance</w:t>
      </w:r>
      <w:r>
        <w:rPr>
          <w:rFonts w:hint="eastAsia"/>
          <w:sz w:val="24"/>
        </w:rPr>
        <w:t xml:space="preserve"> departments to issue the </w:t>
      </w:r>
      <w:r>
        <w:rPr>
          <w:i/>
          <w:sz w:val="24"/>
        </w:rPr>
        <w:t>Notice on the Policy of Exemptions from the Value-Added Tax on Interest Income Obtained by Financial Institutions from Granting Loans to Small and Micro Businesses</w:t>
      </w:r>
      <w:r>
        <w:rPr>
          <w:rFonts w:hint="eastAsia"/>
          <w:sz w:val="24"/>
        </w:rPr>
        <w:t xml:space="preserve"> to promote </w:t>
      </w:r>
      <w:r>
        <w:rPr>
          <w:sz w:val="24"/>
        </w:rPr>
        <w:t xml:space="preserve">the initiative of </w:t>
      </w:r>
      <w:r>
        <w:rPr>
          <w:rFonts w:hint="eastAsia"/>
          <w:sz w:val="24"/>
        </w:rPr>
        <w:t xml:space="preserve">financial institutions to grant small and micro loans. Large banks were encouraged to take the lead in guiding local institutions to improve service levels to ensure achievement of the objectives </w:t>
      </w:r>
      <w:r>
        <w:rPr>
          <w:sz w:val="24"/>
        </w:rPr>
        <w:t>of</w:t>
      </w:r>
      <w:r>
        <w:rPr>
          <w:rFonts w:hint="eastAsia"/>
          <w:sz w:val="24"/>
        </w:rPr>
        <w:t xml:space="preserve"> expand</w:t>
      </w:r>
      <w:r>
        <w:rPr>
          <w:sz w:val="24"/>
        </w:rPr>
        <w:t>ing</w:t>
      </w:r>
      <w:r>
        <w:rPr>
          <w:rFonts w:hint="eastAsia"/>
          <w:sz w:val="24"/>
        </w:rPr>
        <w:t xml:space="preserve"> inputs and reduc</w:t>
      </w:r>
      <w:r>
        <w:rPr>
          <w:sz w:val="24"/>
        </w:rPr>
        <w:t>ing</w:t>
      </w:r>
      <w:r>
        <w:rPr>
          <w:rFonts w:hint="eastAsia"/>
          <w:sz w:val="24"/>
        </w:rPr>
        <w:t xml:space="preserve"> costs for financial services. The PBC and the All-China Federation of Industry and Commerce jointly held a symposium on financial services for private enterprises and small and micro businesses to establish communication mechanisms between banks and enterprises. </w:t>
      </w:r>
      <w:r>
        <w:rPr>
          <w:rFonts w:hint="eastAsia"/>
          <w:b/>
          <w:bCs/>
          <w:sz w:val="24"/>
        </w:rPr>
        <w:t>Fourth,</w:t>
      </w:r>
      <w:r>
        <w:rPr>
          <w:rFonts w:hint="eastAsia"/>
          <w:sz w:val="24"/>
        </w:rPr>
        <w:t xml:space="preserve"> implementation of the policy of guaranteed loans for start-ups was strengthened by enhancing the monitoring and analysis of the effectiveness of policy implementation and providing support for focus groups and people in difficulty to start business</w:t>
      </w:r>
      <w:r>
        <w:rPr>
          <w:sz w:val="24"/>
        </w:rPr>
        <w:t>es or to find work.</w:t>
      </w:r>
      <w:r>
        <w:rPr>
          <w:rFonts w:hint="eastAsia"/>
          <w:sz w:val="24"/>
        </w:rPr>
        <w:t xml:space="preserve"> </w:t>
      </w:r>
      <w:r>
        <w:rPr>
          <w:rFonts w:hint="eastAsia"/>
          <w:b/>
          <w:bCs/>
          <w:sz w:val="24"/>
        </w:rPr>
        <w:t>Fifth,</w:t>
      </w:r>
      <w:r>
        <w:rPr>
          <w:rFonts w:hint="eastAsia"/>
        </w:rPr>
        <w:t xml:space="preserve"> </w:t>
      </w:r>
      <w:r>
        <w:rPr>
          <w:rFonts w:hint="eastAsia"/>
          <w:sz w:val="24"/>
        </w:rPr>
        <w:t>efforts were made to provide better financial services for technological and cultural industries. The PBC stepped up support for intellectual property pledged financing and continued to improve the institutional arrangement of the bond market, while</w:t>
      </w:r>
      <w:r>
        <w:rPr>
          <w:sz w:val="24"/>
        </w:rPr>
        <w:t xml:space="preserve"> also</w:t>
      </w:r>
      <w:r>
        <w:rPr>
          <w:rFonts w:hint="eastAsia"/>
          <w:sz w:val="24"/>
        </w:rPr>
        <w:t xml:space="preserve"> encouraging scientific and technological innovation</w:t>
      </w:r>
      <w:r>
        <w:rPr>
          <w:sz w:val="24"/>
        </w:rPr>
        <w:t xml:space="preserve">s </w:t>
      </w:r>
      <w:r>
        <w:rPr>
          <w:rFonts w:hint="eastAsia"/>
          <w:sz w:val="24"/>
        </w:rPr>
        <w:t xml:space="preserve">and cultural enterprises to issue non-financial corporate debt financing instruments. </w:t>
      </w:r>
      <w:r>
        <w:rPr>
          <w:rFonts w:hint="eastAsia"/>
          <w:b/>
          <w:bCs/>
          <w:sz w:val="24"/>
        </w:rPr>
        <w:t xml:space="preserve">Sixth, </w:t>
      </w:r>
      <w:r>
        <w:rPr>
          <w:rFonts w:hint="eastAsia"/>
          <w:sz w:val="24"/>
        </w:rPr>
        <w:t>full support was given to improve financial services for weak sectors and vulnerable groups, such as students from impoverished families, migrant workers, and ethnic minority regions.</w:t>
      </w:r>
      <w:r>
        <w:rPr>
          <w:rFonts w:hint="eastAsia"/>
          <w:color w:val="0000FF"/>
        </w:rPr>
        <w:t xml:space="preserve"> </w:t>
      </w:r>
      <w:r>
        <w:rPr>
          <w:rFonts w:hint="eastAsia"/>
          <w:b/>
          <w:bCs/>
          <w:sz w:val="24"/>
        </w:rPr>
        <w:t>Seventh,</w:t>
      </w:r>
      <w:r>
        <w:t xml:space="preserve"> </w:t>
      </w:r>
      <w:r>
        <w:rPr>
          <w:rFonts w:hint="eastAsia"/>
          <w:sz w:val="24"/>
        </w:rPr>
        <w:t xml:space="preserve">the </w:t>
      </w:r>
      <w:r>
        <w:rPr>
          <w:sz w:val="24"/>
        </w:rPr>
        <w:t xml:space="preserve">framework of </w:t>
      </w:r>
      <w:r>
        <w:rPr>
          <w:rFonts w:hint="eastAsia"/>
          <w:sz w:val="24"/>
        </w:rPr>
        <w:t xml:space="preserve">local government debt was improved to encourage banking financial institutions to implement policy requirements, </w:t>
      </w:r>
      <w:r>
        <w:rPr>
          <w:sz w:val="24"/>
        </w:rPr>
        <w:t xml:space="preserve">to </w:t>
      </w:r>
      <w:r>
        <w:rPr>
          <w:rFonts w:hint="eastAsia"/>
          <w:sz w:val="24"/>
        </w:rPr>
        <w:t xml:space="preserve">provide </w:t>
      </w:r>
      <w:r>
        <w:rPr>
          <w:sz w:val="24"/>
        </w:rPr>
        <w:t xml:space="preserve">prudent </w:t>
      </w:r>
      <w:r>
        <w:rPr>
          <w:rFonts w:hint="eastAsia"/>
          <w:sz w:val="24"/>
        </w:rPr>
        <w:t xml:space="preserve">financing to local governments in compliance with the regulations, </w:t>
      </w:r>
      <w:r>
        <w:rPr>
          <w:sz w:val="24"/>
        </w:rPr>
        <w:t xml:space="preserve">to </w:t>
      </w:r>
      <w:r>
        <w:rPr>
          <w:rFonts w:hint="eastAsia"/>
          <w:sz w:val="24"/>
        </w:rPr>
        <w:t xml:space="preserve">intensify financing reviews for existing projects, and </w:t>
      </w:r>
      <w:r>
        <w:rPr>
          <w:sz w:val="24"/>
        </w:rPr>
        <w:t xml:space="preserve">to </w:t>
      </w:r>
      <w:r>
        <w:rPr>
          <w:rFonts w:hint="eastAsia"/>
          <w:sz w:val="24"/>
        </w:rPr>
        <w:t>standardize financing support for public-service areas, such as infrastructure construction.</w:t>
      </w:r>
      <w:r>
        <w:rPr>
          <w:color w:val="0000FF"/>
        </w:rPr>
        <w:t xml:space="preserve"> </w:t>
      </w:r>
      <w:r>
        <w:rPr>
          <w:rFonts w:hint="eastAsia"/>
          <w:b/>
          <w:bCs/>
          <w:sz w:val="24"/>
        </w:rPr>
        <w:t>Eighth,</w:t>
      </w:r>
      <w:r>
        <w:rPr>
          <w:rFonts w:hint="eastAsia"/>
        </w:rPr>
        <w:t xml:space="preserve"> </w:t>
      </w:r>
      <w:r>
        <w:rPr>
          <w:rFonts w:hint="eastAsia"/>
          <w:sz w:val="24"/>
        </w:rPr>
        <w:t xml:space="preserve">efforts were made to promote coordinated regional development through financial support for </w:t>
      </w:r>
      <w:r>
        <w:rPr>
          <w:sz w:val="24"/>
        </w:rPr>
        <w:t xml:space="preserve">the </w:t>
      </w:r>
      <w:r>
        <w:rPr>
          <w:rFonts w:hint="eastAsia"/>
          <w:sz w:val="24"/>
        </w:rPr>
        <w:t xml:space="preserve">major national strategic areas, such as the coordinated development of Beijing, Tianjin, and Hebei, the Belt and Road Initiative, </w:t>
      </w:r>
      <w:r>
        <w:rPr>
          <w:sz w:val="24"/>
        </w:rPr>
        <w:t xml:space="preserve">the </w:t>
      </w:r>
      <w:r>
        <w:rPr>
          <w:rFonts w:hint="eastAsia"/>
          <w:sz w:val="24"/>
        </w:rPr>
        <w:t xml:space="preserve">development of the Yangtze Economic Belt, the Western China Development Drive, and </w:t>
      </w:r>
      <w:r>
        <w:rPr>
          <w:sz w:val="24"/>
        </w:rPr>
        <w:t xml:space="preserve">the </w:t>
      </w:r>
      <w:r>
        <w:rPr>
          <w:rFonts w:hint="eastAsia"/>
          <w:sz w:val="24"/>
        </w:rPr>
        <w:t xml:space="preserve">development of the </w:t>
      </w:r>
      <w:r>
        <w:rPr>
          <w:rFonts w:hint="eastAsia"/>
          <w:sz w:val="24"/>
        </w:rPr>
        <w:lastRenderedPageBreak/>
        <w:t xml:space="preserve">maritime economy. </w:t>
      </w:r>
      <w:r>
        <w:rPr>
          <w:rFonts w:hint="eastAsia"/>
          <w:b/>
          <w:bCs/>
          <w:sz w:val="24"/>
        </w:rPr>
        <w:t xml:space="preserve">Ninth, </w:t>
      </w:r>
      <w:r>
        <w:rPr>
          <w:rFonts w:hint="eastAsia"/>
          <w:sz w:val="24"/>
        </w:rPr>
        <w:t xml:space="preserve">the PBC encouraged financial institutions to improve financial services for </w:t>
      </w:r>
      <w:r>
        <w:rPr>
          <w:sz w:val="24"/>
        </w:rPr>
        <w:t>structural</w:t>
      </w:r>
      <w:r>
        <w:rPr>
          <w:rFonts w:hint="eastAsia"/>
          <w:sz w:val="24"/>
        </w:rPr>
        <w:t xml:space="preserve"> upgrading and </w:t>
      </w:r>
      <w:r>
        <w:rPr>
          <w:sz w:val="24"/>
        </w:rPr>
        <w:t xml:space="preserve">adjustments </w:t>
      </w:r>
      <w:r>
        <w:rPr>
          <w:rFonts w:hint="eastAsia"/>
          <w:sz w:val="24"/>
        </w:rPr>
        <w:t xml:space="preserve">to the manufacturing industry, </w:t>
      </w:r>
      <w:r>
        <w:rPr>
          <w:sz w:val="24"/>
        </w:rPr>
        <w:t xml:space="preserve">with a focus on strengthening coordination of industrial and financial policies in key fields and </w:t>
      </w:r>
      <w:r>
        <w:rPr>
          <w:rFonts w:hint="eastAsia"/>
          <w:sz w:val="24"/>
        </w:rPr>
        <w:t>properly tackling debt issue</w:t>
      </w:r>
      <w:r>
        <w:rPr>
          <w:sz w:val="24"/>
        </w:rPr>
        <w:t xml:space="preserve">s in </w:t>
      </w:r>
      <w:r>
        <w:rPr>
          <w:rFonts w:hint="eastAsia"/>
          <w:sz w:val="24"/>
        </w:rPr>
        <w:t>overcapacity industries.</w:t>
      </w:r>
      <w:r>
        <w:rPr>
          <w:rFonts w:hint="eastAsia"/>
        </w:rPr>
        <w:t xml:space="preserve"> </w:t>
      </w:r>
      <w:r>
        <w:rPr>
          <w:rFonts w:hint="eastAsia"/>
          <w:b/>
          <w:bCs/>
          <w:sz w:val="24"/>
        </w:rPr>
        <w:t>Tenth,</w:t>
      </w:r>
      <w:r>
        <w:t xml:space="preserve"> </w:t>
      </w:r>
      <w:r>
        <w:rPr>
          <w:rFonts w:hint="eastAsia"/>
          <w:sz w:val="24"/>
        </w:rPr>
        <w:t>a green financial system was improved and perfected, featuring firm support for green financing.</w:t>
      </w:r>
      <w:r>
        <w:t xml:space="preserve"> </w:t>
      </w:r>
      <w:r w:rsidRPr="00BF7F69">
        <w:rPr>
          <w:b/>
          <w:sz w:val="24"/>
        </w:rPr>
        <w:t>Eleventh</w:t>
      </w:r>
      <w:r w:rsidRPr="00BF7F69">
        <w:rPr>
          <w:sz w:val="24"/>
        </w:rPr>
        <w:t xml:space="preserve">, </w:t>
      </w:r>
      <w:r w:rsidRPr="000A2693">
        <w:rPr>
          <w:sz w:val="24"/>
        </w:rPr>
        <w:t>efforts</w:t>
      </w:r>
      <w:r>
        <w:rPr>
          <w:rFonts w:hint="eastAsia"/>
          <w:sz w:val="24"/>
        </w:rPr>
        <w:t xml:space="preserve"> were made to improve the market</w:t>
      </w:r>
      <w:r>
        <w:rPr>
          <w:sz w:val="24"/>
        </w:rPr>
        <w:t>-based</w:t>
      </w:r>
      <w:r>
        <w:rPr>
          <w:rFonts w:hint="eastAsia"/>
          <w:sz w:val="24"/>
        </w:rPr>
        <w:t xml:space="preserve"> </w:t>
      </w:r>
      <w:r>
        <w:rPr>
          <w:sz w:val="24"/>
        </w:rPr>
        <w:t>operations</w:t>
      </w:r>
      <w:r>
        <w:rPr>
          <w:rFonts w:hint="eastAsia"/>
          <w:sz w:val="24"/>
        </w:rPr>
        <w:t xml:space="preserve"> mechanism for asset securitization to promote </w:t>
      </w:r>
      <w:r>
        <w:rPr>
          <w:sz w:val="24"/>
        </w:rPr>
        <w:t xml:space="preserve">the </w:t>
      </w:r>
      <w:r>
        <w:rPr>
          <w:rFonts w:hint="eastAsia"/>
          <w:sz w:val="24"/>
        </w:rPr>
        <w:t xml:space="preserve">development of </w:t>
      </w:r>
      <w:r>
        <w:rPr>
          <w:sz w:val="24"/>
        </w:rPr>
        <w:t>an</w:t>
      </w:r>
      <w:r>
        <w:rPr>
          <w:rFonts w:hint="eastAsia"/>
          <w:sz w:val="24"/>
        </w:rPr>
        <w:t xml:space="preserve"> asset securitization market.</w:t>
      </w:r>
    </w:p>
    <w:p w:rsidR="009674D4" w:rsidRPr="009674D4" w:rsidRDefault="009674D4" w:rsidP="009674D4">
      <w:pPr>
        <w:pStyle w:val="a5"/>
        <w:keepNext/>
        <w:pBdr>
          <w:top w:val="none" w:sz="0" w:space="0" w:color="auto"/>
          <w:left w:val="none" w:sz="0" w:space="0" w:color="auto"/>
          <w:bottom w:val="none" w:sz="0" w:space="0" w:color="auto"/>
          <w:right w:val="none" w:sz="0" w:space="0" w:color="auto"/>
        </w:pBdr>
        <w:shd w:val="clear" w:color="auto" w:fill="CCFFCC"/>
        <w:spacing w:before="156" w:after="156" w:line="360" w:lineRule="auto"/>
        <w:rPr>
          <w:rFonts w:ascii="Times New Roman"/>
          <w:b/>
          <w:sz w:val="24"/>
        </w:rPr>
      </w:pPr>
      <w:bookmarkStart w:id="47" w:name="_Toc532201921"/>
      <w:r w:rsidRPr="009674D4">
        <w:rPr>
          <w:rFonts w:ascii="Times New Roman"/>
          <w:b/>
          <w:sz w:val="24"/>
        </w:rPr>
        <w:t xml:space="preserve">Box </w:t>
      </w:r>
      <w:r w:rsidR="002447A7" w:rsidRPr="009674D4">
        <w:rPr>
          <w:rFonts w:ascii="Times New Roman"/>
          <w:b/>
          <w:sz w:val="24"/>
        </w:rPr>
        <w:fldChar w:fldCharType="begin"/>
      </w:r>
      <w:r w:rsidRPr="009674D4">
        <w:rPr>
          <w:rFonts w:ascii="Times New Roman"/>
          <w:b/>
          <w:sz w:val="24"/>
        </w:rPr>
        <w:instrText xml:space="preserve"> SEQ Box \* ARABIC </w:instrText>
      </w:r>
      <w:r w:rsidR="002447A7" w:rsidRPr="009674D4">
        <w:rPr>
          <w:rFonts w:ascii="Times New Roman"/>
          <w:b/>
          <w:sz w:val="24"/>
        </w:rPr>
        <w:fldChar w:fldCharType="separate"/>
      </w:r>
      <w:r w:rsidR="00EC1136">
        <w:rPr>
          <w:rFonts w:ascii="Times New Roman"/>
          <w:b/>
          <w:noProof/>
          <w:sz w:val="24"/>
        </w:rPr>
        <w:t>2</w:t>
      </w:r>
      <w:r w:rsidR="002447A7" w:rsidRPr="009674D4">
        <w:rPr>
          <w:rFonts w:ascii="Times New Roman"/>
          <w:b/>
          <w:sz w:val="24"/>
        </w:rPr>
        <w:fldChar w:fldCharType="end"/>
      </w:r>
      <w:r w:rsidRPr="009674D4">
        <w:rPr>
          <w:rFonts w:ascii="Times New Roman" w:hint="eastAsia"/>
          <w:b/>
          <w:sz w:val="24"/>
        </w:rPr>
        <w:t xml:space="preserve"> </w:t>
      </w:r>
      <w:r>
        <w:rPr>
          <w:rFonts w:ascii="Times New Roman" w:hint="eastAsia"/>
          <w:b/>
          <w:sz w:val="24"/>
        </w:rPr>
        <w:t>The</w:t>
      </w:r>
      <w:r>
        <w:rPr>
          <w:rFonts w:ascii="Times New Roman"/>
          <w:b/>
          <w:sz w:val="24"/>
        </w:rPr>
        <w:t xml:space="preserve"> </w:t>
      </w:r>
      <w:r w:rsidRPr="00B160B4">
        <w:rPr>
          <w:rFonts w:ascii="Times New Roman"/>
          <w:b/>
          <w:sz w:val="24"/>
        </w:rPr>
        <w:t>Private Economy and Financial Support</w:t>
      </w:r>
      <w:bookmarkEnd w:id="47"/>
    </w:p>
    <w:p w:rsidR="008451C7" w:rsidRDefault="008451C7" w:rsidP="008451C7">
      <w:pPr>
        <w:shd w:val="clear" w:color="auto" w:fill="CCFFCC"/>
        <w:spacing w:line="360" w:lineRule="auto"/>
        <w:rPr>
          <w:sz w:val="24"/>
        </w:rPr>
      </w:pPr>
      <w:r>
        <w:rPr>
          <w:sz w:val="24"/>
        </w:rPr>
        <w:t>The year 2018 marks the 40th anniversary of China's reform and opening-up. Since then, private enterprises have been thriving. They have played an important role in stabilizing growth, promoting innovation, creating new jobs, and improving people’s well-being. Private enterprises are highly complementary, mutually cooperative and supportive of state-owned enterprises, and they provide vitality and innovation for China’s economic development and they have become an essential element in our national economy. At present, the private economy accounts for over 50 percent of taxes, over 60 percent of GDP, over 70 percent of technological innovations, over 80 percent of urban employment, and over 90 percent of the total number of firms. Without the development of private enterprises, the whole economy would not have developed soundly. Xi Jinping, general secretary of the CPC Central Committee, explicitly said at a symposium on private enterprises that “the private economy represents the important achievement of market-oriented socialist economic development, has become an important driving force behind market-oriented socialist economic development, and is an essential player to advance supply-side structural reforms, high-quality development, and the construction of a modern economic system.”</w:t>
      </w:r>
    </w:p>
    <w:p w:rsidR="008451C7" w:rsidRDefault="008451C7" w:rsidP="008451C7">
      <w:pPr>
        <w:shd w:val="clear" w:color="auto" w:fill="CCFFCC"/>
        <w:spacing w:line="360" w:lineRule="auto"/>
        <w:rPr>
          <w:sz w:val="24"/>
        </w:rPr>
      </w:pPr>
    </w:p>
    <w:p w:rsidR="008451C7" w:rsidRDefault="008451C7" w:rsidP="008451C7">
      <w:pPr>
        <w:shd w:val="clear" w:color="auto" w:fill="CCFFCC"/>
        <w:spacing w:line="360" w:lineRule="auto"/>
        <w:rPr>
          <w:sz w:val="24"/>
        </w:rPr>
      </w:pPr>
      <w:r>
        <w:rPr>
          <w:sz w:val="24"/>
        </w:rPr>
        <w:t xml:space="preserve">The overall operation of private businesses is fine. During the first three quarters, the cumulative year-on-year growth of private investment registered 8.7 percent, an </w:t>
      </w:r>
      <w:r>
        <w:rPr>
          <w:sz w:val="24"/>
        </w:rPr>
        <w:lastRenderedPageBreak/>
        <w:t>acceleration of 2.7 percentage points. The growth of profits of private industrial enterprises was 9.3 percent year on year, outpacing that in 2015–2016. But amid the economic restructuring as well as the growing uncertainties and instabilities at home and abroad, some private enterprises have faced higher operational risks and mounting financing difficulties. During the first three quarters, 24 out of 29 enterprise bond defaults were private enterprises, involving RMB 67.406 billion. Bond issuances by private enterprises during the first three quarters totaled RMB 402.9 billion, RMB 470.6 billion, and RMB 60.2 billion less than that in 2016 and 2017.</w:t>
      </w:r>
    </w:p>
    <w:p w:rsidR="008451C7" w:rsidRDefault="008451C7" w:rsidP="008451C7">
      <w:pPr>
        <w:shd w:val="clear" w:color="auto" w:fill="CCFFCC"/>
        <w:spacing w:line="360" w:lineRule="auto"/>
        <w:rPr>
          <w:sz w:val="24"/>
        </w:rPr>
      </w:pPr>
    </w:p>
    <w:p w:rsidR="008451C7" w:rsidRDefault="008451C7" w:rsidP="008451C7">
      <w:pPr>
        <w:shd w:val="clear" w:color="auto" w:fill="CCFFCC"/>
        <w:spacing w:line="360" w:lineRule="auto"/>
        <w:rPr>
          <w:sz w:val="24"/>
        </w:rPr>
      </w:pPr>
      <w:r>
        <w:rPr>
          <w:sz w:val="24"/>
        </w:rPr>
        <w:t xml:space="preserve">In general, financing difficulties of private enterprises reflect the increased downward pressures on the economy, the reduced appetite for financial risks, and the narrowing of funding channels. Some private enterprises are trapped in a vicious cycle of debt defaults and mounting credit-financing difficulties, while the worsening of corporate financial conditions reinforce changes in the funding environment. Of course, some private enterprises have problems such as unsound corporate governance, flawed financial arrangements, excessive financing and investments, and excessively diversified operations, which result in higher financial leveraging and poor resilience. In addition, institutional arrangements in financial institutions, such as the excessive reliance on collateral for the granting of credit and a weak incentive and appraisal system. Insufficient implementation of due diligence and disclaimers also contribute to the financing difficulties of private enterprises. </w:t>
      </w:r>
    </w:p>
    <w:p w:rsidR="008451C7" w:rsidRDefault="008451C7" w:rsidP="008451C7">
      <w:pPr>
        <w:shd w:val="clear" w:color="auto" w:fill="CCFFCC"/>
        <w:spacing w:line="360" w:lineRule="auto"/>
        <w:rPr>
          <w:sz w:val="24"/>
        </w:rPr>
      </w:pPr>
    </w:p>
    <w:p w:rsidR="008451C7" w:rsidRDefault="008451C7" w:rsidP="008451C7">
      <w:pPr>
        <w:shd w:val="clear" w:color="auto" w:fill="CCFFCC"/>
        <w:spacing w:line="360" w:lineRule="auto"/>
        <w:rPr>
          <w:sz w:val="24"/>
        </w:rPr>
      </w:pPr>
      <w:r>
        <w:rPr>
          <w:sz w:val="24"/>
        </w:rPr>
        <w:t xml:space="preserve">To implement the essence of the “two unswervingly” policy, to offset negative market sentiment, to prevent mutual reinforcement between the decline in the risk appetite in the financial sector and the rise of enterprise operational risks, and to prevent excessive contagion and the spreading of debt risks, the PBC has pursued prudent and neutral monetary policies, strengthened preemptive adjustments and fine-tuning, maintained reasonably ample liquidity, and continued to improve a fiscal, taxation, and financial policy system. All these measures are aimed to keep financial institutions with financial risks under proper management, to provide financing </w:t>
      </w:r>
      <w:r>
        <w:rPr>
          <w:sz w:val="24"/>
        </w:rPr>
        <w:lastRenderedPageBreak/>
        <w:t>support to private enterprises in line with market-oriented principles, to stabilize their financing, and to improve market confidence.</w:t>
      </w:r>
    </w:p>
    <w:p w:rsidR="008451C7" w:rsidRDefault="008451C7" w:rsidP="008451C7">
      <w:pPr>
        <w:shd w:val="clear" w:color="auto" w:fill="CCFFCC"/>
        <w:spacing w:line="360" w:lineRule="auto"/>
        <w:rPr>
          <w:sz w:val="24"/>
        </w:rPr>
      </w:pPr>
    </w:p>
    <w:p w:rsidR="008451C7" w:rsidRDefault="008451C7" w:rsidP="008451C7">
      <w:pPr>
        <w:shd w:val="clear" w:color="auto" w:fill="CCFFCC"/>
        <w:spacing w:line="360" w:lineRule="auto"/>
        <w:rPr>
          <w:sz w:val="24"/>
        </w:rPr>
      </w:pPr>
      <w:r>
        <w:rPr>
          <w:sz w:val="24"/>
        </w:rPr>
        <w:t>First, through targeted cuts of the reserve requirement ratio (RRR) and by maintaining reasonable and abundant liquidity, support went to small and micro businesses (SMBs) and to the development of “agriculture, rural areas, and farmers.” This year, the PBC conducted targeted RRR cuts four times, releasing liquidity in the amount of RMB 2.3 trillion. This policy was expected to play a guiding role in financial institutions so as to channel unleashed funds to inclusive financing, especially SMBs, private enterprises, and innovative firms. A mix of policy tools, such as the repo, the Medium-term Lending Facility (MLF), and the Pledged Supplementary Lending (PSL), was comprehensively used to provide liquidity of different tenures, to increase the supply of medium and long-term liquidity, and to guide financial institutions to provide low-cost funds for SMBs and private enterprises, thus lowering the financing costs in the entire society.</w:t>
      </w:r>
    </w:p>
    <w:p w:rsidR="008451C7" w:rsidRDefault="008451C7" w:rsidP="008451C7">
      <w:pPr>
        <w:shd w:val="clear" w:color="auto" w:fill="CCFFCC"/>
        <w:spacing w:line="360" w:lineRule="auto"/>
        <w:rPr>
          <w:sz w:val="24"/>
        </w:rPr>
      </w:pPr>
    </w:p>
    <w:p w:rsidR="008451C7" w:rsidRDefault="008451C7" w:rsidP="008451C7">
      <w:pPr>
        <w:shd w:val="clear" w:color="auto" w:fill="CCFFCC"/>
        <w:spacing w:line="360" w:lineRule="auto"/>
        <w:rPr>
          <w:sz w:val="24"/>
        </w:rPr>
      </w:pPr>
      <w:r>
        <w:rPr>
          <w:sz w:val="24"/>
        </w:rPr>
        <w:t>Second, to support financing for SMBs and private enterprises, the scope of qualified collateral was widened to cover bonds and loans to such enterprises, and central-bank lending and the central-bank discount quota were properly</w:t>
      </w:r>
      <w:r w:rsidRPr="006C13C1">
        <w:rPr>
          <w:sz w:val="24"/>
        </w:rPr>
        <w:t xml:space="preserve"> </w:t>
      </w:r>
      <w:r>
        <w:rPr>
          <w:sz w:val="24"/>
        </w:rPr>
        <w:t xml:space="preserve">raised. Bonds issued by SMBs with credit ratings no lower than AA, and bonds issued in the name of green finance and for the development of “agriculture, rural areas, and farmers” qualified as central-bank collateral. Also included were good performing loans by SMBs and private enterprises as well as green loans. In June, central-bank lending and the central-bank discount quota were raised by RMB 150 billion, and another RMB 150 billion was added on October 22 for targeted financing. The central-bank lending rate in this category was lowered by 0.5 percentage point, and the application requirements were appropriately relaxed.  Innovative changes were made to the lending process, such as “granting loans first, and then submitting applications,” and the positive incentive mechanism was enhanced. During the first three quarters of 2018, loans to SMBs under inclusive financing grew by RMB 959.5 billion, 1.6 times </w:t>
      </w:r>
      <w:r>
        <w:rPr>
          <w:sz w:val="24"/>
        </w:rPr>
        <w:lastRenderedPageBreak/>
        <w:t>the growth during the entire year of 2017. The growth rate at end-September was 18.1 percent, about 5 percentage points higher than the average loan growth rate.</w:t>
      </w:r>
    </w:p>
    <w:p w:rsidR="008451C7" w:rsidRDefault="008451C7" w:rsidP="008451C7">
      <w:pPr>
        <w:shd w:val="clear" w:color="auto" w:fill="CCFFCC"/>
        <w:spacing w:line="360" w:lineRule="auto"/>
        <w:rPr>
          <w:sz w:val="24"/>
        </w:rPr>
      </w:pPr>
      <w:r>
        <w:rPr>
          <w:sz w:val="24"/>
        </w:rPr>
        <w:t xml:space="preserve">  </w:t>
      </w:r>
    </w:p>
    <w:p w:rsidR="008451C7" w:rsidRDefault="008451C7" w:rsidP="008451C7">
      <w:pPr>
        <w:shd w:val="clear" w:color="auto" w:fill="CCFFCC"/>
        <w:spacing w:line="360" w:lineRule="auto"/>
        <w:rPr>
          <w:sz w:val="24"/>
        </w:rPr>
      </w:pPr>
      <w:r>
        <w:rPr>
          <w:sz w:val="24"/>
        </w:rPr>
        <w:t xml:space="preserve">Third, the counter-cyclical adjustment of the macro-prudential assessment (MPA) and the utilization of both fiscal and financial policies created incentives for financial institutions to provide innovative products to private enterprises. The MPA framework was adjusted, with a temporary specific indicator added to assess the granting of loans to SMBs, and inclusive financing was included for the calculation of structural parameters. The PBC cooperated with the Ministry of Finance to release the </w:t>
      </w:r>
      <w:r>
        <w:rPr>
          <w:rFonts w:hint="eastAsia"/>
          <w:i/>
          <w:sz w:val="24"/>
        </w:rPr>
        <w:t>Notice on the Policy of Exemption</w:t>
      </w:r>
      <w:r>
        <w:rPr>
          <w:i/>
          <w:sz w:val="24"/>
        </w:rPr>
        <w:t>s from the</w:t>
      </w:r>
      <w:r>
        <w:rPr>
          <w:rFonts w:hint="eastAsia"/>
          <w:i/>
          <w:sz w:val="24"/>
        </w:rPr>
        <w:t xml:space="preserve"> Value-Added Tax on Interest Income Obtained by Financial Institutions from </w:t>
      </w:r>
      <w:r>
        <w:rPr>
          <w:i/>
          <w:sz w:val="24"/>
        </w:rPr>
        <w:t xml:space="preserve">the </w:t>
      </w:r>
      <w:r>
        <w:rPr>
          <w:rFonts w:hint="eastAsia"/>
          <w:i/>
          <w:sz w:val="24"/>
        </w:rPr>
        <w:t>Granting</w:t>
      </w:r>
      <w:r>
        <w:rPr>
          <w:i/>
          <w:sz w:val="24"/>
        </w:rPr>
        <w:t xml:space="preserve"> of</w:t>
      </w:r>
      <w:r>
        <w:rPr>
          <w:rFonts w:hint="eastAsia"/>
          <w:i/>
          <w:sz w:val="24"/>
        </w:rPr>
        <w:t xml:space="preserve"> Loans to Small and Micro Businesses</w:t>
      </w:r>
      <w:r>
        <w:rPr>
          <w:sz w:val="24"/>
        </w:rPr>
        <w:t xml:space="preserve">, raised the value of a single-digit VAT single family from RMB 1 million to RMB 10 million, and guided banking financial institutions to work to achieve the “two increase” requirements for small and micro loans. </w:t>
      </w:r>
    </w:p>
    <w:p w:rsidR="008451C7" w:rsidRDefault="008451C7" w:rsidP="008451C7">
      <w:pPr>
        <w:shd w:val="clear" w:color="auto" w:fill="CCFFCC"/>
        <w:spacing w:line="360" w:lineRule="auto"/>
        <w:rPr>
          <w:sz w:val="24"/>
        </w:rPr>
      </w:pPr>
    </w:p>
    <w:p w:rsidR="008451C7" w:rsidRDefault="008451C7" w:rsidP="008451C7">
      <w:pPr>
        <w:shd w:val="clear" w:color="auto" w:fill="CCFFCC"/>
        <w:spacing w:line="360" w:lineRule="auto"/>
        <w:rPr>
          <w:sz w:val="24"/>
        </w:rPr>
      </w:pPr>
      <w:r>
        <w:rPr>
          <w:sz w:val="24"/>
        </w:rPr>
        <w:t>Fourth, active efforts were made to promote the role of the bond market in serving private enterprises and to boost innovations in the bond market. Support tools for bond financing were launched to stabilize and promote bond financing for private enterprises. The PBC will provide some of the initial funds through central-bank lending, and professional institutions will run the operations on a market basis. Based on various approaches, such as the sale of Credit Risk Mitigation (CRM) and credit enhancement guarantees, private enterprises, which have promising prospects, great market potential, and advanced technologies but face temporary problems, will receive priority support for bond financing. In addition, on the basis of strengthened risk identification and risk control, strong support was given to commercial banks, insurance companies, and bond credit enhancement companies to use various approaches, such as the CRM, to support bond financing for private enterprises. The role of local governments was given full play in improving the business environment and regulating the standardized operation of private enterprises.</w:t>
      </w:r>
    </w:p>
    <w:p w:rsidR="008451C7" w:rsidRDefault="008451C7" w:rsidP="008451C7">
      <w:pPr>
        <w:shd w:val="clear" w:color="auto" w:fill="CCFFCC"/>
        <w:spacing w:line="360" w:lineRule="auto"/>
        <w:rPr>
          <w:sz w:val="24"/>
        </w:rPr>
      </w:pPr>
    </w:p>
    <w:p w:rsidR="008451C7" w:rsidRDefault="008451C7" w:rsidP="008451C7">
      <w:pPr>
        <w:shd w:val="clear" w:color="auto" w:fill="CCFFCC"/>
        <w:spacing w:line="360" w:lineRule="auto"/>
        <w:rPr>
          <w:sz w:val="24"/>
        </w:rPr>
      </w:pPr>
      <w:r>
        <w:rPr>
          <w:sz w:val="24"/>
        </w:rPr>
        <w:lastRenderedPageBreak/>
        <w:t xml:space="preserve">Going forward, the PBC will continue to act on the overall arrangements of the CPC Central Committee and the State Council, uphold the policy of “two unswervingly,” follow market-based and law-based principles, tap into the funding functions of various channels, such as bonds, credits, and equities, and further improve financial services for SMBs and private enterprises. First, the bond market will play a guiding role. Support tools for bond financing of private enterprises will be effectively employed and credit enhancement services will be provided on a market-based approach to stabilize and boost bond financing for private enterprises. Support tools for equity financing fof private enterprises are on the research agenda to drive improvements in the overall financing environment for private enterprises. Second, work will be done to reform and improve supervisory appraisals and the internal incentive mechanism within financial institutions, expanding market access and broadening financing channels for private enterprises so as to ease the financing problems and lower the funding costs for private enterprises. A mix of monetary-policy tools, including central-bank lending, central-bank discounts, and the MLF, will be used to support commercial banks to expand the granting of credit to private enterprises, while a macro-prudential policy will be employed for structural adjustments. Third, continued efforts will be made to support and coordinate with other ministries to achieve policy synergies. Through various approaches, such as a reduction in the corporate tax burden, the fostering of a level playing field, the improvement of policy implementation, the construction of a new type of cordial and clean relationship between government and business, the protection of the personal safety and property security of entrepreneurs, private enterprises are encouraged to further develop and to enhance the vitality of micro entities. Local governments are also encouraged to actively enact innovative support policies for the healthy development of private enterprises. In addition, continued efforts will be made to encourage private enterprises to enhance operations and management, to improve the legal person governance structure, and to establish a modern enterprise system so that their overall competitiveness will be elevated in compliance with the laws and regulations and their capability to attract operational resources will be promoted. </w:t>
      </w:r>
    </w:p>
    <w:p w:rsidR="008451C7" w:rsidRPr="00BF7F69" w:rsidRDefault="008451C7" w:rsidP="008451C7"/>
    <w:p w:rsidR="008451C7" w:rsidRDefault="008451C7" w:rsidP="008451C7">
      <w:pPr>
        <w:pStyle w:val="2"/>
        <w:spacing w:line="360" w:lineRule="auto"/>
        <w:ind w:firstLineChars="0" w:firstLine="0"/>
        <w:rPr>
          <w:rFonts w:ascii="Times New Roman" w:eastAsia="SimSun" w:hAnsi="Times New Roman"/>
          <w:bCs w:val="0"/>
          <w:sz w:val="24"/>
          <w:szCs w:val="24"/>
        </w:rPr>
      </w:pPr>
      <w:bookmarkStart w:id="48" w:name="_Toc532201088"/>
      <w:r>
        <w:rPr>
          <w:rFonts w:ascii="Times New Roman" w:eastAsia="SimSun" w:hAnsi="Times New Roman" w:hint="eastAsia"/>
          <w:bCs w:val="0"/>
          <w:sz w:val="24"/>
          <w:szCs w:val="24"/>
        </w:rPr>
        <w:t>VII</w:t>
      </w:r>
      <w:r>
        <w:rPr>
          <w:rFonts w:ascii="宋体" w:eastAsia="宋体" w:cs="宋体" w:hint="eastAsia"/>
          <w:bCs w:val="0"/>
          <w:sz w:val="24"/>
          <w:szCs w:val="24"/>
        </w:rPr>
        <w:t>．</w:t>
      </w:r>
      <w:r>
        <w:rPr>
          <w:rFonts w:ascii="Times New Roman" w:eastAsia="SimSun" w:hAnsi="Times New Roman" w:hint="eastAsia"/>
          <w:bCs w:val="0"/>
          <w:sz w:val="24"/>
          <w:szCs w:val="24"/>
        </w:rPr>
        <w:t>Deepening the market-based interest-rate reform</w:t>
      </w:r>
      <w:bookmarkEnd w:id="48"/>
    </w:p>
    <w:p w:rsidR="008451C7" w:rsidRDefault="008451C7" w:rsidP="008451C7">
      <w:pPr>
        <w:spacing w:line="360" w:lineRule="auto"/>
        <w:rPr>
          <w:sz w:val="24"/>
        </w:rPr>
      </w:pPr>
      <w:r>
        <w:rPr>
          <w:rFonts w:hint="eastAsia"/>
          <w:sz w:val="24"/>
        </w:rPr>
        <w:t>Continu</w:t>
      </w:r>
      <w:r>
        <w:rPr>
          <w:sz w:val="24"/>
        </w:rPr>
        <w:t>ed</w:t>
      </w:r>
      <w:r>
        <w:rPr>
          <w:rFonts w:hint="eastAsia"/>
          <w:sz w:val="24"/>
        </w:rPr>
        <w:t xml:space="preserve"> efforts were made to deepen the market-based interest-rate reform. The PBC further promoted the orderly development of interbank CDs and </w:t>
      </w:r>
      <w:r>
        <w:rPr>
          <w:sz w:val="24"/>
        </w:rPr>
        <w:t xml:space="preserve">large-value </w:t>
      </w:r>
      <w:r>
        <w:rPr>
          <w:rFonts w:hint="eastAsia"/>
          <w:sz w:val="24"/>
        </w:rPr>
        <w:t>CDs</w:t>
      </w:r>
      <w:r>
        <w:rPr>
          <w:sz w:val="24"/>
        </w:rPr>
        <w:t>,</w:t>
      </w:r>
      <w:r>
        <w:rPr>
          <w:rFonts w:hint="eastAsia"/>
          <w:sz w:val="24"/>
        </w:rPr>
        <w:t xml:space="preserve"> and gradually expanded the market-oriented pricing range of </w:t>
      </w:r>
      <w:r>
        <w:rPr>
          <w:sz w:val="24"/>
        </w:rPr>
        <w:t xml:space="preserve">liability products in </w:t>
      </w:r>
      <w:r>
        <w:rPr>
          <w:rFonts w:hint="eastAsia"/>
          <w:sz w:val="24"/>
        </w:rPr>
        <w:t>financial institutions. The main issue</w:t>
      </w:r>
      <w:r>
        <w:rPr>
          <w:sz w:val="24"/>
        </w:rPr>
        <w:t>rs</w:t>
      </w:r>
      <w:r>
        <w:rPr>
          <w:rFonts w:hint="eastAsia"/>
          <w:sz w:val="24"/>
        </w:rPr>
        <w:t xml:space="preserve"> of interbank CDs and </w:t>
      </w:r>
      <w:r>
        <w:rPr>
          <w:sz w:val="24"/>
        </w:rPr>
        <w:t xml:space="preserve">large-value </w:t>
      </w:r>
      <w:r>
        <w:rPr>
          <w:rFonts w:hint="eastAsia"/>
          <w:sz w:val="24"/>
        </w:rPr>
        <w:t xml:space="preserve">CDs were adjusted according to the results of the </w:t>
      </w:r>
      <w:r>
        <w:rPr>
          <w:sz w:val="24"/>
        </w:rPr>
        <w:t xml:space="preserve">2018 </w:t>
      </w:r>
      <w:r>
        <w:rPr>
          <w:rFonts w:hint="eastAsia"/>
          <w:sz w:val="24"/>
        </w:rPr>
        <w:t>qualified prudential assessment of financial institutions. The number of main issue</w:t>
      </w:r>
      <w:r>
        <w:rPr>
          <w:sz w:val="24"/>
        </w:rPr>
        <w:t>rs</w:t>
      </w:r>
      <w:r>
        <w:rPr>
          <w:rFonts w:hint="eastAsia"/>
          <w:sz w:val="24"/>
        </w:rPr>
        <w:t xml:space="preserve"> of interbank CDs increased from 1,712 to 2,051, and </w:t>
      </w:r>
      <w:r>
        <w:rPr>
          <w:sz w:val="24"/>
        </w:rPr>
        <w:t>the number</w:t>
      </w:r>
      <w:r>
        <w:rPr>
          <w:rFonts w:hint="eastAsia"/>
          <w:sz w:val="24"/>
        </w:rPr>
        <w:t xml:space="preserve"> of </w:t>
      </w:r>
      <w:r>
        <w:rPr>
          <w:sz w:val="24"/>
        </w:rPr>
        <w:t xml:space="preserve">large-value </w:t>
      </w:r>
      <w:r>
        <w:rPr>
          <w:rFonts w:hint="eastAsia"/>
          <w:sz w:val="24"/>
        </w:rPr>
        <w:t xml:space="preserve">CDs expanded from 543 to 1,197. </w:t>
      </w:r>
      <w:r>
        <w:rPr>
          <w:sz w:val="24"/>
        </w:rPr>
        <w:t>At the same time</w:t>
      </w:r>
      <w:r>
        <w:rPr>
          <w:rFonts w:hint="eastAsia"/>
          <w:sz w:val="24"/>
        </w:rPr>
        <w:t xml:space="preserve">, the PBC </w:t>
      </w:r>
      <w:r>
        <w:rPr>
          <w:sz w:val="24"/>
        </w:rPr>
        <w:t xml:space="preserve">will continue to improve the market interest-rate pricing self-discipline mechanism, give full play to the role of the self-discipline mechanism to maintain order in market competition, guide financial institutions to establish independent and reasonable pricing, improve the market-oriented interest-rate formation, regulation, and transmission mechanism, and promote a gradual “two track” interest rate. </w:t>
      </w:r>
    </w:p>
    <w:p w:rsidR="008451C7" w:rsidRDefault="008451C7" w:rsidP="008451C7">
      <w:pPr>
        <w:spacing w:line="360" w:lineRule="auto"/>
        <w:rPr>
          <w:color w:val="0000FF"/>
          <w:sz w:val="24"/>
        </w:rPr>
      </w:pPr>
    </w:p>
    <w:p w:rsidR="008451C7" w:rsidRDefault="008451C7" w:rsidP="008451C7">
      <w:pPr>
        <w:pStyle w:val="2"/>
        <w:spacing w:line="360" w:lineRule="auto"/>
        <w:ind w:firstLineChars="0" w:firstLine="0"/>
        <w:rPr>
          <w:rFonts w:ascii="Times New Roman" w:eastAsia="SimSun" w:hAnsi="Times New Roman"/>
          <w:bCs w:val="0"/>
          <w:sz w:val="24"/>
          <w:szCs w:val="24"/>
        </w:rPr>
      </w:pPr>
      <w:bookmarkStart w:id="49" w:name="_Toc14092"/>
      <w:bookmarkStart w:id="50" w:name="_Toc532201089"/>
      <w:bookmarkStart w:id="51" w:name="_Toc441161780"/>
      <w:bookmarkStart w:id="52" w:name="_Toc426729154"/>
      <w:r>
        <w:rPr>
          <w:rFonts w:ascii="Times New Roman" w:eastAsia="SimSun" w:hAnsi="Times New Roman" w:hint="eastAsia"/>
          <w:bCs w:val="0"/>
          <w:sz w:val="24"/>
          <w:szCs w:val="24"/>
        </w:rPr>
        <w:t xml:space="preserve">VIII. Improving the market-based RMB exchange-rate </w:t>
      </w:r>
      <w:bookmarkEnd w:id="49"/>
      <w:r>
        <w:rPr>
          <w:rFonts w:ascii="Times New Roman" w:eastAsia="SimSun" w:hAnsi="Times New Roman" w:hint="eastAsia"/>
          <w:bCs w:val="0"/>
          <w:sz w:val="24"/>
          <w:szCs w:val="24"/>
        </w:rPr>
        <w:t>regime</w:t>
      </w:r>
      <w:bookmarkEnd w:id="50"/>
    </w:p>
    <w:p w:rsidR="008451C7" w:rsidRDefault="008451C7" w:rsidP="008451C7">
      <w:pPr>
        <w:spacing w:line="360" w:lineRule="auto"/>
        <w:rPr>
          <w:sz w:val="24"/>
        </w:rPr>
      </w:pPr>
      <w:r>
        <w:rPr>
          <w:rFonts w:hint="eastAsia"/>
          <w:sz w:val="24"/>
        </w:rPr>
        <w:t xml:space="preserve">Since the beginning of 2018, cross-border capital flows and demand and supply on the foreign-exchange market </w:t>
      </w:r>
      <w:r>
        <w:rPr>
          <w:sz w:val="24"/>
        </w:rPr>
        <w:t xml:space="preserve">have </w:t>
      </w:r>
      <w:r>
        <w:rPr>
          <w:rFonts w:hint="eastAsia"/>
          <w:sz w:val="24"/>
        </w:rPr>
        <w:t xml:space="preserve">basically </w:t>
      </w:r>
      <w:r>
        <w:rPr>
          <w:sz w:val="24"/>
        </w:rPr>
        <w:t xml:space="preserve">been </w:t>
      </w:r>
      <w:r>
        <w:rPr>
          <w:rFonts w:hint="eastAsia"/>
          <w:sz w:val="24"/>
        </w:rPr>
        <w:t>balanced. Expectations about the RMB exchange</w:t>
      </w:r>
      <w:r>
        <w:rPr>
          <w:sz w:val="24"/>
        </w:rPr>
        <w:t xml:space="preserve"> </w:t>
      </w:r>
      <w:r>
        <w:rPr>
          <w:rFonts w:hint="eastAsia"/>
          <w:sz w:val="24"/>
        </w:rPr>
        <w:t xml:space="preserve">rate were stable. The RMB exchange rate experienced appreciations and depreciations, fluctuating in </w:t>
      </w:r>
      <w:r>
        <w:rPr>
          <w:sz w:val="24"/>
        </w:rPr>
        <w:t>both directions</w:t>
      </w:r>
      <w:r>
        <w:rPr>
          <w:rFonts w:hint="eastAsia"/>
          <w:sz w:val="24"/>
        </w:rPr>
        <w:t xml:space="preserve"> in </w:t>
      </w:r>
      <w:r>
        <w:rPr>
          <w:sz w:val="24"/>
        </w:rPr>
        <w:t>the</w:t>
      </w:r>
      <w:r>
        <w:rPr>
          <w:rFonts w:hint="eastAsia"/>
          <w:sz w:val="24"/>
        </w:rPr>
        <w:t xml:space="preserve"> market-driven environment. Since the second quarter, the RMB exchange rate depreciated due to a </w:t>
      </w:r>
      <w:r>
        <w:rPr>
          <w:sz w:val="24"/>
        </w:rPr>
        <w:t xml:space="preserve">strengthening of the  </w:t>
      </w:r>
      <w:r>
        <w:rPr>
          <w:rFonts w:hint="eastAsia"/>
          <w:sz w:val="24"/>
        </w:rPr>
        <w:t xml:space="preserve"> US dollar index and trade </w:t>
      </w:r>
      <w:r>
        <w:rPr>
          <w:sz w:val="24"/>
        </w:rPr>
        <w:t>tension</w:t>
      </w:r>
      <w:r>
        <w:rPr>
          <w:rFonts w:hint="eastAsia"/>
          <w:sz w:val="24"/>
        </w:rPr>
        <w:t xml:space="preserve">s. The PBC adopted a series of targeted measures to stabilize market expectations and </w:t>
      </w:r>
      <w:r>
        <w:rPr>
          <w:sz w:val="24"/>
        </w:rPr>
        <w:t xml:space="preserve">to </w:t>
      </w:r>
      <w:r>
        <w:rPr>
          <w:rFonts w:hint="eastAsia"/>
          <w:sz w:val="24"/>
        </w:rPr>
        <w:t xml:space="preserve">maintain </w:t>
      </w:r>
      <w:r>
        <w:rPr>
          <w:sz w:val="24"/>
        </w:rPr>
        <w:t xml:space="preserve">the </w:t>
      </w:r>
      <w:r>
        <w:rPr>
          <w:rFonts w:hint="eastAsia"/>
          <w:sz w:val="24"/>
        </w:rPr>
        <w:t>smooth operation of the foreign</w:t>
      </w:r>
      <w:r>
        <w:rPr>
          <w:sz w:val="24"/>
        </w:rPr>
        <w:t>-</w:t>
      </w:r>
      <w:r>
        <w:rPr>
          <w:rFonts w:hint="eastAsia"/>
          <w:sz w:val="24"/>
        </w:rPr>
        <w:t xml:space="preserve"> exchange market, including enhancing communication</w:t>
      </w:r>
      <w:r>
        <w:rPr>
          <w:sz w:val="24"/>
        </w:rPr>
        <w:t>s</w:t>
      </w:r>
      <w:r>
        <w:rPr>
          <w:rFonts w:hint="eastAsia"/>
          <w:sz w:val="24"/>
        </w:rPr>
        <w:t xml:space="preserve"> with the market and </w:t>
      </w:r>
      <w:r>
        <w:rPr>
          <w:sz w:val="24"/>
        </w:rPr>
        <w:t>resuming</w:t>
      </w:r>
      <w:r>
        <w:rPr>
          <w:rFonts w:hint="eastAsia"/>
          <w:sz w:val="24"/>
        </w:rPr>
        <w:t xml:space="preserve"> the risk reserve policy for forward sales. The banks </w:t>
      </w:r>
      <w:r>
        <w:rPr>
          <w:sz w:val="24"/>
        </w:rPr>
        <w:t>quoting</w:t>
      </w:r>
      <w:r>
        <w:rPr>
          <w:rFonts w:hint="eastAsia"/>
          <w:sz w:val="24"/>
        </w:rPr>
        <w:t xml:space="preserve"> </w:t>
      </w:r>
      <w:r>
        <w:rPr>
          <w:sz w:val="24"/>
        </w:rPr>
        <w:t xml:space="preserve">the </w:t>
      </w:r>
      <w:r>
        <w:rPr>
          <w:rFonts w:hint="eastAsia"/>
          <w:sz w:val="24"/>
        </w:rPr>
        <w:t xml:space="preserve">central </w:t>
      </w:r>
      <w:r>
        <w:rPr>
          <w:sz w:val="24"/>
        </w:rPr>
        <w:t>parity</w:t>
      </w:r>
      <w:r>
        <w:rPr>
          <w:rFonts w:hint="eastAsia"/>
          <w:sz w:val="24"/>
        </w:rPr>
        <w:t xml:space="preserve"> </w:t>
      </w:r>
      <w:r>
        <w:rPr>
          <w:sz w:val="24"/>
        </w:rPr>
        <w:t>of</w:t>
      </w:r>
      <w:r>
        <w:rPr>
          <w:rFonts w:hint="eastAsia"/>
          <w:sz w:val="24"/>
        </w:rPr>
        <w:t xml:space="preserve"> the RMB against the USD also </w:t>
      </w:r>
      <w:r>
        <w:rPr>
          <w:sz w:val="24"/>
        </w:rPr>
        <w:t>resumed</w:t>
      </w:r>
      <w:r>
        <w:rPr>
          <w:rFonts w:hint="eastAsia"/>
          <w:sz w:val="24"/>
        </w:rPr>
        <w:t xml:space="preserve"> </w:t>
      </w:r>
      <w:r>
        <w:rPr>
          <w:sz w:val="24"/>
        </w:rPr>
        <w:t xml:space="preserve">placed counter-cyclical factors in the central parity quotation </w:t>
      </w:r>
      <w:r>
        <w:rPr>
          <w:rFonts w:hint="eastAsia"/>
          <w:sz w:val="24"/>
        </w:rPr>
        <w:t xml:space="preserve">based on their judgments </w:t>
      </w:r>
      <w:r>
        <w:rPr>
          <w:sz w:val="24"/>
        </w:rPr>
        <w:t>about</w:t>
      </w:r>
      <w:r>
        <w:rPr>
          <w:rFonts w:hint="eastAsia"/>
          <w:sz w:val="24"/>
        </w:rPr>
        <w:t xml:space="preserve"> the market situation. All these measures </w:t>
      </w:r>
      <w:r>
        <w:rPr>
          <w:sz w:val="24"/>
        </w:rPr>
        <w:t>sent out</w:t>
      </w:r>
      <w:r>
        <w:rPr>
          <w:rFonts w:hint="eastAsia"/>
          <w:sz w:val="24"/>
        </w:rPr>
        <w:t xml:space="preserve"> positive signals and achieved positive results, resulting in basically stable market expectations and </w:t>
      </w:r>
      <w:r>
        <w:rPr>
          <w:sz w:val="24"/>
        </w:rPr>
        <w:t xml:space="preserve">a </w:t>
      </w:r>
      <w:r>
        <w:rPr>
          <w:rFonts w:hint="eastAsia"/>
          <w:sz w:val="24"/>
        </w:rPr>
        <w:t xml:space="preserve">basically stable RMB exchange rate at a reasonable </w:t>
      </w:r>
      <w:r>
        <w:rPr>
          <w:rFonts w:hint="eastAsia"/>
          <w:sz w:val="24"/>
        </w:rPr>
        <w:lastRenderedPageBreak/>
        <w:t xml:space="preserve">and </w:t>
      </w:r>
      <w:r>
        <w:rPr>
          <w:sz w:val="24"/>
        </w:rPr>
        <w:t>equilibrium</w:t>
      </w:r>
      <w:r>
        <w:rPr>
          <w:rFonts w:hint="eastAsia"/>
          <w:sz w:val="24"/>
        </w:rPr>
        <w:t xml:space="preserve"> level.</w:t>
      </w:r>
    </w:p>
    <w:p w:rsidR="008451C7" w:rsidRDefault="008451C7" w:rsidP="008451C7">
      <w:pPr>
        <w:spacing w:line="360" w:lineRule="auto"/>
        <w:rPr>
          <w:color w:val="0000FF"/>
          <w:sz w:val="24"/>
        </w:rPr>
      </w:pPr>
    </w:p>
    <w:p w:rsidR="008451C7" w:rsidRDefault="008451C7" w:rsidP="008451C7">
      <w:pPr>
        <w:spacing w:line="360" w:lineRule="auto"/>
        <w:rPr>
          <w:sz w:val="24"/>
        </w:rPr>
      </w:pPr>
      <w:r>
        <w:rPr>
          <w:rFonts w:hint="eastAsia"/>
          <w:sz w:val="24"/>
        </w:rPr>
        <w:t xml:space="preserve">In </w:t>
      </w:r>
      <w:r>
        <w:rPr>
          <w:sz w:val="24"/>
        </w:rPr>
        <w:t>Q3</w:t>
      </w:r>
      <w:r>
        <w:rPr>
          <w:rFonts w:hint="eastAsia"/>
          <w:sz w:val="24"/>
        </w:rPr>
        <w:t>, the highest and lowest central parities of the RMB against the USD were RMB 6.6157 and RMB 6.8946 per USD, respectively. During the 64 trading days, the RMB appreciated on 22 days and depreciated on 42 days. The biggest intra-day appreciation and depreciation were 0.67 percent (456 bps) and 0.89 percent (605 bps), respectively. The movement of the RMB against the euro, the Japanese yen, and other major currencies diverged. At end-September, the central parities of the RMB against the euro and the Japanese yen stood at RMB 8.0111 per euro and RMB 6.0705 per 100 yen, representing a depreciation of 2.61 percent and 4.65 percent from end</w:t>
      </w:r>
      <w:r>
        <w:rPr>
          <w:sz w:val="24"/>
        </w:rPr>
        <w:t>-</w:t>
      </w:r>
      <w:r>
        <w:rPr>
          <w:rFonts w:hint="eastAsia"/>
          <w:sz w:val="24"/>
        </w:rPr>
        <w:t xml:space="preserve">2017, respectively. During the period between 2005, when the RMB exchange-rate regime reform was unveiled, and end-September 2018, the RMB appreciated by a cumulative 25.00 percent against the euro and 20.35 percent against the yen. </w:t>
      </w:r>
      <w:r>
        <w:rPr>
          <w:sz w:val="24"/>
        </w:rPr>
        <w:t>During</w:t>
      </w:r>
      <w:r>
        <w:rPr>
          <w:rFonts w:hint="eastAsia"/>
          <w:sz w:val="24"/>
        </w:rPr>
        <w:t xml:space="preserve"> the first three quarters, direct RMB trading was buoyant in the interbank foreign-exchange market, with a clear increase in liquidity, which lowered the conversion costs for market participants and facilitated bilateral trade and investment.</w:t>
      </w:r>
    </w:p>
    <w:p w:rsidR="009674D4" w:rsidRPr="009674D4" w:rsidRDefault="009674D4" w:rsidP="00D34149">
      <w:pPr>
        <w:pStyle w:val="a5"/>
        <w:keepNext/>
        <w:pBdr>
          <w:top w:val="none" w:sz="0" w:space="0" w:color="auto"/>
          <w:left w:val="none" w:sz="0" w:space="0" w:color="auto"/>
          <w:bottom w:val="none" w:sz="0" w:space="0" w:color="auto"/>
          <w:right w:val="none" w:sz="0" w:space="0" w:color="auto"/>
        </w:pBdr>
        <w:shd w:val="clear" w:color="auto" w:fill="CCFFCC"/>
        <w:spacing w:before="156" w:after="156" w:line="360" w:lineRule="auto"/>
        <w:jc w:val="both"/>
        <w:rPr>
          <w:rFonts w:ascii="Times New Roman"/>
          <w:b/>
          <w:sz w:val="24"/>
        </w:rPr>
      </w:pPr>
      <w:bookmarkStart w:id="53" w:name="_Toc532201922"/>
      <w:r w:rsidRPr="009674D4">
        <w:rPr>
          <w:rFonts w:ascii="Times New Roman"/>
          <w:b/>
          <w:sz w:val="24"/>
        </w:rPr>
        <w:t xml:space="preserve">Box </w:t>
      </w:r>
      <w:r w:rsidR="002447A7" w:rsidRPr="009674D4">
        <w:rPr>
          <w:rFonts w:ascii="Times New Roman"/>
          <w:b/>
          <w:sz w:val="24"/>
        </w:rPr>
        <w:fldChar w:fldCharType="begin"/>
      </w:r>
      <w:r w:rsidRPr="009674D4">
        <w:rPr>
          <w:rFonts w:ascii="Times New Roman"/>
          <w:b/>
          <w:sz w:val="24"/>
        </w:rPr>
        <w:instrText xml:space="preserve"> SEQ Box \* ARABIC </w:instrText>
      </w:r>
      <w:r w:rsidR="002447A7" w:rsidRPr="009674D4">
        <w:rPr>
          <w:rFonts w:ascii="Times New Roman"/>
          <w:b/>
          <w:sz w:val="24"/>
        </w:rPr>
        <w:fldChar w:fldCharType="separate"/>
      </w:r>
      <w:r w:rsidR="00EC1136">
        <w:rPr>
          <w:rFonts w:ascii="Times New Roman"/>
          <w:b/>
          <w:noProof/>
          <w:sz w:val="24"/>
        </w:rPr>
        <w:t>3</w:t>
      </w:r>
      <w:r w:rsidR="002447A7" w:rsidRPr="009674D4">
        <w:rPr>
          <w:rFonts w:ascii="Times New Roman"/>
          <w:b/>
          <w:sz w:val="24"/>
        </w:rPr>
        <w:fldChar w:fldCharType="end"/>
      </w:r>
      <w:r w:rsidRPr="009674D4">
        <w:rPr>
          <w:rFonts w:ascii="Times New Roman"/>
          <w:b/>
          <w:sz w:val="24"/>
        </w:rPr>
        <w:t xml:space="preserve"> Construction of a Self-Disciplinary Mechanism Tailored to the Development of the Foreign-Exchange Market</w:t>
      </w:r>
      <w:bookmarkEnd w:id="53"/>
    </w:p>
    <w:p w:rsidR="008451C7" w:rsidRDefault="008451C7" w:rsidP="008451C7">
      <w:pPr>
        <w:shd w:val="clear" w:color="auto" w:fill="CCFFCC"/>
        <w:spacing w:line="360" w:lineRule="auto"/>
        <w:rPr>
          <w:sz w:val="24"/>
        </w:rPr>
      </w:pPr>
      <w:r>
        <w:rPr>
          <w:sz w:val="24"/>
        </w:rPr>
        <w:t xml:space="preserve">China has made significant achievements in its market-oriented foreign-exchange reform since 2005. The RMB exchange rate has become more market-oriented and flexible, and it has remained basically stable at a reasonable and equilibrium level, which greatly contributes to a more resilient macro economy, transformation of the monetary-policy framework, and adjustment of the economic structure. With the furthering of market-oriented foreign-exchange reforms, participants on the foreign-exchange market are granted more rights, which in turn calls for a better foreign-exchange management system to conform with market developments. In pursuit of orderly operations and the sound development of the foreign-exchange market as well as the safeguarding of its normal competitive order, self-disciplinary practices by market participants should play a bigger role, and the change from the </w:t>
      </w:r>
      <w:r>
        <w:rPr>
          <w:sz w:val="24"/>
        </w:rPr>
        <w:lastRenderedPageBreak/>
        <w:t>previous “heteronomy” to the co-existence of “heteronomy” and “autonomy” should be promoted. Therefore, under the guidance of the PBC and the SAFE, CFETS took the lead in establishing the Foreign-Exchange Self-Disciplinary Mechanism (the Mechanism) in June 2016, and set up the China Foreign Exchange Committee (CFXC) in April 2017. The Mechanism is a market self-disciplinary and coordinating mechanism for participants in the foreign-exchange and relative markets, providing a platform for these participants to exercise their self-disciplinary rights. With reference to international experiences, the CFXC is composed of representatives from the PBC, the SAFE, financial institutions, and intermediary agencies as well as foreign-exchange experts in their own name, and it is responsible for the unified administration of practices under the Mechanism from a macro perspective, such as foreign-exchange reform, development, and regulation. The two-pillar framework, underpinned by the CFXC and the Mechanism, not only entrusts self-disciplinary rights to market participants but also provides a negotiation and coordination platform for administrative authorities and market participants. This combination constitutes China’s foreign-exchange market self-disciplinary system, which is an innovative worldwide move.</w:t>
      </w:r>
    </w:p>
    <w:p w:rsidR="008451C7" w:rsidRDefault="008451C7" w:rsidP="008451C7">
      <w:pPr>
        <w:shd w:val="clear" w:color="auto" w:fill="CCFFCC"/>
        <w:spacing w:line="360" w:lineRule="auto"/>
        <w:rPr>
          <w:sz w:val="24"/>
        </w:rPr>
      </w:pPr>
    </w:p>
    <w:p w:rsidR="008451C7" w:rsidRDefault="008451C7" w:rsidP="008451C7">
      <w:pPr>
        <w:shd w:val="clear" w:color="auto" w:fill="CCFFCC"/>
        <w:spacing w:line="360" w:lineRule="auto"/>
        <w:rPr>
          <w:sz w:val="24"/>
        </w:rPr>
      </w:pPr>
      <w:r>
        <w:rPr>
          <w:sz w:val="24"/>
        </w:rPr>
        <w:t xml:space="preserve">Since their establishment, the Mechanism and the CFXC have made great progress in setting up and improving self-disciplinary standards and boosting self-disciplinary administration. First, a framework for self-disciplinary governance was preliminarily established. A number of documents on market standards, including the </w:t>
      </w:r>
      <w:r>
        <w:rPr>
          <w:i/>
          <w:sz w:val="24"/>
        </w:rPr>
        <w:t>Self-Disciplinary Standards on the Quotation of the Central Parity Rate by the Quoting Bank for the CNY/USD Central Parity Rate</w:t>
      </w:r>
      <w:r>
        <w:rPr>
          <w:sz w:val="24"/>
        </w:rPr>
        <w:t xml:space="preserve">, the </w:t>
      </w:r>
      <w:r>
        <w:rPr>
          <w:i/>
          <w:sz w:val="24"/>
        </w:rPr>
        <w:t>China Foreign-Exchange Market Code</w:t>
      </w:r>
      <w:r>
        <w:rPr>
          <w:sz w:val="24"/>
        </w:rPr>
        <w:t xml:space="preserve">, the </w:t>
      </w:r>
      <w:r>
        <w:rPr>
          <w:i/>
          <w:sz w:val="24"/>
        </w:rPr>
        <w:t>Rules for Carrying Out Foreign-Exchange Business by Banks</w:t>
      </w:r>
      <w:r>
        <w:rPr>
          <w:sz w:val="24"/>
        </w:rPr>
        <w:t xml:space="preserve">, and the </w:t>
      </w:r>
      <w:r>
        <w:rPr>
          <w:i/>
          <w:sz w:val="24"/>
        </w:rPr>
        <w:t>Rules for Carrying Out Cross-border RMB Business by Banks</w:t>
      </w:r>
      <w:r>
        <w:rPr>
          <w:sz w:val="24"/>
        </w:rPr>
        <w:t xml:space="preserve"> were released to provide guidance for self-disciplinary practices on the foreign-exchange market. Second, great efforts were made to implement various self-disciplinary standards, publicizing and consolidating the philosophy of self-discipline. By signing on to adhere to commitment to the foreign-exchange code and to conventions on carrying </w:t>
      </w:r>
      <w:r>
        <w:rPr>
          <w:sz w:val="24"/>
        </w:rPr>
        <w:lastRenderedPageBreak/>
        <w:t>out foreign-exchange and cross-border RMB business, financial institutions were encouraged to conscientiously implement self-disciplinary rules. Efforts were made to strengthen the publicity and training of self-disciplinary standards and awareness, to widely spread the philosophy of self-discipline, and to inspire the entire sector to conscientiously follow the self-disciplinary standards. Third, continued efforts were made to improve the incentive and constraint mechanism for self-disciplinary practices.  Mechanism members were urged to follow self-disciplinary standards through an evaluation of such practices. “Bad money drives out good” was avoided and members were provided with professional consultations and suggestions. Based on the evaluation results, Mechanism members were classified into different categories and granted various rights and obligations, which guided them to better adhere to the self-disciplinary standards. This evaluation was also an important component of the macro-prudential assessment (MPA) by the PBC. Fourth, international exchanges were actively expanded in this area. In May 2017, China joined the Global Foreign Exchange Committee as a founding member, and it remains deeply involved in the formulation and improvement of the Global Foreign Exchange Code.</w:t>
      </w:r>
    </w:p>
    <w:p w:rsidR="008451C7" w:rsidRDefault="008451C7" w:rsidP="008451C7">
      <w:pPr>
        <w:shd w:val="clear" w:color="auto" w:fill="CCFFCC"/>
        <w:spacing w:line="360" w:lineRule="auto"/>
        <w:rPr>
          <w:sz w:val="24"/>
        </w:rPr>
      </w:pPr>
    </w:p>
    <w:p w:rsidR="008451C7" w:rsidRDefault="008451C7" w:rsidP="008451C7">
      <w:pPr>
        <w:shd w:val="clear" w:color="auto" w:fill="CCFFCC"/>
        <w:spacing w:line="360" w:lineRule="auto"/>
        <w:rPr>
          <w:sz w:val="24"/>
        </w:rPr>
      </w:pPr>
      <w:r>
        <w:rPr>
          <w:sz w:val="24"/>
        </w:rPr>
        <w:t xml:space="preserve">The 19th National Congress of the CPC proposed a deepening of the market-based exchange-rate reform, which is also an important component of building a new pattern for comprehensively opening up. A prudent, efficient, fair, and regulated foreign-exchange market with width and depth, conducive to forming an equilibrium exchange rate, transmitting exchange-rate signals, guiding the orderly flow of funds, and optimizing the allocation of resources is an important foundation for furthering the market-based exchange-rate reform. Going forward, the PBC and the SAFE will continue to supervise the deepening of the Mechanism and improve self-disciplinary administration, and will achieve positive interactions between self-discipline under the Mechanism and regulation by the supervisory authorities. More efforts will be made to improve self-disciplinary standards in line with market changes, promote incentive and constraint mechanisms, strongly boost the implementation of </w:t>
      </w:r>
      <w:r>
        <w:rPr>
          <w:sz w:val="24"/>
        </w:rPr>
        <w:lastRenderedPageBreak/>
        <w:t>self-disciplinary standards by Mechanism members, and strengthen international exchanges and cooperation. The role of front-line market participants in the market-based exchange-rate reform should be tapped, while disorderly competition should be prevented, thereby strengthening the capability of the foreign-exchange market to prevent and resolve financial risks, and to consolidate the micro foundation of the market-oriented exchange-rate reform and foreign-exchange market development.</w:t>
      </w:r>
    </w:p>
    <w:p w:rsidR="0014610D" w:rsidRPr="0014610D" w:rsidRDefault="0014610D" w:rsidP="0014610D">
      <w:pPr>
        <w:keepNext/>
        <w:spacing w:line="360" w:lineRule="auto"/>
        <w:jc w:val="center"/>
        <w:rPr>
          <w:b/>
          <w:sz w:val="24"/>
        </w:rPr>
      </w:pPr>
      <w:bookmarkStart w:id="54" w:name="_Toc532203070"/>
      <w:r w:rsidRPr="0014610D">
        <w:rPr>
          <w:b/>
          <w:sz w:val="24"/>
        </w:rPr>
        <w:t xml:space="preserve">Table </w:t>
      </w:r>
      <w:r w:rsidR="002447A7" w:rsidRPr="0014610D">
        <w:rPr>
          <w:b/>
          <w:sz w:val="24"/>
        </w:rPr>
        <w:fldChar w:fldCharType="begin"/>
      </w:r>
      <w:r w:rsidRPr="0014610D">
        <w:rPr>
          <w:b/>
          <w:sz w:val="24"/>
        </w:rPr>
        <w:instrText xml:space="preserve"> SEQ Table \* ARABIC </w:instrText>
      </w:r>
      <w:r w:rsidR="002447A7" w:rsidRPr="0014610D">
        <w:rPr>
          <w:b/>
          <w:sz w:val="24"/>
        </w:rPr>
        <w:fldChar w:fldCharType="separate"/>
      </w:r>
      <w:r w:rsidR="00EC1136">
        <w:rPr>
          <w:b/>
          <w:noProof/>
          <w:sz w:val="24"/>
        </w:rPr>
        <w:t>7</w:t>
      </w:r>
      <w:r w:rsidR="002447A7" w:rsidRPr="0014610D">
        <w:rPr>
          <w:b/>
          <w:sz w:val="24"/>
        </w:rPr>
        <w:fldChar w:fldCharType="end"/>
      </w:r>
      <w:r w:rsidRPr="0014610D">
        <w:rPr>
          <w:b/>
          <w:sz w:val="24"/>
        </w:rPr>
        <w:t xml:space="preserve"> </w:t>
      </w:r>
      <w:r w:rsidRPr="00EE3C76">
        <w:rPr>
          <w:b/>
          <w:sz w:val="24"/>
        </w:rPr>
        <w:t>Trading Volume of the RMB Against Other Currencies in the Interbank Foreign-Exchange Spot Market, Q3 2018</w:t>
      </w:r>
      <w:bookmarkEnd w:id="54"/>
    </w:p>
    <w:p w:rsidR="008451C7" w:rsidRDefault="008451C7" w:rsidP="008451C7">
      <w:pPr>
        <w:spacing w:line="360" w:lineRule="auto"/>
        <w:ind w:right="120"/>
        <w:jc w:val="center"/>
      </w:pPr>
      <w:r>
        <w:rPr>
          <w:rFonts w:hint="eastAsia"/>
        </w:rPr>
        <w:t xml:space="preserve">                                          </w:t>
      </w:r>
      <w:r>
        <w:t>Unit</w:t>
      </w:r>
      <w:r>
        <w:rPr>
          <w:rFonts w:hint="eastAsia"/>
        </w:rPr>
        <w:t>：</w:t>
      </w:r>
      <w:r>
        <w:t>RMB 100 million</w:t>
      </w:r>
    </w:p>
    <w:tbl>
      <w:tblPr>
        <w:tblW w:w="7369" w:type="dxa"/>
        <w:jc w:val="center"/>
        <w:tblLayout w:type="fixed"/>
        <w:tblCellMar>
          <w:left w:w="0" w:type="dxa"/>
          <w:right w:w="0" w:type="dxa"/>
        </w:tblCellMar>
        <w:tblLook w:val="04A0"/>
      </w:tblPr>
      <w:tblGrid>
        <w:gridCol w:w="933"/>
        <w:gridCol w:w="718"/>
        <w:gridCol w:w="830"/>
        <w:gridCol w:w="729"/>
        <w:gridCol w:w="729"/>
        <w:gridCol w:w="728"/>
        <w:gridCol w:w="729"/>
        <w:gridCol w:w="630"/>
        <w:gridCol w:w="623"/>
        <w:gridCol w:w="720"/>
      </w:tblGrid>
      <w:tr w:rsidR="008451C7" w:rsidTr="001031BB">
        <w:trPr>
          <w:trHeight w:val="35"/>
          <w:jc w:val="center"/>
        </w:trPr>
        <w:tc>
          <w:tcPr>
            <w:tcW w:w="933" w:type="dxa"/>
            <w:tcBorders>
              <w:top w:val="single" w:sz="12" w:space="0" w:color="339966"/>
              <w:left w:val="single" w:sz="8"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Currency</w:t>
            </w:r>
          </w:p>
        </w:tc>
        <w:tc>
          <w:tcPr>
            <w:tcW w:w="718"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USD</w:t>
            </w:r>
          </w:p>
        </w:tc>
        <w:tc>
          <w:tcPr>
            <w:tcW w:w="830"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EUR</w:t>
            </w:r>
          </w:p>
        </w:tc>
        <w:tc>
          <w:tcPr>
            <w:tcW w:w="729"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JPY</w:t>
            </w:r>
          </w:p>
        </w:tc>
        <w:tc>
          <w:tcPr>
            <w:tcW w:w="729"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HKD</w:t>
            </w:r>
          </w:p>
        </w:tc>
        <w:tc>
          <w:tcPr>
            <w:tcW w:w="728"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GBP</w:t>
            </w:r>
          </w:p>
        </w:tc>
        <w:tc>
          <w:tcPr>
            <w:tcW w:w="729"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AUD</w:t>
            </w:r>
          </w:p>
        </w:tc>
        <w:tc>
          <w:tcPr>
            <w:tcW w:w="630"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NZD</w:t>
            </w:r>
          </w:p>
        </w:tc>
        <w:tc>
          <w:tcPr>
            <w:tcW w:w="623" w:type="dxa"/>
            <w:tcBorders>
              <w:top w:val="single" w:sz="12" w:space="0" w:color="339966"/>
              <w:left w:val="single" w:sz="4" w:space="0" w:color="339966"/>
              <w:bottom w:val="single" w:sz="6" w:space="0" w:color="339966"/>
              <w:right w:val="single" w:sz="4" w:space="0" w:color="339966"/>
            </w:tcBorders>
            <w:shd w:val="clear" w:color="auto" w:fill="CCFFCC"/>
            <w:vAlign w:val="center"/>
          </w:tcPr>
          <w:p w:rsidR="008451C7" w:rsidRDefault="008451C7" w:rsidP="001031BB">
            <w:pPr>
              <w:adjustRightInd w:val="0"/>
              <w:snapToGrid w:val="0"/>
              <w:spacing w:line="360" w:lineRule="auto"/>
              <w:jc w:val="center"/>
            </w:pPr>
            <w:r>
              <w:t>SGD</w:t>
            </w:r>
          </w:p>
        </w:tc>
        <w:tc>
          <w:tcPr>
            <w:tcW w:w="720" w:type="dxa"/>
            <w:tcBorders>
              <w:top w:val="single" w:sz="12" w:space="0" w:color="339966"/>
              <w:left w:val="single" w:sz="4" w:space="0" w:color="339966"/>
              <w:bottom w:val="single" w:sz="6" w:space="0" w:color="339966"/>
              <w:right w:val="single" w:sz="4" w:space="0" w:color="339966"/>
            </w:tcBorders>
            <w:shd w:val="clear" w:color="auto" w:fill="CCFFCC"/>
            <w:vAlign w:val="center"/>
          </w:tcPr>
          <w:p w:rsidR="008451C7" w:rsidRDefault="008451C7" w:rsidP="001031BB">
            <w:pPr>
              <w:adjustRightInd w:val="0"/>
              <w:snapToGrid w:val="0"/>
              <w:spacing w:line="360" w:lineRule="auto"/>
              <w:jc w:val="center"/>
            </w:pPr>
            <w:r>
              <w:t>CHF</w:t>
            </w:r>
          </w:p>
        </w:tc>
      </w:tr>
      <w:tr w:rsidR="008451C7" w:rsidTr="001031BB">
        <w:trPr>
          <w:trHeight w:val="50"/>
          <w:jc w:val="center"/>
        </w:trPr>
        <w:tc>
          <w:tcPr>
            <w:tcW w:w="933" w:type="dxa"/>
            <w:tcBorders>
              <w:top w:val="single" w:sz="6" w:space="0" w:color="339966"/>
              <w:left w:val="single" w:sz="8" w:space="0" w:color="339966"/>
              <w:bottom w:val="single" w:sz="6" w:space="0" w:color="339966"/>
              <w:right w:val="single" w:sz="4" w:space="0" w:color="339966"/>
            </w:tcBorders>
            <w:tcMar>
              <w:top w:w="15" w:type="dxa"/>
              <w:left w:w="15" w:type="dxa"/>
              <w:bottom w:w="0" w:type="dxa"/>
              <w:right w:w="15" w:type="dxa"/>
            </w:tcMar>
            <w:vAlign w:val="center"/>
          </w:tcPr>
          <w:p w:rsidR="008451C7" w:rsidRDefault="008451C7" w:rsidP="001031BB">
            <w:pPr>
              <w:adjustRightInd w:val="0"/>
              <w:snapToGrid w:val="0"/>
              <w:spacing w:line="360" w:lineRule="auto"/>
              <w:jc w:val="center"/>
            </w:pPr>
            <w:r>
              <w:t>Trading volume</w:t>
            </w:r>
          </w:p>
        </w:tc>
        <w:tc>
          <w:tcPr>
            <w:tcW w:w="718"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135535.55</w:t>
            </w:r>
          </w:p>
        </w:tc>
        <w:tc>
          <w:tcPr>
            <w:tcW w:w="830"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1535.03</w:t>
            </w:r>
          </w:p>
        </w:tc>
        <w:tc>
          <w:tcPr>
            <w:tcW w:w="729"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749.25</w:t>
            </w:r>
          </w:p>
        </w:tc>
        <w:tc>
          <w:tcPr>
            <w:tcW w:w="729"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595.73</w:t>
            </w:r>
          </w:p>
        </w:tc>
        <w:tc>
          <w:tcPr>
            <w:tcW w:w="728"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178.94</w:t>
            </w:r>
          </w:p>
        </w:tc>
        <w:tc>
          <w:tcPr>
            <w:tcW w:w="729"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216.56</w:t>
            </w:r>
          </w:p>
        </w:tc>
        <w:tc>
          <w:tcPr>
            <w:tcW w:w="630"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45.82</w:t>
            </w:r>
          </w:p>
        </w:tc>
        <w:tc>
          <w:tcPr>
            <w:tcW w:w="623" w:type="dxa"/>
            <w:tcBorders>
              <w:top w:val="single" w:sz="6" w:space="0" w:color="339966"/>
              <w:left w:val="single" w:sz="4" w:space="0" w:color="339966"/>
              <w:bottom w:val="single" w:sz="6" w:space="0" w:color="339966"/>
              <w:right w:val="single" w:sz="4" w:space="0" w:color="339966"/>
            </w:tcBorders>
            <w:vAlign w:val="center"/>
          </w:tcPr>
          <w:p w:rsidR="008451C7" w:rsidRDefault="008451C7" w:rsidP="001031BB">
            <w:pPr>
              <w:jc w:val="center"/>
            </w:pPr>
            <w:r>
              <w:rPr>
                <w:rFonts w:ascii="SimSun" w:hAnsi="SimSun" w:cs="SimSun" w:hint="eastAsia"/>
                <w:color w:val="000000"/>
                <w:sz w:val="18"/>
                <w:szCs w:val="18"/>
              </w:rPr>
              <w:t>121.14</w:t>
            </w:r>
          </w:p>
        </w:tc>
        <w:tc>
          <w:tcPr>
            <w:tcW w:w="720" w:type="dxa"/>
            <w:tcBorders>
              <w:top w:val="single" w:sz="6" w:space="0" w:color="339966"/>
              <w:left w:val="single" w:sz="4" w:space="0" w:color="339966"/>
              <w:bottom w:val="single" w:sz="6" w:space="0" w:color="339966"/>
              <w:right w:val="single" w:sz="4" w:space="0" w:color="339966"/>
            </w:tcBorders>
            <w:vAlign w:val="center"/>
          </w:tcPr>
          <w:p w:rsidR="008451C7" w:rsidRDefault="008451C7" w:rsidP="001031BB">
            <w:pPr>
              <w:jc w:val="center"/>
            </w:pPr>
            <w:r>
              <w:rPr>
                <w:rFonts w:ascii="SimSun" w:hAnsi="SimSun" w:cs="SimSun" w:hint="eastAsia"/>
                <w:color w:val="000000"/>
                <w:sz w:val="18"/>
                <w:szCs w:val="18"/>
              </w:rPr>
              <w:t>26.40</w:t>
            </w:r>
          </w:p>
        </w:tc>
      </w:tr>
      <w:tr w:rsidR="008451C7" w:rsidTr="001031BB">
        <w:trPr>
          <w:trHeight w:val="446"/>
          <w:jc w:val="center"/>
        </w:trPr>
        <w:tc>
          <w:tcPr>
            <w:tcW w:w="933" w:type="dxa"/>
            <w:tcBorders>
              <w:top w:val="single" w:sz="6" w:space="0" w:color="339966"/>
              <w:left w:val="single" w:sz="8"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Currency</w:t>
            </w:r>
          </w:p>
        </w:tc>
        <w:tc>
          <w:tcPr>
            <w:tcW w:w="718"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CAD</w:t>
            </w:r>
          </w:p>
        </w:tc>
        <w:tc>
          <w:tcPr>
            <w:tcW w:w="830"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MYR</w:t>
            </w:r>
          </w:p>
        </w:tc>
        <w:tc>
          <w:tcPr>
            <w:tcW w:w="729"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RUB</w:t>
            </w:r>
          </w:p>
        </w:tc>
        <w:tc>
          <w:tcPr>
            <w:tcW w:w="729"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ZAR</w:t>
            </w:r>
          </w:p>
        </w:tc>
        <w:tc>
          <w:tcPr>
            <w:tcW w:w="728"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KRW</w:t>
            </w:r>
          </w:p>
        </w:tc>
        <w:tc>
          <w:tcPr>
            <w:tcW w:w="729"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AED</w:t>
            </w:r>
          </w:p>
        </w:tc>
        <w:tc>
          <w:tcPr>
            <w:tcW w:w="630"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SAR</w:t>
            </w:r>
          </w:p>
        </w:tc>
        <w:tc>
          <w:tcPr>
            <w:tcW w:w="623" w:type="dxa"/>
            <w:tcBorders>
              <w:top w:val="single" w:sz="6" w:space="0" w:color="339966"/>
              <w:left w:val="single" w:sz="4" w:space="0" w:color="339966"/>
              <w:bottom w:val="single" w:sz="12" w:space="0" w:color="339966"/>
              <w:right w:val="single" w:sz="4" w:space="0" w:color="339966"/>
            </w:tcBorders>
            <w:shd w:val="clear" w:color="auto" w:fill="CCFFCC"/>
            <w:vAlign w:val="center"/>
          </w:tcPr>
          <w:p w:rsidR="008451C7" w:rsidRDefault="008451C7" w:rsidP="001031BB">
            <w:pPr>
              <w:adjustRightInd w:val="0"/>
              <w:snapToGrid w:val="0"/>
              <w:spacing w:line="360" w:lineRule="auto"/>
              <w:jc w:val="center"/>
            </w:pPr>
            <w:r>
              <w:t>HUF</w:t>
            </w:r>
          </w:p>
        </w:tc>
        <w:tc>
          <w:tcPr>
            <w:tcW w:w="720" w:type="dxa"/>
            <w:tcBorders>
              <w:top w:val="single" w:sz="6" w:space="0" w:color="339966"/>
              <w:left w:val="single" w:sz="4" w:space="0" w:color="339966"/>
              <w:bottom w:val="single" w:sz="12" w:space="0" w:color="339966"/>
              <w:right w:val="single" w:sz="4" w:space="0" w:color="339966"/>
            </w:tcBorders>
            <w:shd w:val="clear" w:color="auto" w:fill="CCFFCC"/>
            <w:vAlign w:val="center"/>
          </w:tcPr>
          <w:p w:rsidR="008451C7" w:rsidRDefault="008451C7" w:rsidP="001031BB">
            <w:pPr>
              <w:adjustRightInd w:val="0"/>
              <w:snapToGrid w:val="0"/>
              <w:spacing w:line="360" w:lineRule="auto"/>
              <w:jc w:val="center"/>
            </w:pPr>
            <w:r>
              <w:t>PLN</w:t>
            </w:r>
          </w:p>
        </w:tc>
      </w:tr>
      <w:tr w:rsidR="008451C7" w:rsidTr="001031BB">
        <w:trPr>
          <w:trHeight w:val="50"/>
          <w:jc w:val="center"/>
        </w:trPr>
        <w:tc>
          <w:tcPr>
            <w:tcW w:w="933" w:type="dxa"/>
            <w:tcBorders>
              <w:top w:val="single" w:sz="6" w:space="0" w:color="339966"/>
              <w:left w:val="single" w:sz="8" w:space="0" w:color="339966"/>
              <w:bottom w:val="single" w:sz="6" w:space="0" w:color="339966"/>
              <w:right w:val="single" w:sz="4" w:space="0" w:color="339966"/>
            </w:tcBorders>
            <w:tcMar>
              <w:top w:w="15" w:type="dxa"/>
              <w:left w:w="15" w:type="dxa"/>
              <w:bottom w:w="0" w:type="dxa"/>
              <w:right w:w="15" w:type="dxa"/>
            </w:tcMar>
            <w:vAlign w:val="center"/>
          </w:tcPr>
          <w:p w:rsidR="008451C7" w:rsidRDefault="008451C7" w:rsidP="001031BB">
            <w:pPr>
              <w:adjustRightInd w:val="0"/>
              <w:snapToGrid w:val="0"/>
              <w:spacing w:line="360" w:lineRule="auto"/>
              <w:jc w:val="center"/>
            </w:pPr>
            <w:r>
              <w:t>Trading volume</w:t>
            </w:r>
          </w:p>
        </w:tc>
        <w:tc>
          <w:tcPr>
            <w:tcW w:w="718"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141.85</w:t>
            </w:r>
          </w:p>
        </w:tc>
        <w:tc>
          <w:tcPr>
            <w:tcW w:w="830"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9.75</w:t>
            </w:r>
          </w:p>
        </w:tc>
        <w:tc>
          <w:tcPr>
            <w:tcW w:w="729"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49.93</w:t>
            </w:r>
          </w:p>
        </w:tc>
        <w:tc>
          <w:tcPr>
            <w:tcW w:w="729"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0.77</w:t>
            </w:r>
          </w:p>
        </w:tc>
        <w:tc>
          <w:tcPr>
            <w:tcW w:w="728"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55.19</w:t>
            </w:r>
          </w:p>
        </w:tc>
        <w:tc>
          <w:tcPr>
            <w:tcW w:w="729"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4.4</w:t>
            </w:r>
          </w:p>
        </w:tc>
        <w:tc>
          <w:tcPr>
            <w:tcW w:w="630"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3.73</w:t>
            </w:r>
          </w:p>
        </w:tc>
        <w:tc>
          <w:tcPr>
            <w:tcW w:w="623" w:type="dxa"/>
            <w:tcBorders>
              <w:top w:val="single" w:sz="6" w:space="0" w:color="339966"/>
              <w:left w:val="single" w:sz="4" w:space="0" w:color="339966"/>
              <w:bottom w:val="single" w:sz="6" w:space="0" w:color="339966"/>
              <w:right w:val="single" w:sz="4" w:space="0" w:color="339966"/>
            </w:tcBorders>
            <w:vAlign w:val="center"/>
          </w:tcPr>
          <w:p w:rsidR="008451C7" w:rsidRDefault="008451C7" w:rsidP="001031BB">
            <w:pPr>
              <w:jc w:val="center"/>
            </w:pPr>
            <w:r>
              <w:rPr>
                <w:rFonts w:ascii="SimSun" w:hAnsi="SimSun" w:cs="SimSun" w:hint="eastAsia"/>
                <w:color w:val="000000"/>
                <w:sz w:val="18"/>
                <w:szCs w:val="18"/>
              </w:rPr>
              <w:t>0.49</w:t>
            </w:r>
          </w:p>
        </w:tc>
        <w:tc>
          <w:tcPr>
            <w:tcW w:w="720" w:type="dxa"/>
            <w:tcBorders>
              <w:top w:val="single" w:sz="6" w:space="0" w:color="339966"/>
              <w:left w:val="single" w:sz="4" w:space="0" w:color="339966"/>
              <w:bottom w:val="single" w:sz="6" w:space="0" w:color="339966"/>
              <w:right w:val="single" w:sz="4" w:space="0" w:color="339966"/>
            </w:tcBorders>
            <w:vAlign w:val="center"/>
          </w:tcPr>
          <w:p w:rsidR="008451C7" w:rsidRDefault="008451C7" w:rsidP="001031BB">
            <w:pPr>
              <w:jc w:val="center"/>
            </w:pPr>
            <w:r>
              <w:rPr>
                <w:rFonts w:ascii="SimSun" w:hAnsi="SimSun" w:cs="SimSun" w:hint="eastAsia"/>
                <w:color w:val="000000"/>
                <w:sz w:val="18"/>
                <w:szCs w:val="18"/>
              </w:rPr>
              <w:t>0.43</w:t>
            </w:r>
          </w:p>
        </w:tc>
      </w:tr>
      <w:tr w:rsidR="008451C7" w:rsidTr="001031BB">
        <w:trPr>
          <w:trHeight w:val="446"/>
          <w:jc w:val="center"/>
        </w:trPr>
        <w:tc>
          <w:tcPr>
            <w:tcW w:w="933" w:type="dxa"/>
            <w:tcBorders>
              <w:top w:val="single" w:sz="6" w:space="0" w:color="339966"/>
              <w:left w:val="single" w:sz="8"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Currency</w:t>
            </w:r>
          </w:p>
        </w:tc>
        <w:tc>
          <w:tcPr>
            <w:tcW w:w="718"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DKK</w:t>
            </w:r>
          </w:p>
        </w:tc>
        <w:tc>
          <w:tcPr>
            <w:tcW w:w="830"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SEK</w:t>
            </w:r>
          </w:p>
        </w:tc>
        <w:tc>
          <w:tcPr>
            <w:tcW w:w="729"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NOK</w:t>
            </w:r>
          </w:p>
        </w:tc>
        <w:tc>
          <w:tcPr>
            <w:tcW w:w="729"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TRY</w:t>
            </w:r>
          </w:p>
        </w:tc>
        <w:tc>
          <w:tcPr>
            <w:tcW w:w="728"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t>MXN</w:t>
            </w:r>
          </w:p>
        </w:tc>
        <w:tc>
          <w:tcPr>
            <w:tcW w:w="729"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rPr>
                <w:rFonts w:hint="eastAsia"/>
              </w:rPr>
              <w:t>THB</w:t>
            </w:r>
          </w:p>
        </w:tc>
        <w:tc>
          <w:tcPr>
            <w:tcW w:w="630"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8451C7" w:rsidRDefault="008451C7" w:rsidP="001031BB">
            <w:pPr>
              <w:adjustRightInd w:val="0"/>
              <w:snapToGrid w:val="0"/>
              <w:spacing w:line="360" w:lineRule="auto"/>
              <w:jc w:val="center"/>
            </w:pPr>
            <w:r>
              <w:rPr>
                <w:rFonts w:hint="eastAsia"/>
              </w:rPr>
              <w:t>KHR</w:t>
            </w:r>
          </w:p>
        </w:tc>
        <w:tc>
          <w:tcPr>
            <w:tcW w:w="623" w:type="dxa"/>
            <w:tcBorders>
              <w:top w:val="single" w:sz="6" w:space="0" w:color="339966"/>
              <w:left w:val="single" w:sz="4" w:space="0" w:color="339966"/>
              <w:bottom w:val="single" w:sz="12" w:space="0" w:color="339966"/>
              <w:right w:val="single" w:sz="4" w:space="0" w:color="339966"/>
            </w:tcBorders>
            <w:shd w:val="clear" w:color="auto" w:fill="CCFFCC"/>
            <w:vAlign w:val="center"/>
          </w:tcPr>
          <w:p w:rsidR="008451C7" w:rsidRDefault="008451C7" w:rsidP="001031BB">
            <w:pPr>
              <w:adjustRightInd w:val="0"/>
              <w:snapToGrid w:val="0"/>
              <w:spacing w:line="360" w:lineRule="auto"/>
              <w:jc w:val="center"/>
            </w:pPr>
            <w:r>
              <w:rPr>
                <w:rFonts w:hint="eastAsia"/>
              </w:rPr>
              <w:t>MNT</w:t>
            </w:r>
          </w:p>
        </w:tc>
        <w:tc>
          <w:tcPr>
            <w:tcW w:w="720" w:type="dxa"/>
            <w:tcBorders>
              <w:top w:val="single" w:sz="6" w:space="0" w:color="339966"/>
              <w:left w:val="single" w:sz="4" w:space="0" w:color="339966"/>
              <w:bottom w:val="single" w:sz="12" w:space="0" w:color="339966"/>
              <w:right w:val="single" w:sz="4" w:space="0" w:color="339966"/>
            </w:tcBorders>
            <w:shd w:val="clear" w:color="auto" w:fill="CCFFCC"/>
            <w:vAlign w:val="center"/>
          </w:tcPr>
          <w:p w:rsidR="008451C7" w:rsidRDefault="008451C7" w:rsidP="001031BB">
            <w:pPr>
              <w:adjustRightInd w:val="0"/>
              <w:snapToGrid w:val="0"/>
              <w:spacing w:line="360" w:lineRule="auto"/>
              <w:jc w:val="center"/>
            </w:pPr>
          </w:p>
        </w:tc>
      </w:tr>
      <w:tr w:rsidR="008451C7" w:rsidTr="001031BB">
        <w:trPr>
          <w:trHeight w:val="50"/>
          <w:jc w:val="center"/>
        </w:trPr>
        <w:tc>
          <w:tcPr>
            <w:tcW w:w="933" w:type="dxa"/>
            <w:tcBorders>
              <w:top w:val="single" w:sz="6" w:space="0" w:color="339966"/>
              <w:left w:val="single" w:sz="8" w:space="0" w:color="339966"/>
              <w:bottom w:val="single" w:sz="12" w:space="0" w:color="339966"/>
              <w:right w:val="single" w:sz="4" w:space="0" w:color="339966"/>
            </w:tcBorders>
            <w:tcMar>
              <w:top w:w="15" w:type="dxa"/>
              <w:left w:w="15" w:type="dxa"/>
              <w:bottom w:w="0" w:type="dxa"/>
              <w:right w:w="15" w:type="dxa"/>
            </w:tcMar>
            <w:vAlign w:val="center"/>
          </w:tcPr>
          <w:p w:rsidR="008451C7" w:rsidRDefault="008451C7" w:rsidP="001031BB">
            <w:pPr>
              <w:adjustRightInd w:val="0"/>
              <w:snapToGrid w:val="0"/>
              <w:spacing w:line="360" w:lineRule="auto"/>
              <w:jc w:val="center"/>
            </w:pPr>
            <w:r>
              <w:t>Trading volume</w:t>
            </w:r>
          </w:p>
        </w:tc>
        <w:tc>
          <w:tcPr>
            <w:tcW w:w="718" w:type="dxa"/>
            <w:tcBorders>
              <w:top w:val="single" w:sz="6"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5.57</w:t>
            </w:r>
          </w:p>
        </w:tc>
        <w:tc>
          <w:tcPr>
            <w:tcW w:w="830" w:type="dxa"/>
            <w:tcBorders>
              <w:top w:val="single" w:sz="6"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14.14</w:t>
            </w:r>
          </w:p>
        </w:tc>
        <w:tc>
          <w:tcPr>
            <w:tcW w:w="729" w:type="dxa"/>
            <w:tcBorders>
              <w:top w:val="single" w:sz="6"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0.78</w:t>
            </w:r>
          </w:p>
        </w:tc>
        <w:tc>
          <w:tcPr>
            <w:tcW w:w="729" w:type="dxa"/>
            <w:tcBorders>
              <w:top w:val="single" w:sz="6"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0.08</w:t>
            </w:r>
          </w:p>
        </w:tc>
        <w:tc>
          <w:tcPr>
            <w:tcW w:w="728" w:type="dxa"/>
            <w:tcBorders>
              <w:top w:val="single" w:sz="6"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0.16</w:t>
            </w:r>
          </w:p>
        </w:tc>
        <w:tc>
          <w:tcPr>
            <w:tcW w:w="729" w:type="dxa"/>
            <w:tcBorders>
              <w:top w:val="single" w:sz="6"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14.71</w:t>
            </w:r>
          </w:p>
        </w:tc>
        <w:tc>
          <w:tcPr>
            <w:tcW w:w="630" w:type="dxa"/>
            <w:tcBorders>
              <w:top w:val="single" w:sz="6"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8451C7" w:rsidRDefault="008451C7" w:rsidP="001031BB">
            <w:pPr>
              <w:jc w:val="center"/>
            </w:pPr>
            <w:r>
              <w:rPr>
                <w:rFonts w:ascii="SimSun" w:hAnsi="SimSun" w:cs="SimSun" w:hint="eastAsia"/>
                <w:color w:val="000000"/>
                <w:sz w:val="18"/>
                <w:szCs w:val="18"/>
              </w:rPr>
              <w:t>0.006</w:t>
            </w:r>
          </w:p>
        </w:tc>
        <w:tc>
          <w:tcPr>
            <w:tcW w:w="623" w:type="dxa"/>
            <w:tcBorders>
              <w:top w:val="single" w:sz="6" w:space="0" w:color="339966"/>
              <w:left w:val="single" w:sz="4" w:space="0" w:color="339966"/>
              <w:bottom w:val="single" w:sz="12" w:space="0" w:color="339966"/>
              <w:right w:val="single" w:sz="4" w:space="0" w:color="339966"/>
            </w:tcBorders>
            <w:vAlign w:val="center"/>
          </w:tcPr>
          <w:p w:rsidR="008451C7" w:rsidRDefault="008451C7" w:rsidP="001031BB">
            <w:pPr>
              <w:jc w:val="center"/>
            </w:pPr>
            <w:r>
              <w:rPr>
                <w:rFonts w:ascii="SimSun" w:hAnsi="SimSun" w:cs="SimSun" w:hint="eastAsia"/>
                <w:color w:val="000000"/>
                <w:sz w:val="18"/>
                <w:szCs w:val="18"/>
              </w:rPr>
              <w:t>0.025</w:t>
            </w:r>
          </w:p>
        </w:tc>
        <w:tc>
          <w:tcPr>
            <w:tcW w:w="720" w:type="dxa"/>
            <w:tcBorders>
              <w:top w:val="single" w:sz="6" w:space="0" w:color="339966"/>
              <w:left w:val="single" w:sz="4" w:space="0" w:color="339966"/>
              <w:bottom w:val="single" w:sz="12" w:space="0" w:color="339966"/>
              <w:right w:val="single" w:sz="4" w:space="0" w:color="339966"/>
            </w:tcBorders>
            <w:vAlign w:val="center"/>
          </w:tcPr>
          <w:p w:rsidR="008451C7" w:rsidRDefault="008451C7" w:rsidP="001031BB">
            <w:pPr>
              <w:jc w:val="center"/>
            </w:pPr>
          </w:p>
        </w:tc>
      </w:tr>
    </w:tbl>
    <w:p w:rsidR="008451C7" w:rsidRDefault="008451C7" w:rsidP="008451C7">
      <w:pPr>
        <w:pStyle w:val="jnTimes2"/>
        <w:spacing w:line="360" w:lineRule="auto"/>
        <w:rPr>
          <w:rFonts w:ascii="Times New Roman" w:hAnsi="Times New Roman"/>
        </w:rPr>
      </w:pPr>
      <w:r>
        <w:rPr>
          <w:rFonts w:ascii="Times New Roman" w:hAnsi="Times New Roman"/>
        </w:rPr>
        <w:t xml:space="preserve">Source: China Foreign Exchange Trade System. </w:t>
      </w:r>
    </w:p>
    <w:p w:rsidR="008451C7" w:rsidRDefault="008451C7" w:rsidP="008451C7">
      <w:pPr>
        <w:spacing w:line="360" w:lineRule="auto"/>
        <w:rPr>
          <w:sz w:val="24"/>
        </w:rPr>
      </w:pPr>
    </w:p>
    <w:bookmarkEnd w:id="51"/>
    <w:bookmarkEnd w:id="52"/>
    <w:p w:rsidR="008451C7" w:rsidRDefault="008451C7" w:rsidP="008451C7">
      <w:pPr>
        <w:spacing w:line="360" w:lineRule="auto"/>
        <w:rPr>
          <w:sz w:val="24"/>
        </w:rPr>
      </w:pPr>
      <w:r>
        <w:rPr>
          <w:rFonts w:hint="eastAsia"/>
          <w:sz w:val="24"/>
        </w:rPr>
        <w:t>At end-September, under the bilateral currency</w:t>
      </w:r>
      <w:r>
        <w:rPr>
          <w:sz w:val="24"/>
        </w:rPr>
        <w:t xml:space="preserve"> </w:t>
      </w:r>
      <w:r>
        <w:rPr>
          <w:rFonts w:hint="eastAsia"/>
          <w:sz w:val="24"/>
        </w:rPr>
        <w:t xml:space="preserve">swap agreements between the PBC and foreign monetary authorities, the latter utilized a total of RMB 32.480 billion and the former used the equivalent of USD 892 million of foreign currency. These operations played a positive role in promoting bilateral trade and investment. </w:t>
      </w:r>
    </w:p>
    <w:p w:rsidR="008451C7" w:rsidRDefault="008451C7" w:rsidP="008451C7">
      <w:pPr>
        <w:spacing w:line="360" w:lineRule="auto"/>
        <w:rPr>
          <w:sz w:val="24"/>
        </w:rPr>
      </w:pPr>
    </w:p>
    <w:p w:rsidR="008451C7" w:rsidRDefault="008451C7" w:rsidP="008451C7">
      <w:pPr>
        <w:spacing w:line="360" w:lineRule="auto"/>
        <w:rPr>
          <w:sz w:val="24"/>
        </w:rPr>
      </w:pPr>
      <w:r>
        <w:rPr>
          <w:rFonts w:hint="eastAsia"/>
          <w:sz w:val="24"/>
        </w:rPr>
        <w:t>The issuance of central</w:t>
      </w:r>
      <w:r>
        <w:rPr>
          <w:sz w:val="24"/>
        </w:rPr>
        <w:t>-</w:t>
      </w:r>
      <w:r>
        <w:rPr>
          <w:rFonts w:hint="eastAsia"/>
          <w:sz w:val="24"/>
        </w:rPr>
        <w:t>bank bills in Hong Kong enriched Hong Kong</w:t>
      </w:r>
      <w:r>
        <w:rPr>
          <w:sz w:val="24"/>
        </w:rPr>
        <w:t>’</w:t>
      </w:r>
      <w:r>
        <w:rPr>
          <w:rFonts w:hint="eastAsia"/>
          <w:sz w:val="24"/>
        </w:rPr>
        <w:t>s high-credit RMB financial products and improved Hong Kong</w:t>
      </w:r>
      <w:r>
        <w:rPr>
          <w:sz w:val="24"/>
        </w:rPr>
        <w:t>’</w:t>
      </w:r>
      <w:r>
        <w:rPr>
          <w:rFonts w:hint="eastAsia"/>
          <w:sz w:val="24"/>
        </w:rPr>
        <w:t xml:space="preserve">s RMB yield curve. On September 20, 2018, the PBC and the Hong Kong Monetary Authority signed the </w:t>
      </w:r>
      <w:r>
        <w:rPr>
          <w:i/>
          <w:sz w:val="24"/>
        </w:rPr>
        <w:t>Memorandum of Co-operation on Using the Central Money-Market Units for the Issuance of PBC Bills</w:t>
      </w:r>
      <w:r>
        <w:rPr>
          <w:rFonts w:hint="eastAsia"/>
          <w:sz w:val="24"/>
        </w:rPr>
        <w:t xml:space="preserve">. On November 7, 2018, the PBC issued RMB 20 billion </w:t>
      </w:r>
      <w:r>
        <w:rPr>
          <w:sz w:val="24"/>
        </w:rPr>
        <w:t xml:space="preserve">in </w:t>
      </w:r>
      <w:r>
        <w:rPr>
          <w:rFonts w:hint="eastAsia"/>
          <w:sz w:val="24"/>
        </w:rPr>
        <w:t>central</w:t>
      </w:r>
      <w:r>
        <w:rPr>
          <w:sz w:val="24"/>
        </w:rPr>
        <w:t>-</w:t>
      </w:r>
      <w:r>
        <w:rPr>
          <w:rFonts w:hint="eastAsia"/>
          <w:sz w:val="24"/>
        </w:rPr>
        <w:t xml:space="preserve">bank bills by </w:t>
      </w:r>
      <w:r>
        <w:rPr>
          <w:rFonts w:hint="eastAsia"/>
          <w:sz w:val="24"/>
        </w:rPr>
        <w:lastRenderedPageBreak/>
        <w:t>tender on the Hong Kong Monetary Authority Central Money</w:t>
      </w:r>
      <w:r>
        <w:rPr>
          <w:sz w:val="24"/>
        </w:rPr>
        <w:t xml:space="preserve"> M</w:t>
      </w:r>
      <w:r>
        <w:rPr>
          <w:rFonts w:hint="eastAsia"/>
          <w:sz w:val="24"/>
        </w:rPr>
        <w:t xml:space="preserve">arket Unit (CMU) bond bidding platform, among which the three-month and one-year </w:t>
      </w:r>
      <w:r>
        <w:rPr>
          <w:sz w:val="24"/>
        </w:rPr>
        <w:t>bills</w:t>
      </w:r>
      <w:r>
        <w:rPr>
          <w:rFonts w:hint="eastAsia"/>
          <w:sz w:val="24"/>
        </w:rPr>
        <w:t xml:space="preserve"> accounted for RMB 10 billion respectively and the bid rates were 3.79</w:t>
      </w:r>
      <w:r>
        <w:rPr>
          <w:sz w:val="24"/>
        </w:rPr>
        <w:t xml:space="preserve"> percent</w:t>
      </w:r>
      <w:r>
        <w:rPr>
          <w:rFonts w:hint="eastAsia"/>
          <w:sz w:val="24"/>
        </w:rPr>
        <w:t xml:space="preserve"> and 4.20</w:t>
      </w:r>
      <w:r>
        <w:rPr>
          <w:sz w:val="24"/>
        </w:rPr>
        <w:t xml:space="preserve"> percent</w:t>
      </w:r>
      <w:r>
        <w:rPr>
          <w:rFonts w:hint="eastAsia"/>
          <w:sz w:val="24"/>
        </w:rPr>
        <w:t xml:space="preserve"> respectively.</w:t>
      </w:r>
    </w:p>
    <w:p w:rsidR="008451C7" w:rsidRDefault="008451C7" w:rsidP="008451C7">
      <w:pPr>
        <w:spacing w:line="360" w:lineRule="auto"/>
        <w:rPr>
          <w:sz w:val="24"/>
        </w:rPr>
      </w:pPr>
    </w:p>
    <w:p w:rsidR="008451C7" w:rsidRDefault="008451C7" w:rsidP="008451C7">
      <w:pPr>
        <w:pStyle w:val="2"/>
        <w:spacing w:line="360" w:lineRule="auto"/>
        <w:ind w:firstLineChars="0" w:firstLine="0"/>
        <w:rPr>
          <w:rFonts w:ascii="Times New Roman" w:eastAsia="SimSun" w:hAnsi="Times New Roman"/>
          <w:bCs w:val="0"/>
          <w:sz w:val="24"/>
          <w:szCs w:val="24"/>
        </w:rPr>
      </w:pPr>
      <w:bookmarkStart w:id="55" w:name="_Toc26309"/>
      <w:bookmarkStart w:id="56" w:name="_Toc532201090"/>
      <w:r>
        <w:rPr>
          <w:rFonts w:ascii="Times New Roman" w:eastAsia="SimSun" w:hAnsi="Times New Roman"/>
          <w:bCs w:val="0"/>
          <w:sz w:val="24"/>
          <w:szCs w:val="24"/>
        </w:rPr>
        <w:t xml:space="preserve">IX. </w:t>
      </w:r>
      <w:bookmarkEnd w:id="55"/>
      <w:r>
        <w:rPr>
          <w:rFonts w:ascii="Times New Roman" w:eastAsia="SimSun" w:hAnsi="Times New Roman"/>
          <w:bCs w:val="0"/>
          <w:sz w:val="24"/>
          <w:szCs w:val="24"/>
        </w:rPr>
        <w:t>Deepening reform of foreign-exchange administration</w:t>
      </w:r>
      <w:bookmarkEnd w:id="56"/>
    </w:p>
    <w:p w:rsidR="008451C7" w:rsidRDefault="008451C7" w:rsidP="008451C7">
      <w:pPr>
        <w:spacing w:line="360" w:lineRule="auto"/>
        <w:rPr>
          <w:sz w:val="24"/>
        </w:rPr>
      </w:pPr>
      <w:r>
        <w:rPr>
          <w:rFonts w:hint="eastAsia"/>
          <w:b/>
          <w:bCs/>
          <w:sz w:val="24"/>
        </w:rPr>
        <w:t>Improvements were made in foreign-exchange management to better serve the real economy.</w:t>
      </w:r>
      <w:r>
        <w:rPr>
          <w:rFonts w:hint="eastAsia"/>
          <w:sz w:val="24"/>
        </w:rPr>
        <w:t xml:space="preserve"> First, efforts were made to better exercise law-based governance and deepen reforms to streamline administration, delegate powers, and improve regulations and services, and to constantly improve the administrative services of foreign</w:t>
      </w:r>
      <w:r>
        <w:rPr>
          <w:sz w:val="24"/>
        </w:rPr>
        <w:t>-</w:t>
      </w:r>
      <w:r>
        <w:rPr>
          <w:rFonts w:hint="eastAsia"/>
          <w:sz w:val="24"/>
        </w:rPr>
        <w:t xml:space="preserve"> exchange management. Second, support was </w:t>
      </w:r>
      <w:r>
        <w:rPr>
          <w:sz w:val="24"/>
        </w:rPr>
        <w:t>provided for</w:t>
      </w:r>
      <w:r>
        <w:rPr>
          <w:rFonts w:hint="eastAsia"/>
          <w:sz w:val="24"/>
        </w:rPr>
        <w:t xml:space="preserve"> the development of new trade formats to facilitate </w:t>
      </w:r>
      <w:r>
        <w:rPr>
          <w:sz w:val="24"/>
        </w:rPr>
        <w:t xml:space="preserve">the settlement of </w:t>
      </w:r>
      <w:r>
        <w:rPr>
          <w:rFonts w:hint="eastAsia"/>
          <w:sz w:val="24"/>
        </w:rPr>
        <w:t>cross-border payment</w:t>
      </w:r>
      <w:r>
        <w:rPr>
          <w:sz w:val="24"/>
        </w:rPr>
        <w:t>s</w:t>
      </w:r>
      <w:r>
        <w:rPr>
          <w:rFonts w:hint="eastAsia"/>
          <w:sz w:val="24"/>
        </w:rPr>
        <w:t xml:space="preserve"> in the comprehensive cross-border e-commerce pilot zones. Third, </w:t>
      </w:r>
      <w:r>
        <w:rPr>
          <w:sz w:val="24"/>
        </w:rPr>
        <w:t xml:space="preserve">the </w:t>
      </w:r>
      <w:r>
        <w:rPr>
          <w:rFonts w:hint="eastAsia"/>
          <w:sz w:val="24"/>
        </w:rPr>
        <w:t xml:space="preserve">business environment was optimized for trade and investment by canceling limits on FDI upfront charges and </w:t>
      </w:r>
      <w:r>
        <w:rPr>
          <w:sz w:val="24"/>
        </w:rPr>
        <w:t xml:space="preserve">the </w:t>
      </w:r>
      <w:r>
        <w:rPr>
          <w:rFonts w:hint="eastAsia"/>
          <w:sz w:val="24"/>
        </w:rPr>
        <w:t xml:space="preserve">period of validity, and by consolidating the FDI </w:t>
      </w:r>
      <w:r>
        <w:rPr>
          <w:sz w:val="24"/>
        </w:rPr>
        <w:t>stock</w:t>
      </w:r>
      <w:r>
        <w:rPr>
          <w:rFonts w:hint="eastAsia"/>
          <w:sz w:val="24"/>
        </w:rPr>
        <w:t xml:space="preserve"> equity registration and </w:t>
      </w:r>
      <w:r>
        <w:rPr>
          <w:sz w:val="24"/>
        </w:rPr>
        <w:t>the stock</w:t>
      </w:r>
      <w:r>
        <w:rPr>
          <w:rFonts w:hint="eastAsia"/>
          <w:sz w:val="24"/>
        </w:rPr>
        <w:t> annual report.</w:t>
      </w:r>
    </w:p>
    <w:p w:rsidR="008451C7" w:rsidRDefault="008451C7" w:rsidP="008451C7">
      <w:pPr>
        <w:spacing w:line="360" w:lineRule="auto"/>
        <w:rPr>
          <w:sz w:val="24"/>
        </w:rPr>
      </w:pPr>
    </w:p>
    <w:p w:rsidR="008451C7" w:rsidRDefault="008451C7" w:rsidP="008451C7">
      <w:pPr>
        <w:spacing w:line="360" w:lineRule="auto"/>
        <w:rPr>
          <w:sz w:val="24"/>
        </w:rPr>
      </w:pPr>
      <w:bookmarkStart w:id="57" w:name="_Toc4906"/>
      <w:r>
        <w:rPr>
          <w:rFonts w:hint="eastAsia"/>
          <w:b/>
          <w:bCs/>
          <w:sz w:val="24"/>
        </w:rPr>
        <w:t xml:space="preserve">Reforms in key areas deepened. </w:t>
      </w:r>
      <w:r>
        <w:rPr>
          <w:rFonts w:hint="eastAsia"/>
          <w:sz w:val="24"/>
        </w:rPr>
        <w:t xml:space="preserve">First, the qualified domestic institutional investors (QDII) program </w:t>
      </w:r>
      <w:r>
        <w:rPr>
          <w:sz w:val="24"/>
        </w:rPr>
        <w:t xml:space="preserve">was </w:t>
      </w:r>
      <w:r>
        <w:rPr>
          <w:rFonts w:hint="eastAsia"/>
          <w:sz w:val="24"/>
        </w:rPr>
        <w:t xml:space="preserve">steadily advanced. Second, the PBC relaxed management of outbound remittances </w:t>
      </w:r>
      <w:r>
        <w:rPr>
          <w:sz w:val="24"/>
        </w:rPr>
        <w:t>by qualified foreign institutional investors (</w:t>
      </w:r>
      <w:r>
        <w:rPr>
          <w:rFonts w:hint="eastAsia"/>
          <w:sz w:val="24"/>
        </w:rPr>
        <w:t>QFII</w:t>
      </w:r>
      <w:r>
        <w:rPr>
          <w:sz w:val="24"/>
        </w:rPr>
        <w:t>/</w:t>
      </w:r>
      <w:r>
        <w:rPr>
          <w:rFonts w:hint="eastAsia"/>
          <w:sz w:val="24"/>
        </w:rPr>
        <w:t>RQFII</w:t>
      </w:r>
      <w:r>
        <w:rPr>
          <w:sz w:val="24"/>
        </w:rPr>
        <w:t>)</w:t>
      </w:r>
      <w:r>
        <w:rPr>
          <w:rFonts w:hint="eastAsia"/>
          <w:sz w:val="24"/>
        </w:rPr>
        <w:t>, removed the lock-up period, and allowed investors to hedge against exchange-rate risks so as to expand the opening</w:t>
      </w:r>
      <w:r>
        <w:rPr>
          <w:sz w:val="24"/>
        </w:rPr>
        <w:t xml:space="preserve"> </w:t>
      </w:r>
      <w:r>
        <w:rPr>
          <w:rFonts w:hint="eastAsia"/>
          <w:sz w:val="24"/>
        </w:rPr>
        <w:t xml:space="preserve">up of the capital market in an orderly fashion. Third, pilot programs for qualified domestic limited partners (QDLP) and qualified domestic investment enterprises (QDIE) were launched in Shanghai and Shenzhen. Fourth, the pilot program </w:t>
      </w:r>
      <w:r>
        <w:rPr>
          <w:sz w:val="24"/>
        </w:rPr>
        <w:t xml:space="preserve">for the </w:t>
      </w:r>
      <w:r>
        <w:rPr>
          <w:rFonts w:hint="eastAsia"/>
          <w:sz w:val="24"/>
        </w:rPr>
        <w:t>foreign</w:t>
      </w:r>
      <w:r>
        <w:rPr>
          <w:sz w:val="24"/>
        </w:rPr>
        <w:t>-</w:t>
      </w:r>
      <w:r>
        <w:rPr>
          <w:rFonts w:hint="eastAsia"/>
          <w:sz w:val="24"/>
        </w:rPr>
        <w:t xml:space="preserve">exchange trading business </w:t>
      </w:r>
      <w:r>
        <w:rPr>
          <w:sz w:val="24"/>
        </w:rPr>
        <w:t xml:space="preserve">of securities companies </w:t>
      </w:r>
      <w:r>
        <w:rPr>
          <w:rFonts w:hint="eastAsia"/>
          <w:sz w:val="24"/>
        </w:rPr>
        <w:t xml:space="preserve">was promoted to </w:t>
      </w:r>
      <w:r>
        <w:rPr>
          <w:sz w:val="24"/>
        </w:rPr>
        <w:t>diversify market participants</w:t>
      </w:r>
      <w:r>
        <w:rPr>
          <w:rFonts w:hint="eastAsia"/>
          <w:sz w:val="24"/>
        </w:rPr>
        <w:t xml:space="preserve"> and product</w:t>
      </w:r>
      <w:r>
        <w:rPr>
          <w:sz w:val="24"/>
        </w:rPr>
        <w:t>s</w:t>
      </w:r>
      <w:r>
        <w:rPr>
          <w:rFonts w:hint="eastAsia"/>
          <w:sz w:val="24"/>
        </w:rPr>
        <w:t xml:space="preserve"> </w:t>
      </w:r>
      <w:r>
        <w:rPr>
          <w:sz w:val="24"/>
        </w:rPr>
        <w:t>in</w:t>
      </w:r>
      <w:r>
        <w:rPr>
          <w:rFonts w:hint="eastAsia"/>
          <w:sz w:val="24"/>
        </w:rPr>
        <w:t xml:space="preserve"> the foreign</w:t>
      </w:r>
      <w:r>
        <w:rPr>
          <w:sz w:val="24"/>
        </w:rPr>
        <w:t>-</w:t>
      </w:r>
      <w:r>
        <w:rPr>
          <w:rFonts w:hint="eastAsia"/>
          <w:sz w:val="24"/>
        </w:rPr>
        <w:t>exchange market.</w:t>
      </w:r>
    </w:p>
    <w:p w:rsidR="008451C7" w:rsidRDefault="008451C7" w:rsidP="008451C7">
      <w:pPr>
        <w:spacing w:line="360" w:lineRule="auto"/>
        <w:rPr>
          <w:sz w:val="24"/>
        </w:rPr>
      </w:pPr>
    </w:p>
    <w:bookmarkEnd w:id="57"/>
    <w:p w:rsidR="00E86627" w:rsidRPr="002E3175" w:rsidRDefault="008451C7" w:rsidP="002E3175">
      <w:pPr>
        <w:spacing w:line="360" w:lineRule="auto"/>
        <w:rPr>
          <w:sz w:val="24"/>
        </w:rPr>
      </w:pPr>
      <w:r>
        <w:rPr>
          <w:b/>
          <w:bCs/>
          <w:sz w:val="24"/>
        </w:rPr>
        <w:t>Strict crackdowns on i</w:t>
      </w:r>
      <w:r>
        <w:rPr>
          <w:rFonts w:hint="eastAsia"/>
          <w:b/>
          <w:bCs/>
          <w:sz w:val="24"/>
        </w:rPr>
        <w:t>llegal acts related to foreign exchange</w:t>
      </w:r>
      <w:r>
        <w:rPr>
          <w:b/>
          <w:bCs/>
          <w:sz w:val="24"/>
        </w:rPr>
        <w:t>.</w:t>
      </w:r>
      <w:r>
        <w:rPr>
          <w:rFonts w:hint="eastAsia"/>
          <w:sz w:val="24"/>
        </w:rPr>
        <w:t xml:space="preserve"> First, the PBC </w:t>
      </w:r>
      <w:r>
        <w:rPr>
          <w:rFonts w:hint="eastAsia"/>
          <w:sz w:val="24"/>
        </w:rPr>
        <w:lastRenderedPageBreak/>
        <w:t>increased inspections and penalties, focusing on penalizing abominable activities in violation of the foreign-exchange regulations, such as outbound foreign-exchange remittances by evading the foreign-exchange regulations, currency speculation targeting the spread between onshore and offshore RMB, illegal foreign-exchange transactions</w:t>
      </w:r>
      <w:r>
        <w:rPr>
          <w:sz w:val="24"/>
        </w:rPr>
        <w:t>,</w:t>
      </w:r>
      <w:r>
        <w:rPr>
          <w:rFonts w:hint="eastAsia"/>
          <w:sz w:val="24"/>
        </w:rPr>
        <w:t xml:space="preserve"> and fraudulent transactions. Second, various agencies worked in concert to crack down on underground banks and related transaction counterparties. Third, the PBC strictly clamped down on illegal online platforms engaging in foreign-currency speculation, and carried out special rectification</w:t>
      </w:r>
      <w:r>
        <w:rPr>
          <w:sz w:val="24"/>
        </w:rPr>
        <w:t>s</w:t>
      </w:r>
      <w:r>
        <w:rPr>
          <w:rFonts w:hint="eastAsia"/>
          <w:sz w:val="24"/>
        </w:rPr>
        <w:t xml:space="preserve"> of illegal exchange margin business</w:t>
      </w:r>
      <w:r>
        <w:rPr>
          <w:sz w:val="24"/>
        </w:rPr>
        <w:t>es</w:t>
      </w:r>
      <w:r>
        <w:rPr>
          <w:rFonts w:hint="eastAsia"/>
          <w:sz w:val="24"/>
        </w:rPr>
        <w:t xml:space="preserve"> with</w:t>
      </w:r>
      <w:r>
        <w:rPr>
          <w:sz w:val="24"/>
        </w:rPr>
        <w:t xml:space="preserve"> the</w:t>
      </w:r>
      <w:r>
        <w:rPr>
          <w:rFonts w:hint="eastAsia"/>
          <w:sz w:val="24"/>
        </w:rPr>
        <w:t xml:space="preserve"> relevant departments.</w:t>
      </w:r>
    </w:p>
    <w:p w:rsidR="001031BB" w:rsidRDefault="001031BB" w:rsidP="002E7312">
      <w:pPr>
        <w:keepNext/>
        <w:keepLines/>
        <w:spacing w:beforeLines="100" w:afterLines="100" w:line="360" w:lineRule="auto"/>
        <w:jc w:val="center"/>
        <w:outlineLvl w:val="0"/>
        <w:rPr>
          <w:b/>
          <w:sz w:val="30"/>
          <w:szCs w:val="30"/>
        </w:rPr>
      </w:pPr>
      <w:bookmarkStart w:id="58" w:name="_Toc532201091"/>
      <w:r>
        <w:rPr>
          <w:b/>
          <w:sz w:val="30"/>
          <w:szCs w:val="30"/>
        </w:rPr>
        <w:t>Part 3 Analysis of the Financial Market</w:t>
      </w:r>
      <w:bookmarkEnd w:id="58"/>
    </w:p>
    <w:p w:rsidR="001031BB" w:rsidRDefault="001031BB" w:rsidP="001031BB">
      <w:pPr>
        <w:spacing w:line="360" w:lineRule="auto"/>
        <w:rPr>
          <w:rFonts w:eastAsia="仿宋_GB2312"/>
          <w:bCs/>
          <w:sz w:val="24"/>
        </w:rPr>
      </w:pPr>
      <w:r>
        <w:rPr>
          <w:sz w:val="24"/>
        </w:rPr>
        <w:t>In</w:t>
      </w:r>
      <w:r>
        <w:rPr>
          <w:rFonts w:hint="eastAsia"/>
          <w:sz w:val="24"/>
        </w:rPr>
        <w:t xml:space="preserve"> </w:t>
      </w:r>
      <w:r>
        <w:rPr>
          <w:sz w:val="24"/>
        </w:rPr>
        <w:t>Q3</w:t>
      </w:r>
      <w:r>
        <w:rPr>
          <w:rFonts w:hint="eastAsia"/>
          <w:sz w:val="24"/>
        </w:rPr>
        <w:t xml:space="preserve"> of 2018</w:t>
      </w:r>
      <w:r>
        <w:rPr>
          <w:sz w:val="24"/>
        </w:rPr>
        <w:t xml:space="preserve">, the financial market operated generally smoothly. </w:t>
      </w:r>
      <w:r>
        <w:rPr>
          <w:rFonts w:hint="eastAsia"/>
          <w:sz w:val="24"/>
        </w:rPr>
        <w:t>M</w:t>
      </w:r>
      <w:r>
        <w:rPr>
          <w:sz w:val="24"/>
        </w:rPr>
        <w:t>oney-market interest rates declined</w:t>
      </w:r>
      <w:r>
        <w:rPr>
          <w:rFonts w:hint="eastAsia"/>
          <w:sz w:val="24"/>
        </w:rPr>
        <w:t xml:space="preserve"> </w:t>
      </w:r>
      <w:r>
        <w:rPr>
          <w:sz w:val="24"/>
        </w:rPr>
        <w:t>and</w:t>
      </w:r>
      <w:r>
        <w:rPr>
          <w:rFonts w:hint="eastAsia"/>
          <w:sz w:val="24"/>
        </w:rPr>
        <w:t xml:space="preserve"> trading volume went up. Bond coupon rates generally declined</w:t>
      </w:r>
      <w:r>
        <w:rPr>
          <w:sz w:val="24"/>
        </w:rPr>
        <w:t>, whereas</w:t>
      </w:r>
      <w:r>
        <w:rPr>
          <w:rFonts w:hint="eastAsia"/>
          <w:sz w:val="24"/>
        </w:rPr>
        <w:t xml:space="preserve"> growth of </w:t>
      </w:r>
      <w:r>
        <w:rPr>
          <w:sz w:val="24"/>
        </w:rPr>
        <w:t xml:space="preserve">the volume of </w:t>
      </w:r>
      <w:r>
        <w:rPr>
          <w:rFonts w:hint="eastAsia"/>
          <w:sz w:val="24"/>
        </w:rPr>
        <w:t>b</w:t>
      </w:r>
      <w:r>
        <w:rPr>
          <w:sz w:val="24"/>
        </w:rPr>
        <w:t xml:space="preserve">ond issuances </w:t>
      </w:r>
      <w:r>
        <w:rPr>
          <w:rFonts w:hint="eastAsia"/>
          <w:sz w:val="24"/>
        </w:rPr>
        <w:t xml:space="preserve">accelerated </w:t>
      </w:r>
      <w:r>
        <w:rPr>
          <w:sz w:val="24"/>
        </w:rPr>
        <w:t xml:space="preserve">year on year. </w:t>
      </w:r>
      <w:r>
        <w:rPr>
          <w:rFonts w:hint="eastAsia"/>
          <w:sz w:val="24"/>
        </w:rPr>
        <w:t xml:space="preserve">The government bond </w:t>
      </w:r>
      <w:r>
        <w:rPr>
          <w:rFonts w:eastAsia="仿宋_GB2312"/>
          <w:bCs/>
          <w:sz w:val="24"/>
        </w:rPr>
        <w:t xml:space="preserve">yield curve </w:t>
      </w:r>
      <w:r>
        <w:rPr>
          <w:rFonts w:eastAsia="仿宋_GB2312" w:hint="eastAsia"/>
          <w:bCs/>
          <w:sz w:val="24"/>
        </w:rPr>
        <w:t xml:space="preserve">took on a steep trend and spot bond trading was brisk. </w:t>
      </w:r>
      <w:r>
        <w:rPr>
          <w:sz w:val="24"/>
        </w:rPr>
        <w:t>The</w:t>
      </w:r>
      <w:r>
        <w:rPr>
          <w:rFonts w:hint="eastAsia"/>
          <w:sz w:val="24"/>
        </w:rPr>
        <w:t xml:space="preserve"> stock market indices fell while the</w:t>
      </w:r>
      <w:r>
        <w:rPr>
          <w:sz w:val="24"/>
        </w:rPr>
        <w:t xml:space="preserve"> trading</w:t>
      </w:r>
      <w:r>
        <w:rPr>
          <w:rFonts w:hint="eastAsia"/>
          <w:sz w:val="24"/>
        </w:rPr>
        <w:t xml:space="preserve"> volume and the amount of equity financing dec</w:t>
      </w:r>
      <w:r>
        <w:rPr>
          <w:sz w:val="24"/>
        </w:rPr>
        <w:t>lined</w:t>
      </w:r>
      <w:r>
        <w:rPr>
          <w:rFonts w:hint="eastAsia"/>
          <w:sz w:val="24"/>
        </w:rPr>
        <w:t xml:space="preserve"> year on year. </w:t>
      </w:r>
      <w:r>
        <w:rPr>
          <w:sz w:val="24"/>
        </w:rPr>
        <w:t>The growth of assets</w:t>
      </w:r>
      <w:r>
        <w:rPr>
          <w:rFonts w:hint="eastAsia"/>
          <w:sz w:val="24"/>
        </w:rPr>
        <w:t xml:space="preserve"> </w:t>
      </w:r>
      <w:r>
        <w:rPr>
          <w:sz w:val="24"/>
        </w:rPr>
        <w:t>in</w:t>
      </w:r>
      <w:r>
        <w:rPr>
          <w:rFonts w:hint="eastAsia"/>
          <w:sz w:val="24"/>
        </w:rPr>
        <w:t xml:space="preserve"> the insurance industry</w:t>
      </w:r>
      <w:r>
        <w:rPr>
          <w:sz w:val="24"/>
        </w:rPr>
        <w:t xml:space="preserve"> </w:t>
      </w:r>
      <w:r>
        <w:rPr>
          <w:rFonts w:hint="eastAsia"/>
          <w:sz w:val="24"/>
        </w:rPr>
        <w:t>picked up</w:t>
      </w:r>
      <w:r>
        <w:rPr>
          <w:sz w:val="24"/>
        </w:rPr>
        <w:t xml:space="preserve">. </w:t>
      </w:r>
      <w:r>
        <w:rPr>
          <w:rFonts w:hint="eastAsia"/>
          <w:sz w:val="24"/>
        </w:rPr>
        <w:t xml:space="preserve"> </w:t>
      </w:r>
    </w:p>
    <w:p w:rsidR="001031BB" w:rsidRDefault="001031BB" w:rsidP="001031BB">
      <w:pPr>
        <w:pStyle w:val="2"/>
        <w:spacing w:line="360" w:lineRule="auto"/>
        <w:ind w:firstLineChars="0" w:firstLine="0"/>
        <w:rPr>
          <w:rFonts w:ascii="Times New Roman" w:eastAsia="宋体" w:hAnsi="Times New Roman"/>
          <w:bCs w:val="0"/>
          <w:sz w:val="24"/>
          <w:szCs w:val="24"/>
        </w:rPr>
      </w:pPr>
      <w:bookmarkStart w:id="59" w:name="_Toc532201092"/>
      <w:bookmarkStart w:id="60" w:name="_Toc458009415"/>
      <w:bookmarkStart w:id="61" w:name="_Toc426729155"/>
      <w:r>
        <w:rPr>
          <w:rFonts w:ascii="Times New Roman" w:eastAsia="宋体" w:hAnsi="Times New Roman"/>
          <w:bCs w:val="0"/>
          <w:sz w:val="24"/>
          <w:szCs w:val="24"/>
        </w:rPr>
        <w:t>I. Analysis of the financial market</w:t>
      </w:r>
      <w:bookmarkEnd w:id="59"/>
      <w:r>
        <w:rPr>
          <w:rFonts w:ascii="Times New Roman" w:eastAsia="宋体" w:hAnsi="Times New Roman"/>
          <w:bCs w:val="0"/>
          <w:sz w:val="24"/>
          <w:szCs w:val="24"/>
        </w:rPr>
        <w:t xml:space="preserve"> </w:t>
      </w:r>
      <w:bookmarkStart w:id="62" w:name="_Toc472330077"/>
      <w:bookmarkStart w:id="63" w:name="_Toc472329787"/>
      <w:bookmarkStart w:id="64" w:name="_Toc464655691"/>
      <w:bookmarkStart w:id="65" w:name="_Toc476916148"/>
      <w:bookmarkStart w:id="66" w:name="_Toc464655073"/>
    </w:p>
    <w:bookmarkEnd w:id="62"/>
    <w:bookmarkEnd w:id="63"/>
    <w:bookmarkEnd w:id="64"/>
    <w:bookmarkEnd w:id="65"/>
    <w:bookmarkEnd w:id="66"/>
    <w:p w:rsidR="001031BB" w:rsidRDefault="001031BB" w:rsidP="001031BB">
      <w:pPr>
        <w:spacing w:line="360" w:lineRule="auto"/>
        <w:rPr>
          <w:b/>
          <w:sz w:val="24"/>
        </w:rPr>
      </w:pPr>
      <w:r>
        <w:rPr>
          <w:rFonts w:hint="eastAsia"/>
          <w:b/>
          <w:sz w:val="24"/>
        </w:rPr>
        <w:t>1.</w:t>
      </w:r>
      <w:r>
        <w:rPr>
          <w:b/>
          <w:sz w:val="24"/>
        </w:rPr>
        <w:t xml:space="preserve"> </w:t>
      </w:r>
      <w:r>
        <w:rPr>
          <w:rFonts w:hint="eastAsia"/>
          <w:b/>
          <w:sz w:val="24"/>
        </w:rPr>
        <w:t>M</w:t>
      </w:r>
      <w:r>
        <w:rPr>
          <w:b/>
          <w:sz w:val="24"/>
        </w:rPr>
        <w:t xml:space="preserve">oney-market interest rates </w:t>
      </w:r>
      <w:r>
        <w:rPr>
          <w:rFonts w:hint="eastAsia"/>
          <w:b/>
          <w:sz w:val="24"/>
        </w:rPr>
        <w:t>fell</w:t>
      </w:r>
      <w:r>
        <w:rPr>
          <w:b/>
          <w:sz w:val="24"/>
        </w:rPr>
        <w:t>, and</w:t>
      </w:r>
      <w:r>
        <w:rPr>
          <w:rFonts w:hint="eastAsia"/>
          <w:b/>
          <w:sz w:val="24"/>
        </w:rPr>
        <w:t xml:space="preserve"> </w:t>
      </w:r>
      <w:r>
        <w:rPr>
          <w:b/>
          <w:sz w:val="24"/>
        </w:rPr>
        <w:t>the</w:t>
      </w:r>
      <w:r>
        <w:rPr>
          <w:rFonts w:hint="eastAsia"/>
          <w:b/>
          <w:sz w:val="24"/>
        </w:rPr>
        <w:t xml:space="preserve"> volume</w:t>
      </w:r>
      <w:r>
        <w:rPr>
          <w:b/>
          <w:sz w:val="24"/>
        </w:rPr>
        <w:t xml:space="preserve"> of trading saw</w:t>
      </w:r>
      <w:r>
        <w:rPr>
          <w:rFonts w:hint="eastAsia"/>
          <w:b/>
          <w:sz w:val="24"/>
        </w:rPr>
        <w:t xml:space="preserve"> rapid growth</w:t>
      </w:r>
      <w:r>
        <w:rPr>
          <w:b/>
          <w:sz w:val="24"/>
        </w:rPr>
        <w:t xml:space="preserve"> </w:t>
      </w:r>
    </w:p>
    <w:p w:rsidR="001031BB" w:rsidRDefault="001031BB" w:rsidP="001031BB">
      <w:pPr>
        <w:autoSpaceDE w:val="0"/>
        <w:autoSpaceDN w:val="0"/>
        <w:adjustRightInd w:val="0"/>
        <w:spacing w:line="360" w:lineRule="auto"/>
        <w:rPr>
          <w:sz w:val="24"/>
        </w:rPr>
      </w:pPr>
      <w:r>
        <w:rPr>
          <w:b/>
          <w:sz w:val="24"/>
        </w:rPr>
        <w:t xml:space="preserve">Liquidity in the banking system was </w:t>
      </w:r>
      <w:r>
        <w:rPr>
          <w:rFonts w:hint="eastAsia"/>
          <w:b/>
          <w:sz w:val="24"/>
        </w:rPr>
        <w:t xml:space="preserve">at </w:t>
      </w:r>
      <w:r>
        <w:rPr>
          <w:b/>
          <w:sz w:val="24"/>
        </w:rPr>
        <w:t xml:space="preserve">a </w:t>
      </w:r>
      <w:r>
        <w:rPr>
          <w:rFonts w:hint="eastAsia"/>
          <w:b/>
          <w:sz w:val="24"/>
        </w:rPr>
        <w:t>reasonable</w:t>
      </w:r>
      <w:r>
        <w:rPr>
          <w:b/>
          <w:sz w:val="24"/>
        </w:rPr>
        <w:t xml:space="preserve"> and </w:t>
      </w:r>
      <w:r>
        <w:rPr>
          <w:rFonts w:hint="eastAsia"/>
          <w:b/>
          <w:sz w:val="24"/>
        </w:rPr>
        <w:t>adequate level</w:t>
      </w:r>
      <w:r>
        <w:rPr>
          <w:b/>
          <w:sz w:val="24"/>
        </w:rPr>
        <w:t>,</w:t>
      </w:r>
      <w:r>
        <w:rPr>
          <w:rFonts w:hint="eastAsia"/>
          <w:b/>
          <w:sz w:val="24"/>
        </w:rPr>
        <w:t xml:space="preserve"> </w:t>
      </w:r>
      <w:r>
        <w:rPr>
          <w:b/>
          <w:sz w:val="24"/>
        </w:rPr>
        <w:t xml:space="preserve">and money-market interest rates </w:t>
      </w:r>
      <w:r>
        <w:rPr>
          <w:rFonts w:hint="eastAsia"/>
          <w:b/>
          <w:sz w:val="24"/>
        </w:rPr>
        <w:t>mov</w:t>
      </w:r>
      <w:r>
        <w:rPr>
          <w:b/>
          <w:sz w:val="24"/>
        </w:rPr>
        <w:t>ed</w:t>
      </w:r>
      <w:r>
        <w:rPr>
          <w:rFonts w:hint="eastAsia"/>
          <w:b/>
          <w:sz w:val="24"/>
        </w:rPr>
        <w:t xml:space="preserve"> down</w:t>
      </w:r>
      <w:r>
        <w:rPr>
          <w:b/>
          <w:sz w:val="24"/>
        </w:rPr>
        <w:t>ward.</w:t>
      </w:r>
      <w:r>
        <w:rPr>
          <w:sz w:val="24"/>
        </w:rPr>
        <w:t xml:space="preserve"> In </w:t>
      </w:r>
      <w:r>
        <w:rPr>
          <w:rFonts w:hint="eastAsia"/>
          <w:sz w:val="24"/>
        </w:rPr>
        <w:t>September</w:t>
      </w:r>
      <w:r>
        <w:rPr>
          <w:sz w:val="24"/>
        </w:rPr>
        <w:t xml:space="preserve">, the weighted average interest rate of interbank </w:t>
      </w:r>
      <w:r>
        <w:rPr>
          <w:rFonts w:hint="eastAsia"/>
          <w:sz w:val="24"/>
        </w:rPr>
        <w:t>lending</w:t>
      </w:r>
      <w:r>
        <w:rPr>
          <w:sz w:val="24"/>
        </w:rPr>
        <w:t xml:space="preserve"> and the </w:t>
      </w:r>
      <w:r>
        <w:rPr>
          <w:rFonts w:hint="eastAsia"/>
          <w:sz w:val="24"/>
        </w:rPr>
        <w:t xml:space="preserve">weighted average rate of </w:t>
      </w:r>
      <w:r>
        <w:rPr>
          <w:sz w:val="24"/>
        </w:rPr>
        <w:t>pledged repos posted 2.</w:t>
      </w:r>
      <w:r>
        <w:rPr>
          <w:rFonts w:hint="eastAsia"/>
          <w:sz w:val="24"/>
        </w:rPr>
        <w:t>59</w:t>
      </w:r>
      <w:r>
        <w:rPr>
          <w:sz w:val="24"/>
        </w:rPr>
        <w:t xml:space="preserve"> percent and 2.</w:t>
      </w:r>
      <w:r>
        <w:rPr>
          <w:rFonts w:hint="eastAsia"/>
          <w:sz w:val="24"/>
        </w:rPr>
        <w:t xml:space="preserve">60 </w:t>
      </w:r>
      <w:r>
        <w:rPr>
          <w:sz w:val="24"/>
        </w:rPr>
        <w:t>percent,</w:t>
      </w:r>
      <w:r>
        <w:rPr>
          <w:rFonts w:hint="eastAsia"/>
          <w:sz w:val="24"/>
        </w:rPr>
        <w:t xml:space="preserve"> </w:t>
      </w:r>
      <w:r>
        <w:rPr>
          <w:sz w:val="24"/>
        </w:rPr>
        <w:t>respectively</w:t>
      </w:r>
      <w:r>
        <w:rPr>
          <w:rFonts w:hint="eastAsia"/>
          <w:sz w:val="24"/>
        </w:rPr>
        <w:t>,</w:t>
      </w:r>
      <w:r>
        <w:rPr>
          <w:sz w:val="24"/>
        </w:rPr>
        <w:t xml:space="preserve"> down 1</w:t>
      </w:r>
      <w:r>
        <w:rPr>
          <w:rFonts w:hint="eastAsia"/>
          <w:sz w:val="24"/>
        </w:rPr>
        <w:t>4</w:t>
      </w:r>
      <w:r>
        <w:rPr>
          <w:sz w:val="24"/>
        </w:rPr>
        <w:t xml:space="preserve"> basis points and </w:t>
      </w:r>
      <w:r>
        <w:rPr>
          <w:rFonts w:hint="eastAsia"/>
          <w:sz w:val="24"/>
        </w:rPr>
        <w:t>29</w:t>
      </w:r>
      <w:r>
        <w:rPr>
          <w:sz w:val="24"/>
        </w:rPr>
        <w:t xml:space="preserve"> basis points from </w:t>
      </w:r>
      <w:r>
        <w:rPr>
          <w:rFonts w:hint="eastAsia"/>
          <w:sz w:val="24"/>
        </w:rPr>
        <w:t>June</w:t>
      </w:r>
      <w:r>
        <w:rPr>
          <w:sz w:val="24"/>
        </w:rPr>
        <w:t xml:space="preserve">. The weighted average interest rate of repos </w:t>
      </w:r>
      <w:r>
        <w:rPr>
          <w:rFonts w:hint="eastAsia"/>
          <w:sz w:val="24"/>
        </w:rPr>
        <w:t>between</w:t>
      </w:r>
      <w:r>
        <w:rPr>
          <w:sz w:val="24"/>
        </w:rPr>
        <w:t xml:space="preserve"> deposit-taking institutions with rate securities as pledges posted 2.</w:t>
      </w:r>
      <w:r>
        <w:rPr>
          <w:rFonts w:hint="eastAsia"/>
          <w:sz w:val="24"/>
        </w:rPr>
        <w:t>50</w:t>
      </w:r>
      <w:r>
        <w:rPr>
          <w:sz w:val="24"/>
        </w:rPr>
        <w:t xml:space="preserve"> percent, down </w:t>
      </w:r>
      <w:r>
        <w:rPr>
          <w:rFonts w:hint="eastAsia"/>
          <w:sz w:val="24"/>
        </w:rPr>
        <w:t>11</w:t>
      </w:r>
      <w:r>
        <w:rPr>
          <w:sz w:val="24"/>
        </w:rPr>
        <w:t xml:space="preserve"> basis points from </w:t>
      </w:r>
      <w:r>
        <w:rPr>
          <w:rFonts w:hint="eastAsia"/>
          <w:sz w:val="24"/>
        </w:rPr>
        <w:t>June, and 10 basis points lower than that</w:t>
      </w:r>
      <w:r>
        <w:rPr>
          <w:sz w:val="24"/>
        </w:rPr>
        <w:t xml:space="preserve"> of</w:t>
      </w:r>
      <w:r>
        <w:rPr>
          <w:rFonts w:hint="eastAsia"/>
          <w:sz w:val="24"/>
        </w:rPr>
        <w:t xml:space="preserve"> </w:t>
      </w:r>
      <w:r>
        <w:rPr>
          <w:sz w:val="24"/>
        </w:rPr>
        <w:t>pledged repos.</w:t>
      </w:r>
      <w:r>
        <w:rPr>
          <w:rFonts w:hint="eastAsia"/>
          <w:sz w:val="24"/>
        </w:rPr>
        <w:t xml:space="preserve"> The long-term Shibor rates declined. </w:t>
      </w:r>
      <w:r>
        <w:rPr>
          <w:sz w:val="24"/>
        </w:rPr>
        <w:t>At end-</w:t>
      </w:r>
      <w:r>
        <w:rPr>
          <w:rFonts w:hint="eastAsia"/>
          <w:sz w:val="24"/>
        </w:rPr>
        <w:t>September</w:t>
      </w:r>
      <w:r>
        <w:rPr>
          <w:sz w:val="24"/>
        </w:rPr>
        <w:t>, the overnight and 7-day Shibor posted 2.6</w:t>
      </w:r>
      <w:r>
        <w:rPr>
          <w:rFonts w:hint="eastAsia"/>
          <w:sz w:val="24"/>
        </w:rPr>
        <w:t>5</w:t>
      </w:r>
      <w:r>
        <w:rPr>
          <w:sz w:val="24"/>
        </w:rPr>
        <w:t xml:space="preserve"> percent and 2.</w:t>
      </w:r>
      <w:r>
        <w:rPr>
          <w:rFonts w:hint="eastAsia"/>
          <w:sz w:val="24"/>
        </w:rPr>
        <w:t>77</w:t>
      </w:r>
      <w:r>
        <w:rPr>
          <w:sz w:val="24"/>
        </w:rPr>
        <w:t xml:space="preserve"> percent</w:t>
      </w:r>
      <w:r>
        <w:rPr>
          <w:rFonts w:hint="eastAsia"/>
          <w:sz w:val="24"/>
        </w:rPr>
        <w:t xml:space="preserve"> </w:t>
      </w:r>
      <w:r>
        <w:rPr>
          <w:sz w:val="24"/>
        </w:rPr>
        <w:t xml:space="preserve">respectively, </w:t>
      </w:r>
      <w:r>
        <w:rPr>
          <w:rFonts w:hint="eastAsia"/>
          <w:sz w:val="24"/>
        </w:rPr>
        <w:t>up</w:t>
      </w:r>
      <w:r>
        <w:rPr>
          <w:sz w:val="24"/>
        </w:rPr>
        <w:t xml:space="preserve"> </w:t>
      </w:r>
      <w:r>
        <w:rPr>
          <w:rFonts w:hint="eastAsia"/>
          <w:sz w:val="24"/>
        </w:rPr>
        <w:t>2</w:t>
      </w:r>
      <w:r>
        <w:rPr>
          <w:sz w:val="24"/>
        </w:rPr>
        <w:t xml:space="preserve"> basis points and</w:t>
      </w:r>
      <w:r>
        <w:rPr>
          <w:rFonts w:hint="eastAsia"/>
          <w:sz w:val="24"/>
        </w:rPr>
        <w:t xml:space="preserve"> down 9</w:t>
      </w:r>
      <w:r>
        <w:rPr>
          <w:sz w:val="24"/>
        </w:rPr>
        <w:t xml:space="preserve"> basis </w:t>
      </w:r>
      <w:r>
        <w:rPr>
          <w:sz w:val="24"/>
        </w:rPr>
        <w:lastRenderedPageBreak/>
        <w:t>points respectively from end-</w:t>
      </w:r>
      <w:r>
        <w:rPr>
          <w:rFonts w:hint="eastAsia"/>
          <w:sz w:val="24"/>
        </w:rPr>
        <w:t>June</w:t>
      </w:r>
      <w:r>
        <w:rPr>
          <w:sz w:val="24"/>
        </w:rPr>
        <w:t xml:space="preserve">. The 3-month and 1-year Shibor posted </w:t>
      </w:r>
      <w:r>
        <w:rPr>
          <w:rFonts w:hint="eastAsia"/>
          <w:sz w:val="24"/>
        </w:rPr>
        <w:t>2.85</w:t>
      </w:r>
      <w:r>
        <w:rPr>
          <w:sz w:val="24"/>
        </w:rPr>
        <w:t xml:space="preserve"> percent and </w:t>
      </w:r>
      <w:r>
        <w:rPr>
          <w:rFonts w:hint="eastAsia"/>
          <w:sz w:val="24"/>
        </w:rPr>
        <w:t>3.52</w:t>
      </w:r>
      <w:r>
        <w:rPr>
          <w:sz w:val="24"/>
        </w:rPr>
        <w:t xml:space="preserve"> percent respectively, down </w:t>
      </w:r>
      <w:r>
        <w:rPr>
          <w:rFonts w:hint="eastAsia"/>
          <w:sz w:val="24"/>
        </w:rPr>
        <w:t>131</w:t>
      </w:r>
      <w:r>
        <w:rPr>
          <w:sz w:val="24"/>
        </w:rPr>
        <w:t xml:space="preserve"> basis points and </w:t>
      </w:r>
      <w:r>
        <w:rPr>
          <w:rFonts w:hint="eastAsia"/>
          <w:sz w:val="24"/>
        </w:rPr>
        <w:t>81</w:t>
      </w:r>
      <w:r>
        <w:rPr>
          <w:sz w:val="24"/>
        </w:rPr>
        <w:t xml:space="preserve"> basis points from end-</w:t>
      </w:r>
      <w:r>
        <w:rPr>
          <w:rFonts w:hint="eastAsia"/>
          <w:sz w:val="24"/>
        </w:rPr>
        <w:t>June</w:t>
      </w:r>
      <w:r>
        <w:rPr>
          <w:sz w:val="24"/>
        </w:rPr>
        <w:t>.</w:t>
      </w:r>
    </w:p>
    <w:p w:rsidR="001031BB" w:rsidRDefault="001031BB" w:rsidP="001031BB">
      <w:pPr>
        <w:autoSpaceDE w:val="0"/>
        <w:autoSpaceDN w:val="0"/>
        <w:adjustRightInd w:val="0"/>
        <w:spacing w:line="360" w:lineRule="auto"/>
        <w:rPr>
          <w:b/>
          <w:sz w:val="24"/>
        </w:rPr>
      </w:pPr>
    </w:p>
    <w:p w:rsidR="001031BB" w:rsidRPr="002E3175" w:rsidRDefault="001031BB" w:rsidP="002E3175">
      <w:pPr>
        <w:autoSpaceDE w:val="0"/>
        <w:autoSpaceDN w:val="0"/>
        <w:adjustRightInd w:val="0"/>
        <w:spacing w:line="360" w:lineRule="auto"/>
        <w:rPr>
          <w:sz w:val="24"/>
        </w:rPr>
      </w:pPr>
      <w:r>
        <w:rPr>
          <w:rFonts w:hint="eastAsia"/>
          <w:b/>
          <w:sz w:val="24"/>
        </w:rPr>
        <w:t>R</w:t>
      </w:r>
      <w:r>
        <w:rPr>
          <w:b/>
          <w:sz w:val="24"/>
        </w:rPr>
        <w:t>epo transactions</w:t>
      </w:r>
      <w:r>
        <w:rPr>
          <w:rFonts w:hint="eastAsia"/>
          <w:b/>
          <w:sz w:val="24"/>
        </w:rPr>
        <w:t xml:space="preserve"> and lending </w:t>
      </w:r>
      <w:r>
        <w:rPr>
          <w:b/>
          <w:sz w:val="24"/>
        </w:rPr>
        <w:t>on the interbank market</w:t>
      </w:r>
      <w:r>
        <w:rPr>
          <w:rFonts w:hint="eastAsia"/>
          <w:b/>
          <w:sz w:val="24"/>
        </w:rPr>
        <w:t xml:space="preserve"> continued</w:t>
      </w:r>
      <w:r>
        <w:rPr>
          <w:b/>
          <w:sz w:val="24"/>
        </w:rPr>
        <w:t xml:space="preserve"> their</w:t>
      </w:r>
      <w:r>
        <w:rPr>
          <w:rFonts w:hint="eastAsia"/>
          <w:b/>
          <w:sz w:val="24"/>
        </w:rPr>
        <w:t xml:space="preserve"> rapid growth, </w:t>
      </w:r>
      <w:r>
        <w:rPr>
          <w:b/>
          <w:sz w:val="24"/>
        </w:rPr>
        <w:t>with Chinese-funded large</w:t>
      </w:r>
      <w:r>
        <w:rPr>
          <w:rFonts w:hint="eastAsia"/>
          <w:b/>
          <w:sz w:val="24"/>
        </w:rPr>
        <w:t xml:space="preserve"> and medium-sized</w:t>
      </w:r>
      <w:r>
        <w:rPr>
          <w:b/>
          <w:sz w:val="24"/>
        </w:rPr>
        <w:t xml:space="preserve"> banks as major net lenders.</w:t>
      </w:r>
      <w:r>
        <w:rPr>
          <w:sz w:val="24"/>
        </w:rPr>
        <w:t xml:space="preserve"> During </w:t>
      </w:r>
      <w:r>
        <w:rPr>
          <w:rFonts w:hint="eastAsia"/>
          <w:sz w:val="24"/>
        </w:rPr>
        <w:t>the first three quarters of 2018</w:t>
      </w:r>
      <w:r>
        <w:rPr>
          <w:sz w:val="24"/>
        </w:rPr>
        <w:t xml:space="preserve">, the cumulative </w:t>
      </w:r>
      <w:r>
        <w:rPr>
          <w:rFonts w:hint="eastAsia"/>
          <w:sz w:val="24"/>
        </w:rPr>
        <w:t>volume</w:t>
      </w:r>
      <w:r>
        <w:rPr>
          <w:sz w:val="24"/>
        </w:rPr>
        <w:t xml:space="preserve"> of bond repos on the interbank market reached RMB </w:t>
      </w:r>
      <w:r>
        <w:rPr>
          <w:rFonts w:hint="eastAsia"/>
          <w:sz w:val="24"/>
        </w:rPr>
        <w:t xml:space="preserve">531.3 </w:t>
      </w:r>
      <w:r>
        <w:rPr>
          <w:sz w:val="24"/>
        </w:rPr>
        <w:t>trillion, representing an average</w:t>
      </w:r>
      <w:r>
        <w:rPr>
          <w:rFonts w:hint="eastAsia"/>
          <w:sz w:val="24"/>
        </w:rPr>
        <w:t xml:space="preserve"> </w:t>
      </w:r>
      <w:r>
        <w:rPr>
          <w:sz w:val="24"/>
        </w:rPr>
        <w:t xml:space="preserve">daily </w:t>
      </w:r>
      <w:r>
        <w:rPr>
          <w:rFonts w:hint="eastAsia"/>
          <w:sz w:val="24"/>
        </w:rPr>
        <w:t>turnover</w:t>
      </w:r>
      <w:r>
        <w:rPr>
          <w:sz w:val="24"/>
        </w:rPr>
        <w:t xml:space="preserve"> of RMB 2.</w:t>
      </w:r>
      <w:r>
        <w:rPr>
          <w:rFonts w:hint="eastAsia"/>
          <w:sz w:val="24"/>
        </w:rPr>
        <w:t>8</w:t>
      </w:r>
      <w:r>
        <w:rPr>
          <w:sz w:val="24"/>
        </w:rPr>
        <w:t xml:space="preserve"> trillion, a</w:t>
      </w:r>
      <w:r>
        <w:rPr>
          <w:rFonts w:hint="eastAsia"/>
          <w:sz w:val="24"/>
        </w:rPr>
        <w:t xml:space="preserve"> year-on-year</w:t>
      </w:r>
      <w:r>
        <w:rPr>
          <w:sz w:val="24"/>
        </w:rPr>
        <w:t xml:space="preserve"> increase of </w:t>
      </w:r>
      <w:r>
        <w:rPr>
          <w:rFonts w:hint="eastAsia"/>
          <w:sz w:val="24"/>
        </w:rPr>
        <w:t>18.4</w:t>
      </w:r>
      <w:r>
        <w:rPr>
          <w:sz w:val="24"/>
        </w:rPr>
        <w:t>,</w:t>
      </w:r>
      <w:r>
        <w:rPr>
          <w:rFonts w:hint="eastAsia"/>
          <w:sz w:val="24"/>
        </w:rPr>
        <w:t xml:space="preserve"> </w:t>
      </w:r>
      <w:r>
        <w:rPr>
          <w:sz w:val="24"/>
        </w:rPr>
        <w:t>percent</w:t>
      </w:r>
      <w:r>
        <w:rPr>
          <w:rFonts w:hint="eastAsia"/>
          <w:sz w:val="24"/>
        </w:rPr>
        <w:t xml:space="preserve"> and a deceleration of 0.5 percentage point from </w:t>
      </w:r>
      <w:r>
        <w:rPr>
          <w:sz w:val="24"/>
        </w:rPr>
        <w:t>the first half</w:t>
      </w:r>
      <w:r>
        <w:rPr>
          <w:rFonts w:hint="eastAsia"/>
          <w:sz w:val="24"/>
        </w:rPr>
        <w:t xml:space="preserve"> of 2018</w:t>
      </w:r>
      <w:r>
        <w:rPr>
          <w:sz w:val="24"/>
        </w:rPr>
        <w:t xml:space="preserve">. The </w:t>
      </w:r>
      <w:r>
        <w:rPr>
          <w:rFonts w:hint="eastAsia"/>
          <w:sz w:val="24"/>
        </w:rPr>
        <w:t>volume</w:t>
      </w:r>
      <w:r>
        <w:rPr>
          <w:sz w:val="24"/>
        </w:rPr>
        <w:t xml:space="preserve"> of interbank lending </w:t>
      </w:r>
      <w:r>
        <w:rPr>
          <w:rFonts w:hint="eastAsia"/>
          <w:sz w:val="24"/>
        </w:rPr>
        <w:t>totale</w:t>
      </w:r>
      <w:r>
        <w:rPr>
          <w:sz w:val="24"/>
        </w:rPr>
        <w:t xml:space="preserve">d RMB </w:t>
      </w:r>
      <w:r>
        <w:rPr>
          <w:rFonts w:hint="eastAsia"/>
          <w:sz w:val="24"/>
        </w:rPr>
        <w:t>101.3</w:t>
      </w:r>
      <w:r>
        <w:rPr>
          <w:sz w:val="24"/>
        </w:rPr>
        <w:t xml:space="preserve"> trillion, with an average daily</w:t>
      </w:r>
      <w:r>
        <w:rPr>
          <w:rFonts w:hint="eastAsia"/>
          <w:sz w:val="24"/>
        </w:rPr>
        <w:t xml:space="preserve"> turnover </w:t>
      </w:r>
      <w:r>
        <w:rPr>
          <w:sz w:val="24"/>
        </w:rPr>
        <w:t xml:space="preserve">of RMB </w:t>
      </w:r>
      <w:r>
        <w:rPr>
          <w:rFonts w:hint="eastAsia"/>
          <w:sz w:val="24"/>
        </w:rPr>
        <w:t>536.2</w:t>
      </w:r>
      <w:r>
        <w:rPr>
          <w:sz w:val="24"/>
        </w:rPr>
        <w:t xml:space="preserve"> billion and an increase of </w:t>
      </w:r>
      <w:r>
        <w:rPr>
          <w:rFonts w:hint="eastAsia"/>
          <w:sz w:val="24"/>
        </w:rPr>
        <w:t xml:space="preserve">75.6 </w:t>
      </w:r>
      <w:r>
        <w:rPr>
          <w:sz w:val="24"/>
        </w:rPr>
        <w:t>percent year on year</w:t>
      </w:r>
      <w:r>
        <w:rPr>
          <w:rFonts w:hint="eastAsia"/>
          <w:sz w:val="24"/>
        </w:rPr>
        <w:t xml:space="preserve">, accelerating 19.5 percentage points from </w:t>
      </w:r>
      <w:r>
        <w:rPr>
          <w:sz w:val="24"/>
        </w:rPr>
        <w:t>the first half</w:t>
      </w:r>
      <w:r>
        <w:rPr>
          <w:rFonts w:hint="eastAsia"/>
          <w:sz w:val="24"/>
        </w:rPr>
        <w:t xml:space="preserve"> of 2018</w:t>
      </w:r>
      <w:r>
        <w:rPr>
          <w:sz w:val="24"/>
        </w:rPr>
        <w:t>. In terms of the maturity structure, overnight repos and overnight lending respectively</w:t>
      </w:r>
      <w:r>
        <w:rPr>
          <w:rFonts w:hint="eastAsia"/>
          <w:sz w:val="24"/>
        </w:rPr>
        <w:t xml:space="preserve"> </w:t>
      </w:r>
      <w:r>
        <w:rPr>
          <w:sz w:val="24"/>
        </w:rPr>
        <w:t xml:space="preserve">accounted for </w:t>
      </w:r>
      <w:r>
        <w:rPr>
          <w:rFonts w:hint="eastAsia"/>
          <w:sz w:val="24"/>
        </w:rPr>
        <w:t>80.8</w:t>
      </w:r>
      <w:r>
        <w:rPr>
          <w:sz w:val="24"/>
        </w:rPr>
        <w:t xml:space="preserve"> percent and 8</w:t>
      </w:r>
      <w:r>
        <w:rPr>
          <w:rFonts w:hint="eastAsia"/>
          <w:sz w:val="24"/>
        </w:rPr>
        <w:t>9</w:t>
      </w:r>
      <w:r>
        <w:rPr>
          <w:sz w:val="24"/>
        </w:rPr>
        <w:t>.</w:t>
      </w:r>
      <w:r>
        <w:rPr>
          <w:rFonts w:hint="eastAsia"/>
          <w:sz w:val="24"/>
        </w:rPr>
        <w:t>8</w:t>
      </w:r>
      <w:r>
        <w:rPr>
          <w:sz w:val="24"/>
        </w:rPr>
        <w:t xml:space="preserve"> percent of the turnover in bond repos and interbank lending</w:t>
      </w:r>
      <w:r>
        <w:rPr>
          <w:rFonts w:hint="eastAsia"/>
          <w:sz w:val="24"/>
        </w:rPr>
        <w:t xml:space="preserve">, up 2.5 percentage points and 1 percentage point compared with </w:t>
      </w:r>
      <w:r>
        <w:rPr>
          <w:sz w:val="24"/>
        </w:rPr>
        <w:t>the first half</w:t>
      </w:r>
      <w:r>
        <w:rPr>
          <w:rFonts w:hint="eastAsia"/>
          <w:sz w:val="24"/>
        </w:rPr>
        <w:t xml:space="preserve"> of 2018</w:t>
      </w:r>
      <w:r>
        <w:rPr>
          <w:sz w:val="24"/>
        </w:rPr>
        <w:t xml:space="preserve">. The </w:t>
      </w:r>
      <w:r>
        <w:rPr>
          <w:rFonts w:hint="eastAsia"/>
          <w:sz w:val="24"/>
        </w:rPr>
        <w:t>volume</w:t>
      </w:r>
      <w:r>
        <w:rPr>
          <w:sz w:val="24"/>
        </w:rPr>
        <w:t xml:space="preserve"> of bond repos on the exchange</w:t>
      </w:r>
      <w:r>
        <w:rPr>
          <w:rFonts w:hint="eastAsia"/>
          <w:sz w:val="24"/>
        </w:rPr>
        <w:t xml:space="preserve"> markets</w:t>
      </w:r>
      <w:r>
        <w:rPr>
          <w:sz w:val="24"/>
        </w:rPr>
        <w:t xml:space="preserve"> decreased </w:t>
      </w:r>
      <w:r>
        <w:rPr>
          <w:rFonts w:hint="eastAsia"/>
          <w:sz w:val="24"/>
        </w:rPr>
        <w:t>12.4</w:t>
      </w:r>
      <w:r>
        <w:rPr>
          <w:sz w:val="24"/>
        </w:rPr>
        <w:t xml:space="preserve"> percent year on year to RMB </w:t>
      </w:r>
      <w:r>
        <w:rPr>
          <w:rFonts w:hint="eastAsia"/>
          <w:sz w:val="24"/>
        </w:rPr>
        <w:t>175.2</w:t>
      </w:r>
      <w:r>
        <w:rPr>
          <w:sz w:val="24"/>
        </w:rPr>
        <w:t xml:space="preserve"> trillion.</w:t>
      </w:r>
      <w:r>
        <w:rPr>
          <w:rFonts w:hint="eastAsia"/>
          <w:sz w:val="24"/>
        </w:rPr>
        <w:t xml:space="preserve"> In terms of financing among financial institutions, the flow of funds displayed the following characteristics. First, </w:t>
      </w:r>
      <w:r>
        <w:rPr>
          <w:sz w:val="24"/>
        </w:rPr>
        <w:t>Chinese-funded large</w:t>
      </w:r>
      <w:r>
        <w:rPr>
          <w:rFonts w:hint="eastAsia"/>
          <w:sz w:val="24"/>
        </w:rPr>
        <w:t xml:space="preserve"> and medium-sized</w:t>
      </w:r>
      <w:r>
        <w:rPr>
          <w:sz w:val="24"/>
        </w:rPr>
        <w:t xml:space="preserve"> banks</w:t>
      </w:r>
      <w:r>
        <w:rPr>
          <w:rFonts w:hint="eastAsia"/>
          <w:sz w:val="24"/>
        </w:rPr>
        <w:t xml:space="preserve"> were net lenders, providing RMB 225.9 trillion of net lending </w:t>
      </w:r>
      <w:r>
        <w:rPr>
          <w:sz w:val="24"/>
        </w:rPr>
        <w:t>during</w:t>
      </w:r>
      <w:r>
        <w:rPr>
          <w:rFonts w:hint="eastAsia"/>
          <w:sz w:val="24"/>
        </w:rPr>
        <w:t xml:space="preserve"> the first three quarters of 2018 through</w:t>
      </w:r>
      <w:r>
        <w:rPr>
          <w:sz w:val="24"/>
        </w:rPr>
        <w:t xml:space="preserve"> repos and interbank lending, up </w:t>
      </w:r>
      <w:r>
        <w:rPr>
          <w:rFonts w:hint="eastAsia"/>
          <w:sz w:val="24"/>
        </w:rPr>
        <w:t>30</w:t>
      </w:r>
      <w:r>
        <w:rPr>
          <w:sz w:val="24"/>
        </w:rPr>
        <w:t xml:space="preserve"> percent year on year. Second, </w:t>
      </w:r>
      <w:r>
        <w:rPr>
          <w:rFonts w:hint="eastAsia"/>
          <w:sz w:val="24"/>
        </w:rPr>
        <w:t xml:space="preserve">the volume of fund-raising </w:t>
      </w:r>
      <w:r>
        <w:rPr>
          <w:sz w:val="24"/>
        </w:rPr>
        <w:t xml:space="preserve">by insurance </w:t>
      </w:r>
      <w:r>
        <w:rPr>
          <w:rFonts w:hint="eastAsia"/>
          <w:sz w:val="24"/>
        </w:rPr>
        <w:t xml:space="preserve">institutions witnessed a large year-on-year increase. </w:t>
      </w:r>
      <w:r>
        <w:rPr>
          <w:sz w:val="24"/>
        </w:rPr>
        <w:t>I</w:t>
      </w:r>
      <w:r>
        <w:rPr>
          <w:rFonts w:hint="eastAsia"/>
          <w:sz w:val="24"/>
        </w:rPr>
        <w:t xml:space="preserve">nsurance institutions, </w:t>
      </w:r>
      <w:r>
        <w:rPr>
          <w:sz w:val="24"/>
        </w:rPr>
        <w:t xml:space="preserve">which </w:t>
      </w:r>
      <w:r>
        <w:rPr>
          <w:rFonts w:hint="eastAsia"/>
          <w:sz w:val="24"/>
        </w:rPr>
        <w:t>previously</w:t>
      </w:r>
      <w:r>
        <w:rPr>
          <w:sz w:val="24"/>
        </w:rPr>
        <w:t xml:space="preserve"> were net lenders</w:t>
      </w:r>
      <w:r>
        <w:rPr>
          <w:rFonts w:hint="eastAsia"/>
          <w:sz w:val="24"/>
        </w:rPr>
        <w:t>, became</w:t>
      </w:r>
      <w:r>
        <w:rPr>
          <w:sz w:val="24"/>
        </w:rPr>
        <w:t xml:space="preserve"> net borrowers during</w:t>
      </w:r>
      <w:r>
        <w:rPr>
          <w:rFonts w:hint="eastAsia"/>
          <w:sz w:val="24"/>
        </w:rPr>
        <w:t xml:space="preserve"> the third quarter of 2017. Since then, </w:t>
      </w:r>
      <w:r>
        <w:rPr>
          <w:sz w:val="24"/>
        </w:rPr>
        <w:t xml:space="preserve">their net borrowing has </w:t>
      </w:r>
      <w:r>
        <w:rPr>
          <w:rFonts w:hint="eastAsia"/>
          <w:sz w:val="24"/>
        </w:rPr>
        <w:t>increased quarter by quarter and totaled</w:t>
      </w:r>
      <w:r>
        <w:rPr>
          <w:sz w:val="24"/>
        </w:rPr>
        <w:t xml:space="preserve"> RMB </w:t>
      </w:r>
      <w:r>
        <w:rPr>
          <w:rFonts w:hint="eastAsia"/>
          <w:sz w:val="24"/>
        </w:rPr>
        <w:t>4.9 tril</w:t>
      </w:r>
      <w:r>
        <w:rPr>
          <w:sz w:val="24"/>
        </w:rPr>
        <w:t>lion</w:t>
      </w:r>
      <w:r>
        <w:rPr>
          <w:rFonts w:hint="eastAsia"/>
          <w:sz w:val="24"/>
        </w:rPr>
        <w:t xml:space="preserve"> </w:t>
      </w:r>
      <w:r>
        <w:rPr>
          <w:sz w:val="24"/>
        </w:rPr>
        <w:t>during</w:t>
      </w:r>
      <w:r>
        <w:rPr>
          <w:rFonts w:hint="eastAsia"/>
          <w:sz w:val="24"/>
        </w:rPr>
        <w:t xml:space="preserve"> the first three quarters of 2018</w:t>
      </w:r>
      <w:r>
        <w:rPr>
          <w:sz w:val="24"/>
        </w:rPr>
        <w:t xml:space="preserve">. </w:t>
      </w:r>
      <w:r>
        <w:rPr>
          <w:rFonts w:hint="eastAsia"/>
          <w:sz w:val="24"/>
        </w:rPr>
        <w:t xml:space="preserve">Specifically, </w:t>
      </w:r>
      <w:r>
        <w:rPr>
          <w:sz w:val="24"/>
        </w:rPr>
        <w:t>during</w:t>
      </w:r>
      <w:r>
        <w:rPr>
          <w:rFonts w:hint="eastAsia"/>
          <w:sz w:val="24"/>
        </w:rPr>
        <w:t xml:space="preserve"> the third quarter of 2018, their net borrowing reached RMB 2.7 trillion, up 364.9 percent year on year</w:t>
      </w:r>
      <w:r>
        <w:rPr>
          <w:sz w:val="24"/>
        </w:rPr>
        <w:t xml:space="preserve"> or</w:t>
      </w:r>
      <w:r>
        <w:rPr>
          <w:rFonts w:hint="eastAsia"/>
          <w:sz w:val="24"/>
        </w:rPr>
        <w:t xml:space="preserve"> an increase of RMB 410.2 billion from that in </w:t>
      </w:r>
      <w:r>
        <w:rPr>
          <w:sz w:val="24"/>
        </w:rPr>
        <w:t>the first half</w:t>
      </w:r>
      <w:r>
        <w:rPr>
          <w:rFonts w:hint="eastAsia"/>
          <w:sz w:val="24"/>
        </w:rPr>
        <w:t xml:space="preserve"> of 2018. </w:t>
      </w:r>
      <w:r>
        <w:rPr>
          <w:sz w:val="24"/>
        </w:rPr>
        <w:t>Third, the net borrowing of</w:t>
      </w:r>
      <w:r>
        <w:rPr>
          <w:rFonts w:hint="eastAsia"/>
          <w:sz w:val="24"/>
        </w:rPr>
        <w:t xml:space="preserve"> </w:t>
      </w:r>
      <w:r>
        <w:rPr>
          <w:sz w:val="24"/>
        </w:rPr>
        <w:t>other financial institutions, vehicles</w:t>
      </w:r>
      <w:r>
        <w:rPr>
          <w:rFonts w:hint="eastAsia"/>
          <w:sz w:val="24"/>
        </w:rPr>
        <w:t xml:space="preserve">, </w:t>
      </w:r>
      <w:r>
        <w:rPr>
          <w:sz w:val="24"/>
        </w:rPr>
        <w:t xml:space="preserve">and securities </w:t>
      </w:r>
      <w:r>
        <w:rPr>
          <w:rFonts w:hint="eastAsia"/>
          <w:sz w:val="24"/>
        </w:rPr>
        <w:t xml:space="preserve">companies continued </w:t>
      </w:r>
      <w:r>
        <w:rPr>
          <w:sz w:val="24"/>
        </w:rPr>
        <w:t xml:space="preserve">their rapid </w:t>
      </w:r>
      <w:r>
        <w:rPr>
          <w:rFonts w:hint="eastAsia"/>
          <w:sz w:val="24"/>
        </w:rPr>
        <w:t xml:space="preserve">growth. In particular, </w:t>
      </w:r>
      <w:r>
        <w:rPr>
          <w:sz w:val="24"/>
        </w:rPr>
        <w:t>net borrowing by other financial institutions and vehicles</w:t>
      </w:r>
      <w:r>
        <w:rPr>
          <w:rFonts w:hint="eastAsia"/>
          <w:sz w:val="24"/>
        </w:rPr>
        <w:t xml:space="preserve"> totaled </w:t>
      </w:r>
      <w:r>
        <w:rPr>
          <w:sz w:val="24"/>
        </w:rPr>
        <w:t xml:space="preserve">RMB </w:t>
      </w:r>
      <w:r>
        <w:rPr>
          <w:rFonts w:hint="eastAsia"/>
          <w:sz w:val="24"/>
        </w:rPr>
        <w:t>99.8</w:t>
      </w:r>
      <w:r>
        <w:rPr>
          <w:sz w:val="24"/>
        </w:rPr>
        <w:t xml:space="preserve"> trillion</w:t>
      </w:r>
      <w:r>
        <w:rPr>
          <w:rFonts w:hint="eastAsia"/>
          <w:sz w:val="24"/>
        </w:rPr>
        <w:t xml:space="preserve">, up </w:t>
      </w:r>
      <w:r>
        <w:rPr>
          <w:rFonts w:hint="eastAsia"/>
          <w:sz w:val="24"/>
        </w:rPr>
        <w:lastRenderedPageBreak/>
        <w:t>56.3</w:t>
      </w:r>
      <w:r>
        <w:rPr>
          <w:sz w:val="24"/>
        </w:rPr>
        <w:t xml:space="preserve"> </w:t>
      </w:r>
      <w:r>
        <w:rPr>
          <w:rFonts w:hint="eastAsia"/>
          <w:sz w:val="24"/>
        </w:rPr>
        <w:t>percent year on year</w:t>
      </w:r>
      <w:r>
        <w:rPr>
          <w:sz w:val="24"/>
        </w:rPr>
        <w:t xml:space="preserve">. Net borrowing by securities institutions </w:t>
      </w:r>
      <w:r>
        <w:rPr>
          <w:rFonts w:hint="eastAsia"/>
          <w:sz w:val="24"/>
        </w:rPr>
        <w:t>posted</w:t>
      </w:r>
      <w:r>
        <w:rPr>
          <w:sz w:val="24"/>
        </w:rPr>
        <w:t xml:space="preserve"> RMB </w:t>
      </w:r>
      <w:r>
        <w:rPr>
          <w:rFonts w:hint="eastAsia"/>
          <w:sz w:val="24"/>
        </w:rPr>
        <w:t>64.2</w:t>
      </w:r>
      <w:r>
        <w:rPr>
          <w:sz w:val="24"/>
        </w:rPr>
        <w:t xml:space="preserve"> trillion,</w:t>
      </w:r>
      <w:r>
        <w:rPr>
          <w:rFonts w:hint="eastAsia"/>
          <w:sz w:val="24"/>
        </w:rPr>
        <w:t xml:space="preserve"> up 54 percent</w:t>
      </w:r>
      <w:r>
        <w:rPr>
          <w:sz w:val="24"/>
        </w:rPr>
        <w:t xml:space="preserve"> year on year.</w:t>
      </w:r>
      <w:bookmarkEnd w:id="60"/>
      <w:bookmarkEnd w:id="61"/>
    </w:p>
    <w:p w:rsidR="002E3175" w:rsidRPr="002E3175" w:rsidRDefault="002E3175" w:rsidP="002E3175">
      <w:pPr>
        <w:keepNext/>
        <w:spacing w:line="360" w:lineRule="auto"/>
        <w:jc w:val="center"/>
        <w:rPr>
          <w:b/>
          <w:sz w:val="24"/>
        </w:rPr>
      </w:pPr>
      <w:bookmarkStart w:id="67" w:name="_Toc532203071"/>
      <w:r w:rsidRPr="002E3175">
        <w:rPr>
          <w:b/>
          <w:sz w:val="24"/>
        </w:rPr>
        <w:t xml:space="preserve">Table </w:t>
      </w:r>
      <w:r w:rsidR="002447A7" w:rsidRPr="002E3175">
        <w:rPr>
          <w:b/>
          <w:sz w:val="24"/>
        </w:rPr>
        <w:fldChar w:fldCharType="begin"/>
      </w:r>
      <w:r w:rsidRPr="002E3175">
        <w:rPr>
          <w:b/>
          <w:sz w:val="24"/>
        </w:rPr>
        <w:instrText xml:space="preserve"> SEQ Table \* ARABIC </w:instrText>
      </w:r>
      <w:r w:rsidR="002447A7" w:rsidRPr="002E3175">
        <w:rPr>
          <w:b/>
          <w:sz w:val="24"/>
        </w:rPr>
        <w:fldChar w:fldCharType="separate"/>
      </w:r>
      <w:r w:rsidR="00EC1136">
        <w:rPr>
          <w:b/>
          <w:noProof/>
          <w:sz w:val="24"/>
        </w:rPr>
        <w:t>8</w:t>
      </w:r>
      <w:r w:rsidR="002447A7" w:rsidRPr="002E3175">
        <w:rPr>
          <w:b/>
          <w:sz w:val="24"/>
        </w:rPr>
        <w:fldChar w:fldCharType="end"/>
      </w:r>
      <w:r w:rsidRPr="002E3175">
        <w:rPr>
          <w:b/>
          <w:sz w:val="24"/>
        </w:rPr>
        <w:t xml:space="preserve"> </w:t>
      </w:r>
      <w:r>
        <w:rPr>
          <w:b/>
          <w:sz w:val="24"/>
        </w:rPr>
        <w:t>Fund Flows among Financial Institutions, Q1–</w:t>
      </w:r>
      <w:r w:rsidRPr="00C30443">
        <w:rPr>
          <w:b/>
          <w:sz w:val="24"/>
        </w:rPr>
        <w:t>Q</w:t>
      </w:r>
      <w:r>
        <w:rPr>
          <w:b/>
          <w:sz w:val="24"/>
        </w:rPr>
        <w:t>3</w:t>
      </w:r>
      <w:r w:rsidRPr="00EE3C76">
        <w:rPr>
          <w:rFonts w:hint="eastAsia"/>
          <w:b/>
          <w:sz w:val="24"/>
        </w:rPr>
        <w:t xml:space="preserve"> </w:t>
      </w:r>
      <w:r>
        <w:rPr>
          <w:b/>
          <w:sz w:val="24"/>
        </w:rPr>
        <w:t>of 2018</w:t>
      </w:r>
      <w:bookmarkEnd w:id="67"/>
    </w:p>
    <w:tbl>
      <w:tblPr>
        <w:tblW w:w="8483" w:type="dxa"/>
        <w:jc w:val="center"/>
        <w:tblLayout w:type="fixed"/>
        <w:tblCellMar>
          <w:left w:w="0" w:type="dxa"/>
          <w:right w:w="0" w:type="dxa"/>
        </w:tblCellMar>
        <w:tblLook w:val="04A0"/>
      </w:tblPr>
      <w:tblGrid>
        <w:gridCol w:w="2632"/>
        <w:gridCol w:w="1462"/>
        <w:gridCol w:w="1462"/>
        <w:gridCol w:w="1462"/>
        <w:gridCol w:w="1465"/>
      </w:tblGrid>
      <w:tr w:rsidR="001031BB" w:rsidTr="001031BB">
        <w:trPr>
          <w:trHeight w:val="300"/>
          <w:jc w:val="center"/>
        </w:trPr>
        <w:tc>
          <w:tcPr>
            <w:tcW w:w="8483" w:type="dxa"/>
            <w:gridSpan w:val="5"/>
            <w:tcBorders>
              <w:top w:val="nil"/>
              <w:left w:val="nil"/>
              <w:bottom w:val="single" w:sz="12" w:space="0" w:color="008000"/>
              <w:right w:val="nil"/>
            </w:tcBorders>
            <w:vAlign w:val="bottom"/>
          </w:tcPr>
          <w:p w:rsidR="001031BB" w:rsidRDefault="001031BB" w:rsidP="001031BB">
            <w:pPr>
              <w:spacing w:line="360" w:lineRule="auto"/>
              <w:rPr>
                <w:sz w:val="24"/>
              </w:rPr>
            </w:pPr>
          </w:p>
          <w:p w:rsidR="001031BB" w:rsidRDefault="001031BB" w:rsidP="001031BB">
            <w:pPr>
              <w:spacing w:line="360" w:lineRule="auto"/>
              <w:ind w:right="120"/>
              <w:jc w:val="right"/>
              <w:rPr>
                <w:sz w:val="24"/>
              </w:rPr>
            </w:pPr>
            <w:r>
              <w:rPr>
                <w:sz w:val="24"/>
              </w:rPr>
              <w:t xml:space="preserve">Unit: RMB 100 million </w:t>
            </w:r>
          </w:p>
        </w:tc>
      </w:tr>
      <w:tr w:rsidR="001031BB" w:rsidTr="001031BB">
        <w:trPr>
          <w:cantSplit/>
          <w:trHeight w:val="369"/>
          <w:jc w:val="center"/>
        </w:trPr>
        <w:tc>
          <w:tcPr>
            <w:tcW w:w="2632" w:type="dxa"/>
            <w:vMerge w:val="restart"/>
            <w:tcBorders>
              <w:top w:val="nil"/>
              <w:left w:val="nil"/>
              <w:bottom w:val="single" w:sz="8" w:space="0" w:color="008000"/>
              <w:right w:val="single" w:sz="4" w:space="0" w:color="008000"/>
            </w:tcBorders>
            <w:shd w:val="clear" w:color="auto" w:fill="CCFFCC"/>
            <w:vAlign w:val="center"/>
          </w:tcPr>
          <w:p w:rsidR="001031BB" w:rsidRDefault="001031BB" w:rsidP="001031BB">
            <w:pPr>
              <w:adjustRightInd w:val="0"/>
              <w:snapToGrid w:val="0"/>
              <w:spacing w:line="360" w:lineRule="auto"/>
              <w:jc w:val="center"/>
              <w:rPr>
                <w:sz w:val="24"/>
              </w:rPr>
            </w:pPr>
            <w:r>
              <w:rPr>
                <w:rFonts w:hint="eastAsia"/>
                <w:sz w:val="24"/>
              </w:rPr>
              <w:t xml:space="preserve">　</w:t>
            </w:r>
          </w:p>
        </w:tc>
        <w:tc>
          <w:tcPr>
            <w:tcW w:w="2924" w:type="dxa"/>
            <w:gridSpan w:val="2"/>
            <w:tcBorders>
              <w:top w:val="single" w:sz="12" w:space="0" w:color="008000"/>
              <w:left w:val="nil"/>
              <w:bottom w:val="single" w:sz="4" w:space="0" w:color="008000"/>
              <w:right w:val="single" w:sz="4" w:space="0" w:color="008000"/>
            </w:tcBorders>
            <w:shd w:val="clear" w:color="auto" w:fill="CCFFCC"/>
            <w:vAlign w:val="center"/>
          </w:tcPr>
          <w:p w:rsidR="001031BB" w:rsidRDefault="001031BB" w:rsidP="001031BB">
            <w:pPr>
              <w:adjustRightInd w:val="0"/>
              <w:snapToGrid w:val="0"/>
              <w:spacing w:line="360" w:lineRule="auto"/>
              <w:jc w:val="center"/>
              <w:rPr>
                <w:sz w:val="24"/>
              </w:rPr>
            </w:pPr>
            <w:r>
              <w:rPr>
                <w:sz w:val="24"/>
              </w:rPr>
              <w:t>Repos</w:t>
            </w:r>
          </w:p>
        </w:tc>
        <w:tc>
          <w:tcPr>
            <w:tcW w:w="2927" w:type="dxa"/>
            <w:gridSpan w:val="2"/>
            <w:tcBorders>
              <w:top w:val="single" w:sz="12" w:space="0" w:color="008000"/>
              <w:left w:val="nil"/>
              <w:bottom w:val="single" w:sz="4" w:space="0" w:color="008000"/>
              <w:right w:val="nil"/>
            </w:tcBorders>
            <w:shd w:val="clear" w:color="auto" w:fill="CCFFCC"/>
            <w:vAlign w:val="center"/>
          </w:tcPr>
          <w:p w:rsidR="001031BB" w:rsidRDefault="001031BB" w:rsidP="001031BB">
            <w:pPr>
              <w:adjustRightInd w:val="0"/>
              <w:snapToGrid w:val="0"/>
              <w:spacing w:line="360" w:lineRule="auto"/>
              <w:jc w:val="center"/>
              <w:rPr>
                <w:sz w:val="24"/>
              </w:rPr>
            </w:pPr>
            <w:r>
              <w:rPr>
                <w:sz w:val="24"/>
              </w:rPr>
              <w:t xml:space="preserve">Interbank </w:t>
            </w:r>
            <w:r>
              <w:rPr>
                <w:rFonts w:hint="eastAsia"/>
                <w:sz w:val="24"/>
              </w:rPr>
              <w:t>lending</w:t>
            </w:r>
          </w:p>
        </w:tc>
      </w:tr>
      <w:tr w:rsidR="001031BB" w:rsidTr="001031BB">
        <w:trPr>
          <w:cantSplit/>
          <w:trHeight w:val="369"/>
          <w:jc w:val="center"/>
        </w:trPr>
        <w:tc>
          <w:tcPr>
            <w:tcW w:w="2632" w:type="dxa"/>
            <w:vMerge/>
            <w:tcBorders>
              <w:top w:val="nil"/>
              <w:left w:val="nil"/>
              <w:bottom w:val="single" w:sz="8" w:space="0" w:color="008000"/>
              <w:right w:val="single" w:sz="4" w:space="0" w:color="008000"/>
            </w:tcBorders>
            <w:shd w:val="clear" w:color="auto" w:fill="auto"/>
            <w:vAlign w:val="center"/>
          </w:tcPr>
          <w:p w:rsidR="001031BB" w:rsidRDefault="001031BB" w:rsidP="002E7312">
            <w:pPr>
              <w:keepNext/>
              <w:keepLines/>
              <w:spacing w:beforeLines="200" w:afterLines="100" w:line="360" w:lineRule="auto"/>
              <w:jc w:val="center"/>
              <w:outlineLvl w:val="0"/>
              <w:rPr>
                <w:sz w:val="24"/>
              </w:rPr>
            </w:pPr>
          </w:p>
        </w:tc>
        <w:tc>
          <w:tcPr>
            <w:tcW w:w="1462" w:type="dxa"/>
            <w:tcBorders>
              <w:top w:val="nil"/>
              <w:left w:val="nil"/>
              <w:bottom w:val="single" w:sz="8" w:space="0" w:color="008000"/>
              <w:right w:val="single" w:sz="4" w:space="0" w:color="008000"/>
            </w:tcBorders>
            <w:shd w:val="clear" w:color="auto" w:fill="CCFFCC"/>
            <w:vAlign w:val="center"/>
          </w:tcPr>
          <w:p w:rsidR="001031BB" w:rsidRDefault="001031BB" w:rsidP="001031BB">
            <w:pPr>
              <w:adjustRightInd w:val="0"/>
              <w:snapToGrid w:val="0"/>
              <w:spacing w:line="360" w:lineRule="auto"/>
              <w:jc w:val="center"/>
              <w:rPr>
                <w:sz w:val="24"/>
              </w:rPr>
            </w:pPr>
            <w:r>
              <w:rPr>
                <w:rFonts w:hint="eastAsia"/>
                <w:sz w:val="24"/>
              </w:rPr>
              <w:t>Q1</w:t>
            </w:r>
            <w:r>
              <w:rPr>
                <w:b/>
                <w:sz w:val="24"/>
              </w:rPr>
              <w:t>–</w:t>
            </w:r>
            <w:r>
              <w:rPr>
                <w:sz w:val="24"/>
              </w:rPr>
              <w:t>Q3</w:t>
            </w:r>
            <w:r>
              <w:rPr>
                <w:rFonts w:hint="eastAsia"/>
                <w:sz w:val="24"/>
              </w:rPr>
              <w:t xml:space="preserve"> </w:t>
            </w:r>
            <w:r>
              <w:rPr>
                <w:sz w:val="24"/>
              </w:rPr>
              <w:t>201</w:t>
            </w:r>
            <w:r>
              <w:rPr>
                <w:rFonts w:hint="eastAsia"/>
                <w:sz w:val="24"/>
              </w:rPr>
              <w:t>8</w:t>
            </w:r>
          </w:p>
        </w:tc>
        <w:tc>
          <w:tcPr>
            <w:tcW w:w="1462" w:type="dxa"/>
            <w:tcBorders>
              <w:top w:val="nil"/>
              <w:left w:val="nil"/>
              <w:bottom w:val="single" w:sz="8" w:space="0" w:color="008000"/>
              <w:right w:val="single" w:sz="4" w:space="0" w:color="008000"/>
            </w:tcBorders>
            <w:shd w:val="clear" w:color="auto" w:fill="CCFFCC"/>
            <w:vAlign w:val="center"/>
          </w:tcPr>
          <w:p w:rsidR="001031BB" w:rsidRDefault="001031BB" w:rsidP="001031BB">
            <w:pPr>
              <w:adjustRightInd w:val="0"/>
              <w:snapToGrid w:val="0"/>
              <w:spacing w:line="360" w:lineRule="auto"/>
              <w:jc w:val="center"/>
              <w:rPr>
                <w:sz w:val="24"/>
              </w:rPr>
            </w:pPr>
            <w:r>
              <w:rPr>
                <w:rFonts w:hint="eastAsia"/>
                <w:sz w:val="24"/>
              </w:rPr>
              <w:t>Q1</w:t>
            </w:r>
            <w:r>
              <w:rPr>
                <w:b/>
                <w:sz w:val="24"/>
              </w:rPr>
              <w:t>–</w:t>
            </w:r>
            <w:r>
              <w:rPr>
                <w:sz w:val="24"/>
              </w:rPr>
              <w:t>Q3</w:t>
            </w:r>
            <w:r>
              <w:rPr>
                <w:rFonts w:hint="eastAsia"/>
                <w:sz w:val="24"/>
              </w:rPr>
              <w:t xml:space="preserve"> </w:t>
            </w:r>
            <w:r>
              <w:rPr>
                <w:sz w:val="24"/>
              </w:rPr>
              <w:t>201</w:t>
            </w:r>
            <w:r>
              <w:rPr>
                <w:rFonts w:hint="eastAsia"/>
                <w:sz w:val="24"/>
              </w:rPr>
              <w:t>7</w:t>
            </w:r>
          </w:p>
        </w:tc>
        <w:tc>
          <w:tcPr>
            <w:tcW w:w="1462" w:type="dxa"/>
            <w:tcBorders>
              <w:top w:val="nil"/>
              <w:left w:val="nil"/>
              <w:bottom w:val="single" w:sz="8" w:space="0" w:color="008000"/>
              <w:right w:val="single" w:sz="4" w:space="0" w:color="008000"/>
            </w:tcBorders>
            <w:shd w:val="clear" w:color="auto" w:fill="CCFFCC"/>
            <w:vAlign w:val="center"/>
          </w:tcPr>
          <w:p w:rsidR="001031BB" w:rsidRDefault="001031BB" w:rsidP="001031BB">
            <w:pPr>
              <w:adjustRightInd w:val="0"/>
              <w:snapToGrid w:val="0"/>
              <w:spacing w:line="360" w:lineRule="auto"/>
              <w:jc w:val="center"/>
              <w:rPr>
                <w:sz w:val="24"/>
              </w:rPr>
            </w:pPr>
            <w:r>
              <w:rPr>
                <w:rFonts w:hint="eastAsia"/>
                <w:sz w:val="24"/>
              </w:rPr>
              <w:t>Q1</w:t>
            </w:r>
            <w:r>
              <w:rPr>
                <w:b/>
                <w:sz w:val="24"/>
              </w:rPr>
              <w:t>–</w:t>
            </w:r>
            <w:r>
              <w:rPr>
                <w:sz w:val="24"/>
              </w:rPr>
              <w:t>Q3</w:t>
            </w:r>
            <w:r>
              <w:rPr>
                <w:rFonts w:hint="eastAsia"/>
                <w:sz w:val="24"/>
              </w:rPr>
              <w:t xml:space="preserve"> </w:t>
            </w:r>
            <w:r>
              <w:rPr>
                <w:sz w:val="24"/>
              </w:rPr>
              <w:t>201</w:t>
            </w:r>
            <w:r>
              <w:rPr>
                <w:rFonts w:hint="eastAsia"/>
                <w:sz w:val="24"/>
              </w:rPr>
              <w:t>8</w:t>
            </w:r>
          </w:p>
        </w:tc>
        <w:tc>
          <w:tcPr>
            <w:tcW w:w="1465" w:type="dxa"/>
            <w:tcBorders>
              <w:top w:val="nil"/>
              <w:left w:val="nil"/>
              <w:bottom w:val="single" w:sz="8" w:space="0" w:color="008000"/>
              <w:right w:val="nil"/>
            </w:tcBorders>
            <w:shd w:val="clear" w:color="auto" w:fill="CCFFCC"/>
            <w:vAlign w:val="center"/>
          </w:tcPr>
          <w:p w:rsidR="001031BB" w:rsidRDefault="001031BB" w:rsidP="001031BB">
            <w:pPr>
              <w:adjustRightInd w:val="0"/>
              <w:snapToGrid w:val="0"/>
              <w:spacing w:line="360" w:lineRule="auto"/>
              <w:jc w:val="center"/>
              <w:rPr>
                <w:sz w:val="24"/>
              </w:rPr>
            </w:pPr>
            <w:r>
              <w:rPr>
                <w:rFonts w:hint="eastAsia"/>
                <w:sz w:val="24"/>
              </w:rPr>
              <w:t>Q1</w:t>
            </w:r>
            <w:r>
              <w:rPr>
                <w:b/>
                <w:sz w:val="24"/>
              </w:rPr>
              <w:t>–</w:t>
            </w:r>
            <w:r>
              <w:rPr>
                <w:sz w:val="24"/>
              </w:rPr>
              <w:t>Q3</w:t>
            </w:r>
            <w:r>
              <w:rPr>
                <w:rFonts w:hint="eastAsia"/>
                <w:sz w:val="24"/>
              </w:rPr>
              <w:t xml:space="preserve"> </w:t>
            </w:r>
            <w:r>
              <w:rPr>
                <w:sz w:val="24"/>
              </w:rPr>
              <w:t>201</w:t>
            </w:r>
            <w:r>
              <w:rPr>
                <w:rFonts w:hint="eastAsia"/>
                <w:sz w:val="24"/>
              </w:rPr>
              <w:t>7</w:t>
            </w:r>
          </w:p>
        </w:tc>
      </w:tr>
      <w:tr w:rsidR="001031BB" w:rsidTr="001031BB">
        <w:trPr>
          <w:trHeight w:val="369"/>
          <w:jc w:val="center"/>
        </w:trPr>
        <w:tc>
          <w:tcPr>
            <w:tcW w:w="2632" w:type="dxa"/>
            <w:tcBorders>
              <w:top w:val="single" w:sz="8" w:space="0" w:color="008000"/>
              <w:left w:val="nil"/>
              <w:bottom w:val="nil"/>
              <w:right w:val="single" w:sz="4" w:space="0" w:color="008000"/>
            </w:tcBorders>
            <w:shd w:val="clear" w:color="auto" w:fill="FFFFFF"/>
            <w:vAlign w:val="center"/>
          </w:tcPr>
          <w:p w:rsidR="001031BB" w:rsidRDefault="001031BB" w:rsidP="001031BB">
            <w:pPr>
              <w:adjustRightInd w:val="0"/>
              <w:snapToGrid w:val="0"/>
              <w:spacing w:line="360" w:lineRule="auto"/>
              <w:jc w:val="left"/>
              <w:rPr>
                <w:sz w:val="24"/>
              </w:rPr>
            </w:pPr>
            <w:r>
              <w:rPr>
                <w:sz w:val="24"/>
              </w:rPr>
              <w:t>Chinese-funded large banks</w:t>
            </w:r>
            <w:r w:rsidR="002447A7">
              <w:rPr>
                <w:sz w:val="24"/>
              </w:rPr>
              <w:fldChar w:fldCharType="begin"/>
            </w:r>
            <w:r>
              <w:rPr>
                <w:sz w:val="24"/>
              </w:rPr>
              <w:instrText xml:space="preserve"> = 1 \* GB3 </w:instrText>
            </w:r>
            <w:r w:rsidR="002447A7">
              <w:rPr>
                <w:sz w:val="24"/>
              </w:rPr>
              <w:fldChar w:fldCharType="separate"/>
            </w:r>
            <w:r>
              <w:rPr>
                <w:rFonts w:hint="eastAsia"/>
                <w:sz w:val="24"/>
              </w:rPr>
              <w:t>①</w:t>
            </w:r>
            <w:r w:rsidR="002447A7">
              <w:rPr>
                <w:sz w:val="24"/>
              </w:rPr>
              <w:fldChar w:fldCharType="end"/>
            </w:r>
          </w:p>
        </w:tc>
        <w:tc>
          <w:tcPr>
            <w:tcW w:w="1462" w:type="dxa"/>
            <w:tcBorders>
              <w:top w:val="single" w:sz="8" w:space="0" w:color="008000"/>
              <w:left w:val="nil"/>
              <w:bottom w:val="nil"/>
              <w:right w:val="single" w:sz="4" w:space="0" w:color="008000"/>
            </w:tcBorders>
            <w:shd w:val="clear" w:color="auto" w:fill="FFFFFF"/>
            <w:vAlign w:val="center"/>
          </w:tcPr>
          <w:p w:rsidR="001031BB" w:rsidRDefault="001031BB" w:rsidP="001031BB">
            <w:pPr>
              <w:adjustRightInd w:val="0"/>
              <w:snapToGrid w:val="0"/>
              <w:spacing w:line="360" w:lineRule="auto"/>
              <w:jc w:val="center"/>
              <w:rPr>
                <w:sz w:val="24"/>
              </w:rPr>
            </w:pPr>
            <w:r>
              <w:rPr>
                <w:sz w:val="24"/>
              </w:rPr>
              <w:t>–1,216,82</w:t>
            </w:r>
            <w:r>
              <w:rPr>
                <w:rFonts w:hint="eastAsia"/>
                <w:sz w:val="24"/>
              </w:rPr>
              <w:t>5</w:t>
            </w:r>
          </w:p>
        </w:tc>
        <w:tc>
          <w:tcPr>
            <w:tcW w:w="1462" w:type="dxa"/>
            <w:tcBorders>
              <w:top w:val="single" w:sz="8" w:space="0" w:color="008000"/>
              <w:left w:val="nil"/>
              <w:bottom w:val="nil"/>
              <w:right w:val="single" w:sz="4" w:space="0" w:color="008000"/>
            </w:tcBorders>
            <w:shd w:val="clear" w:color="auto" w:fill="FFFFFF"/>
            <w:vAlign w:val="center"/>
          </w:tcPr>
          <w:p w:rsidR="001031BB" w:rsidRDefault="001031BB" w:rsidP="001031BB">
            <w:pPr>
              <w:adjustRightInd w:val="0"/>
              <w:snapToGrid w:val="0"/>
              <w:spacing w:line="360" w:lineRule="auto"/>
              <w:jc w:val="center"/>
              <w:rPr>
                <w:sz w:val="24"/>
              </w:rPr>
            </w:pPr>
            <w:r>
              <w:rPr>
                <w:sz w:val="24"/>
              </w:rPr>
              <w:t>–</w:t>
            </w:r>
            <w:r>
              <w:rPr>
                <w:rFonts w:hint="eastAsia"/>
                <w:sz w:val="24"/>
              </w:rPr>
              <w:t>1,104,</w:t>
            </w:r>
            <w:r>
              <w:rPr>
                <w:sz w:val="24"/>
              </w:rPr>
              <w:t>37</w:t>
            </w:r>
            <w:r>
              <w:rPr>
                <w:rFonts w:hint="eastAsia"/>
                <w:sz w:val="24"/>
              </w:rPr>
              <w:t>6</w:t>
            </w:r>
          </w:p>
        </w:tc>
        <w:tc>
          <w:tcPr>
            <w:tcW w:w="1462" w:type="dxa"/>
            <w:tcBorders>
              <w:top w:val="single" w:sz="8" w:space="0" w:color="008000"/>
              <w:left w:val="nil"/>
              <w:bottom w:val="nil"/>
              <w:right w:val="single" w:sz="4" w:space="0" w:color="008000"/>
            </w:tcBorders>
            <w:shd w:val="clear" w:color="auto" w:fill="FFFFFF"/>
            <w:vAlign w:val="center"/>
          </w:tcPr>
          <w:p w:rsidR="001031BB" w:rsidRDefault="001031BB" w:rsidP="001031BB">
            <w:pPr>
              <w:adjustRightInd w:val="0"/>
              <w:snapToGrid w:val="0"/>
              <w:spacing w:line="360" w:lineRule="auto"/>
              <w:jc w:val="center"/>
              <w:rPr>
                <w:sz w:val="24"/>
              </w:rPr>
            </w:pPr>
            <w:r>
              <w:rPr>
                <w:sz w:val="24"/>
              </w:rPr>
              <w:t>–</w:t>
            </w:r>
            <w:r>
              <w:rPr>
                <w:rFonts w:hint="eastAsia"/>
                <w:sz w:val="24"/>
              </w:rPr>
              <w:t>214,156</w:t>
            </w:r>
          </w:p>
        </w:tc>
        <w:tc>
          <w:tcPr>
            <w:tcW w:w="1465" w:type="dxa"/>
            <w:tcBorders>
              <w:top w:val="single" w:sz="8" w:space="0" w:color="008000"/>
              <w:left w:val="nil"/>
              <w:bottom w:val="nil"/>
              <w:right w:val="nil"/>
            </w:tcBorders>
            <w:shd w:val="clear" w:color="auto" w:fill="FFFFFF"/>
            <w:vAlign w:val="center"/>
          </w:tcPr>
          <w:p w:rsidR="001031BB" w:rsidRDefault="001031BB" w:rsidP="001031BB">
            <w:pPr>
              <w:adjustRightInd w:val="0"/>
              <w:snapToGrid w:val="0"/>
              <w:spacing w:line="360" w:lineRule="auto"/>
              <w:jc w:val="center"/>
              <w:rPr>
                <w:sz w:val="24"/>
              </w:rPr>
            </w:pPr>
            <w:r>
              <w:rPr>
                <w:sz w:val="24"/>
              </w:rPr>
              <w:t>–</w:t>
            </w:r>
            <w:r>
              <w:rPr>
                <w:rFonts w:hint="eastAsia"/>
                <w:sz w:val="24"/>
              </w:rPr>
              <w:t>126</w:t>
            </w:r>
            <w:r>
              <w:rPr>
                <w:sz w:val="24"/>
              </w:rPr>
              <w:t>,552</w:t>
            </w:r>
          </w:p>
        </w:tc>
      </w:tr>
      <w:tr w:rsidR="001031BB" w:rsidTr="001031BB">
        <w:trPr>
          <w:trHeight w:val="369"/>
          <w:jc w:val="center"/>
        </w:trPr>
        <w:tc>
          <w:tcPr>
            <w:tcW w:w="2632" w:type="dxa"/>
            <w:tcBorders>
              <w:top w:val="nil"/>
              <w:left w:val="nil"/>
              <w:bottom w:val="nil"/>
              <w:right w:val="single" w:sz="4" w:space="0" w:color="008000"/>
            </w:tcBorders>
            <w:shd w:val="clear" w:color="auto" w:fill="CCFFCC"/>
            <w:vAlign w:val="center"/>
          </w:tcPr>
          <w:p w:rsidR="001031BB" w:rsidRDefault="001031BB" w:rsidP="001031BB">
            <w:pPr>
              <w:adjustRightInd w:val="0"/>
              <w:snapToGrid w:val="0"/>
              <w:spacing w:line="360" w:lineRule="auto"/>
              <w:jc w:val="left"/>
              <w:rPr>
                <w:sz w:val="24"/>
              </w:rPr>
            </w:pPr>
            <w:r>
              <w:rPr>
                <w:sz w:val="24"/>
              </w:rPr>
              <w:t>Chinese-funded medium-sized banks</w:t>
            </w:r>
            <w:r w:rsidR="002447A7">
              <w:rPr>
                <w:sz w:val="24"/>
              </w:rPr>
              <w:fldChar w:fldCharType="begin"/>
            </w:r>
            <w:r>
              <w:rPr>
                <w:sz w:val="24"/>
              </w:rPr>
              <w:instrText xml:space="preserve"> = 2 \* GB3 </w:instrText>
            </w:r>
            <w:r w:rsidR="002447A7">
              <w:rPr>
                <w:sz w:val="24"/>
              </w:rPr>
              <w:fldChar w:fldCharType="separate"/>
            </w:r>
            <w:r>
              <w:rPr>
                <w:rFonts w:hint="eastAsia"/>
                <w:sz w:val="24"/>
              </w:rPr>
              <w:t>②</w:t>
            </w:r>
            <w:r w:rsidR="002447A7">
              <w:rPr>
                <w:sz w:val="24"/>
              </w:rPr>
              <w:fldChar w:fldCharType="end"/>
            </w:r>
          </w:p>
        </w:tc>
        <w:tc>
          <w:tcPr>
            <w:tcW w:w="1462" w:type="dxa"/>
            <w:tcBorders>
              <w:top w:val="nil"/>
              <w:left w:val="nil"/>
              <w:bottom w:val="nil"/>
              <w:right w:val="single" w:sz="4" w:space="0" w:color="008000"/>
            </w:tcBorders>
            <w:shd w:val="clear" w:color="auto" w:fill="CCFFCC"/>
            <w:vAlign w:val="center"/>
          </w:tcPr>
          <w:p w:rsidR="001031BB" w:rsidRDefault="001031BB" w:rsidP="001031BB">
            <w:pPr>
              <w:adjustRightInd w:val="0"/>
              <w:snapToGrid w:val="0"/>
              <w:spacing w:line="360" w:lineRule="auto"/>
              <w:jc w:val="center"/>
              <w:rPr>
                <w:sz w:val="24"/>
              </w:rPr>
            </w:pPr>
            <w:r>
              <w:rPr>
                <w:sz w:val="24"/>
              </w:rPr>
              <w:t>–716</w:t>
            </w:r>
            <w:r>
              <w:rPr>
                <w:rFonts w:hint="eastAsia"/>
                <w:sz w:val="24"/>
              </w:rPr>
              <w:t>,</w:t>
            </w:r>
            <w:r>
              <w:rPr>
                <w:sz w:val="24"/>
              </w:rPr>
              <w:t>120</w:t>
            </w:r>
          </w:p>
        </w:tc>
        <w:tc>
          <w:tcPr>
            <w:tcW w:w="1462" w:type="dxa"/>
            <w:tcBorders>
              <w:top w:val="nil"/>
              <w:left w:val="nil"/>
              <w:bottom w:val="nil"/>
              <w:right w:val="single" w:sz="4" w:space="0" w:color="008000"/>
            </w:tcBorders>
            <w:shd w:val="clear" w:color="auto" w:fill="CCFFCC"/>
            <w:vAlign w:val="center"/>
          </w:tcPr>
          <w:p w:rsidR="001031BB" w:rsidRDefault="001031BB" w:rsidP="001031BB">
            <w:pPr>
              <w:adjustRightInd w:val="0"/>
              <w:snapToGrid w:val="0"/>
              <w:spacing w:line="360" w:lineRule="auto"/>
              <w:jc w:val="center"/>
              <w:rPr>
                <w:sz w:val="24"/>
              </w:rPr>
            </w:pPr>
            <w:r>
              <w:rPr>
                <w:sz w:val="24"/>
              </w:rPr>
              <w:t>–431</w:t>
            </w:r>
            <w:r>
              <w:rPr>
                <w:rFonts w:hint="eastAsia"/>
                <w:sz w:val="24"/>
              </w:rPr>
              <w:t>,</w:t>
            </w:r>
            <w:r>
              <w:rPr>
                <w:sz w:val="24"/>
              </w:rPr>
              <w:t>269</w:t>
            </w:r>
          </w:p>
        </w:tc>
        <w:tc>
          <w:tcPr>
            <w:tcW w:w="1462" w:type="dxa"/>
            <w:tcBorders>
              <w:top w:val="nil"/>
              <w:left w:val="nil"/>
              <w:bottom w:val="nil"/>
              <w:right w:val="single" w:sz="4" w:space="0" w:color="008000"/>
            </w:tcBorders>
            <w:shd w:val="clear" w:color="auto" w:fill="CCFFCC"/>
            <w:vAlign w:val="center"/>
          </w:tcPr>
          <w:p w:rsidR="001031BB" w:rsidRDefault="001031BB" w:rsidP="001031BB">
            <w:pPr>
              <w:adjustRightInd w:val="0"/>
              <w:snapToGrid w:val="0"/>
              <w:spacing w:line="360" w:lineRule="auto"/>
              <w:jc w:val="center"/>
              <w:rPr>
                <w:sz w:val="24"/>
              </w:rPr>
            </w:pPr>
            <w:r>
              <w:rPr>
                <w:sz w:val="24"/>
              </w:rPr>
              <w:t>–1</w:t>
            </w:r>
            <w:r>
              <w:rPr>
                <w:rFonts w:hint="eastAsia"/>
                <w:sz w:val="24"/>
              </w:rPr>
              <w:t>1</w:t>
            </w:r>
            <w:r>
              <w:rPr>
                <w:sz w:val="24"/>
              </w:rPr>
              <w:t>2,352</w:t>
            </w:r>
          </w:p>
        </w:tc>
        <w:tc>
          <w:tcPr>
            <w:tcW w:w="1465" w:type="dxa"/>
            <w:shd w:val="clear" w:color="auto" w:fill="CCFFCC"/>
            <w:vAlign w:val="center"/>
          </w:tcPr>
          <w:p w:rsidR="001031BB" w:rsidRDefault="001031BB" w:rsidP="001031BB">
            <w:pPr>
              <w:adjustRightInd w:val="0"/>
              <w:snapToGrid w:val="0"/>
              <w:spacing w:line="360" w:lineRule="auto"/>
              <w:jc w:val="center"/>
              <w:rPr>
                <w:sz w:val="24"/>
              </w:rPr>
            </w:pPr>
            <w:r>
              <w:rPr>
                <w:sz w:val="24"/>
              </w:rPr>
              <w:t>–7</w:t>
            </w:r>
            <w:r>
              <w:rPr>
                <w:rFonts w:hint="eastAsia"/>
                <w:sz w:val="24"/>
              </w:rPr>
              <w:t>5</w:t>
            </w:r>
            <w:r>
              <w:rPr>
                <w:sz w:val="24"/>
              </w:rPr>
              <w:t>,994</w:t>
            </w:r>
          </w:p>
        </w:tc>
      </w:tr>
      <w:tr w:rsidR="001031BB" w:rsidTr="001031BB">
        <w:trPr>
          <w:trHeight w:val="369"/>
          <w:jc w:val="center"/>
        </w:trPr>
        <w:tc>
          <w:tcPr>
            <w:tcW w:w="2632" w:type="dxa"/>
            <w:tcBorders>
              <w:top w:val="nil"/>
              <w:left w:val="nil"/>
              <w:bottom w:val="nil"/>
              <w:right w:val="single" w:sz="4" w:space="0" w:color="008000"/>
            </w:tcBorders>
            <w:shd w:val="clear" w:color="auto" w:fill="CCFFCC"/>
            <w:vAlign w:val="center"/>
          </w:tcPr>
          <w:p w:rsidR="001031BB" w:rsidRDefault="001031BB" w:rsidP="001031BB">
            <w:pPr>
              <w:adjustRightInd w:val="0"/>
              <w:snapToGrid w:val="0"/>
              <w:spacing w:line="360" w:lineRule="auto"/>
              <w:jc w:val="left"/>
              <w:rPr>
                <w:sz w:val="24"/>
              </w:rPr>
            </w:pPr>
            <w:r>
              <w:rPr>
                <w:rFonts w:hint="eastAsia"/>
                <w:sz w:val="24"/>
              </w:rPr>
              <w:t>Chinese-funded small-sized banks</w:t>
            </w:r>
            <w:r>
              <w:rPr>
                <w:rFonts w:hint="eastAsia"/>
                <w:sz w:val="24"/>
              </w:rPr>
              <w:t>③</w:t>
            </w:r>
          </w:p>
        </w:tc>
        <w:tc>
          <w:tcPr>
            <w:tcW w:w="1462" w:type="dxa"/>
            <w:tcBorders>
              <w:top w:val="nil"/>
              <w:left w:val="nil"/>
              <w:bottom w:val="nil"/>
              <w:right w:val="single" w:sz="4" w:space="0" w:color="008000"/>
            </w:tcBorders>
            <w:shd w:val="clear" w:color="auto" w:fill="CCFFCC"/>
            <w:vAlign w:val="center"/>
          </w:tcPr>
          <w:p w:rsidR="001031BB" w:rsidRDefault="001031BB" w:rsidP="001031BB">
            <w:pPr>
              <w:adjustRightInd w:val="0"/>
              <w:snapToGrid w:val="0"/>
              <w:spacing w:line="360" w:lineRule="auto"/>
              <w:jc w:val="center"/>
              <w:rPr>
                <w:sz w:val="24"/>
              </w:rPr>
            </w:pPr>
            <w:r>
              <w:rPr>
                <w:sz w:val="24"/>
              </w:rPr>
              <w:t>381</w:t>
            </w:r>
            <w:r>
              <w:rPr>
                <w:rFonts w:hint="eastAsia"/>
                <w:sz w:val="24"/>
              </w:rPr>
              <w:t>,610</w:t>
            </w:r>
          </w:p>
        </w:tc>
        <w:tc>
          <w:tcPr>
            <w:tcW w:w="1462" w:type="dxa"/>
            <w:tcBorders>
              <w:top w:val="nil"/>
              <w:left w:val="nil"/>
              <w:bottom w:val="nil"/>
              <w:right w:val="single" w:sz="4" w:space="0" w:color="008000"/>
            </w:tcBorders>
            <w:shd w:val="clear" w:color="auto" w:fill="CCFFCC"/>
            <w:vAlign w:val="center"/>
          </w:tcPr>
          <w:p w:rsidR="001031BB" w:rsidRDefault="001031BB" w:rsidP="001031BB">
            <w:pPr>
              <w:adjustRightInd w:val="0"/>
              <w:snapToGrid w:val="0"/>
              <w:spacing w:line="360" w:lineRule="auto"/>
              <w:jc w:val="center"/>
              <w:rPr>
                <w:sz w:val="24"/>
              </w:rPr>
            </w:pPr>
            <w:r>
              <w:rPr>
                <w:rFonts w:hint="eastAsia"/>
                <w:sz w:val="24"/>
              </w:rPr>
              <w:t>561,</w:t>
            </w:r>
            <w:r>
              <w:rPr>
                <w:sz w:val="24"/>
              </w:rPr>
              <w:t>735</w:t>
            </w:r>
          </w:p>
        </w:tc>
        <w:tc>
          <w:tcPr>
            <w:tcW w:w="1462" w:type="dxa"/>
            <w:tcBorders>
              <w:top w:val="nil"/>
              <w:left w:val="nil"/>
              <w:bottom w:val="nil"/>
              <w:right w:val="single" w:sz="4" w:space="0" w:color="008000"/>
            </w:tcBorders>
            <w:shd w:val="clear" w:color="auto" w:fill="CCFFCC"/>
            <w:vAlign w:val="center"/>
          </w:tcPr>
          <w:p w:rsidR="001031BB" w:rsidRDefault="001031BB" w:rsidP="001031BB">
            <w:pPr>
              <w:adjustRightInd w:val="0"/>
              <w:snapToGrid w:val="0"/>
              <w:spacing w:line="360" w:lineRule="auto"/>
              <w:jc w:val="center"/>
              <w:rPr>
                <w:sz w:val="24"/>
              </w:rPr>
            </w:pPr>
            <w:r>
              <w:rPr>
                <w:sz w:val="24"/>
              </w:rPr>
              <w:t>140</w:t>
            </w:r>
            <w:r>
              <w:rPr>
                <w:rFonts w:hint="eastAsia"/>
                <w:sz w:val="24"/>
              </w:rPr>
              <w:t>,</w:t>
            </w:r>
            <w:r>
              <w:rPr>
                <w:sz w:val="24"/>
              </w:rPr>
              <w:t>885</w:t>
            </w:r>
          </w:p>
        </w:tc>
        <w:tc>
          <w:tcPr>
            <w:tcW w:w="1465" w:type="dxa"/>
            <w:shd w:val="clear" w:color="auto" w:fill="CCFFCC"/>
            <w:vAlign w:val="center"/>
          </w:tcPr>
          <w:p w:rsidR="001031BB" w:rsidRDefault="001031BB" w:rsidP="001031BB">
            <w:pPr>
              <w:adjustRightInd w:val="0"/>
              <w:snapToGrid w:val="0"/>
              <w:spacing w:line="360" w:lineRule="auto"/>
              <w:jc w:val="center"/>
              <w:rPr>
                <w:sz w:val="24"/>
              </w:rPr>
            </w:pPr>
            <w:r>
              <w:rPr>
                <w:sz w:val="24"/>
              </w:rPr>
              <w:t>94</w:t>
            </w:r>
            <w:r>
              <w:rPr>
                <w:rFonts w:hint="eastAsia"/>
                <w:sz w:val="24"/>
              </w:rPr>
              <w:t>,3</w:t>
            </w:r>
            <w:r>
              <w:rPr>
                <w:sz w:val="24"/>
              </w:rPr>
              <w:t>4</w:t>
            </w:r>
            <w:r>
              <w:rPr>
                <w:rFonts w:hint="eastAsia"/>
                <w:sz w:val="24"/>
              </w:rPr>
              <w:t>6</w:t>
            </w:r>
          </w:p>
        </w:tc>
      </w:tr>
      <w:tr w:rsidR="001031BB" w:rsidTr="001031BB">
        <w:trPr>
          <w:trHeight w:val="369"/>
          <w:jc w:val="center"/>
        </w:trPr>
        <w:tc>
          <w:tcPr>
            <w:tcW w:w="2632" w:type="dxa"/>
            <w:tcBorders>
              <w:top w:val="nil"/>
              <w:left w:val="nil"/>
              <w:bottom w:val="nil"/>
              <w:right w:val="single" w:sz="4" w:space="0" w:color="008000"/>
            </w:tcBorders>
            <w:shd w:val="clear" w:color="auto" w:fill="FFFFFF"/>
            <w:vAlign w:val="center"/>
          </w:tcPr>
          <w:p w:rsidR="001031BB" w:rsidRDefault="001031BB" w:rsidP="001031BB">
            <w:pPr>
              <w:adjustRightInd w:val="0"/>
              <w:snapToGrid w:val="0"/>
              <w:spacing w:line="360" w:lineRule="auto"/>
              <w:rPr>
                <w:sz w:val="24"/>
              </w:rPr>
            </w:pPr>
            <w:r>
              <w:rPr>
                <w:sz w:val="24"/>
              </w:rPr>
              <w:t>Securities institutions</w:t>
            </w:r>
            <w:r w:rsidR="002447A7">
              <w:rPr>
                <w:sz w:val="24"/>
              </w:rPr>
              <w:fldChar w:fldCharType="begin"/>
            </w:r>
            <w:r>
              <w:rPr>
                <w:sz w:val="24"/>
              </w:rPr>
              <w:instrText xml:space="preserve"> = 4 \* GB3 </w:instrText>
            </w:r>
            <w:r w:rsidR="002447A7">
              <w:rPr>
                <w:sz w:val="24"/>
              </w:rPr>
              <w:fldChar w:fldCharType="separate"/>
            </w:r>
            <w:r>
              <w:rPr>
                <w:rFonts w:hint="eastAsia"/>
                <w:sz w:val="24"/>
              </w:rPr>
              <w:t>④</w:t>
            </w:r>
            <w:r w:rsidR="002447A7">
              <w:rPr>
                <w:sz w:val="24"/>
              </w:rPr>
              <w:fldChar w:fldCharType="end"/>
            </w:r>
          </w:p>
        </w:tc>
        <w:tc>
          <w:tcPr>
            <w:tcW w:w="1462" w:type="dxa"/>
            <w:tcBorders>
              <w:top w:val="nil"/>
              <w:left w:val="nil"/>
              <w:bottom w:val="nil"/>
              <w:right w:val="single" w:sz="4" w:space="0" w:color="008000"/>
            </w:tcBorders>
            <w:shd w:val="clear" w:color="auto" w:fill="FFFFFF"/>
            <w:vAlign w:val="center"/>
          </w:tcPr>
          <w:p w:rsidR="001031BB" w:rsidRDefault="001031BB" w:rsidP="001031BB">
            <w:pPr>
              <w:adjustRightInd w:val="0"/>
              <w:snapToGrid w:val="0"/>
              <w:spacing w:line="360" w:lineRule="auto"/>
              <w:jc w:val="center"/>
              <w:rPr>
                <w:sz w:val="24"/>
              </w:rPr>
            </w:pPr>
            <w:r>
              <w:rPr>
                <w:sz w:val="24"/>
              </w:rPr>
              <w:t>498</w:t>
            </w:r>
            <w:r>
              <w:rPr>
                <w:rFonts w:hint="eastAsia"/>
                <w:sz w:val="24"/>
              </w:rPr>
              <w:t>,</w:t>
            </w:r>
            <w:r>
              <w:rPr>
                <w:sz w:val="24"/>
              </w:rPr>
              <w:t>260</w:t>
            </w:r>
          </w:p>
        </w:tc>
        <w:tc>
          <w:tcPr>
            <w:tcW w:w="1462" w:type="dxa"/>
            <w:tcBorders>
              <w:top w:val="nil"/>
              <w:left w:val="nil"/>
              <w:bottom w:val="nil"/>
              <w:right w:val="single" w:sz="4" w:space="0" w:color="008000"/>
            </w:tcBorders>
            <w:shd w:val="clear" w:color="auto" w:fill="FFFFFF"/>
            <w:vAlign w:val="center"/>
          </w:tcPr>
          <w:p w:rsidR="001031BB" w:rsidRDefault="001031BB" w:rsidP="001031BB">
            <w:pPr>
              <w:adjustRightInd w:val="0"/>
              <w:snapToGrid w:val="0"/>
              <w:spacing w:line="360" w:lineRule="auto"/>
              <w:jc w:val="center"/>
              <w:rPr>
                <w:sz w:val="24"/>
              </w:rPr>
            </w:pPr>
            <w:r>
              <w:rPr>
                <w:sz w:val="24"/>
              </w:rPr>
              <w:t>332</w:t>
            </w:r>
            <w:r>
              <w:rPr>
                <w:rFonts w:hint="eastAsia"/>
                <w:sz w:val="24"/>
              </w:rPr>
              <w:t>,5</w:t>
            </w:r>
            <w:r>
              <w:rPr>
                <w:sz w:val="24"/>
              </w:rPr>
              <w:t>46</w:t>
            </w:r>
          </w:p>
        </w:tc>
        <w:tc>
          <w:tcPr>
            <w:tcW w:w="1462" w:type="dxa"/>
            <w:tcBorders>
              <w:top w:val="nil"/>
              <w:left w:val="nil"/>
              <w:bottom w:val="nil"/>
              <w:right w:val="single" w:sz="4" w:space="0" w:color="008000"/>
            </w:tcBorders>
            <w:shd w:val="clear" w:color="auto" w:fill="FFFFFF"/>
            <w:vAlign w:val="center"/>
          </w:tcPr>
          <w:p w:rsidR="001031BB" w:rsidRDefault="001031BB" w:rsidP="001031BB">
            <w:pPr>
              <w:adjustRightInd w:val="0"/>
              <w:snapToGrid w:val="0"/>
              <w:spacing w:line="360" w:lineRule="auto"/>
              <w:jc w:val="center"/>
              <w:rPr>
                <w:sz w:val="24"/>
              </w:rPr>
            </w:pPr>
            <w:r>
              <w:rPr>
                <w:rFonts w:hint="eastAsia"/>
                <w:sz w:val="24"/>
              </w:rPr>
              <w:t>143,</w:t>
            </w:r>
            <w:r>
              <w:rPr>
                <w:sz w:val="24"/>
              </w:rPr>
              <w:t>8</w:t>
            </w:r>
            <w:r>
              <w:rPr>
                <w:rFonts w:hint="eastAsia"/>
                <w:sz w:val="24"/>
              </w:rPr>
              <w:t>1</w:t>
            </w:r>
            <w:r>
              <w:rPr>
                <w:sz w:val="24"/>
              </w:rPr>
              <w:t>9</w:t>
            </w:r>
          </w:p>
        </w:tc>
        <w:tc>
          <w:tcPr>
            <w:tcW w:w="1465" w:type="dxa"/>
            <w:shd w:val="clear" w:color="auto" w:fill="FFFFFF"/>
            <w:vAlign w:val="center"/>
          </w:tcPr>
          <w:p w:rsidR="001031BB" w:rsidRDefault="001031BB" w:rsidP="001031BB">
            <w:pPr>
              <w:adjustRightInd w:val="0"/>
              <w:snapToGrid w:val="0"/>
              <w:spacing w:line="360" w:lineRule="auto"/>
              <w:jc w:val="center"/>
              <w:rPr>
                <w:sz w:val="24"/>
              </w:rPr>
            </w:pPr>
            <w:r>
              <w:rPr>
                <w:sz w:val="24"/>
              </w:rPr>
              <w:t>8</w:t>
            </w:r>
            <w:r>
              <w:rPr>
                <w:rFonts w:hint="eastAsia"/>
                <w:sz w:val="24"/>
              </w:rPr>
              <w:t>4,369</w:t>
            </w:r>
          </w:p>
        </w:tc>
      </w:tr>
      <w:tr w:rsidR="001031BB" w:rsidTr="001031BB">
        <w:trPr>
          <w:trHeight w:val="369"/>
          <w:jc w:val="center"/>
        </w:trPr>
        <w:tc>
          <w:tcPr>
            <w:tcW w:w="2632" w:type="dxa"/>
            <w:tcBorders>
              <w:top w:val="nil"/>
              <w:left w:val="nil"/>
              <w:bottom w:val="nil"/>
              <w:right w:val="single" w:sz="4" w:space="0" w:color="008000"/>
            </w:tcBorders>
            <w:shd w:val="clear" w:color="auto" w:fill="CCFFCC"/>
            <w:vAlign w:val="center"/>
          </w:tcPr>
          <w:p w:rsidR="001031BB" w:rsidRDefault="001031BB" w:rsidP="001031BB">
            <w:pPr>
              <w:adjustRightInd w:val="0"/>
              <w:snapToGrid w:val="0"/>
              <w:spacing w:line="360" w:lineRule="auto"/>
              <w:rPr>
                <w:sz w:val="24"/>
              </w:rPr>
            </w:pPr>
            <w:r>
              <w:rPr>
                <w:sz w:val="24"/>
              </w:rPr>
              <w:t>Insurance institutions</w:t>
            </w:r>
            <w:r w:rsidR="002447A7">
              <w:rPr>
                <w:sz w:val="24"/>
              </w:rPr>
              <w:fldChar w:fldCharType="begin"/>
            </w:r>
            <w:r>
              <w:rPr>
                <w:sz w:val="24"/>
              </w:rPr>
              <w:instrText xml:space="preserve"> = 5 \* GB3 </w:instrText>
            </w:r>
            <w:r w:rsidR="002447A7">
              <w:rPr>
                <w:sz w:val="24"/>
              </w:rPr>
              <w:fldChar w:fldCharType="separate"/>
            </w:r>
            <w:r>
              <w:rPr>
                <w:rFonts w:hint="eastAsia"/>
                <w:sz w:val="24"/>
              </w:rPr>
              <w:t>⑤</w:t>
            </w:r>
            <w:r w:rsidR="002447A7">
              <w:rPr>
                <w:sz w:val="24"/>
              </w:rPr>
              <w:fldChar w:fldCharType="end"/>
            </w:r>
          </w:p>
        </w:tc>
        <w:tc>
          <w:tcPr>
            <w:tcW w:w="1462" w:type="dxa"/>
            <w:tcBorders>
              <w:top w:val="nil"/>
              <w:left w:val="nil"/>
              <w:bottom w:val="nil"/>
              <w:right w:val="single" w:sz="4" w:space="0" w:color="008000"/>
            </w:tcBorders>
            <w:shd w:val="clear" w:color="auto" w:fill="CCFFCC"/>
            <w:vAlign w:val="center"/>
          </w:tcPr>
          <w:p w:rsidR="001031BB" w:rsidRDefault="001031BB" w:rsidP="001031BB">
            <w:pPr>
              <w:adjustRightInd w:val="0"/>
              <w:snapToGrid w:val="0"/>
              <w:spacing w:line="360" w:lineRule="auto"/>
              <w:jc w:val="center"/>
              <w:rPr>
                <w:sz w:val="24"/>
              </w:rPr>
            </w:pPr>
            <w:r>
              <w:rPr>
                <w:rFonts w:hint="eastAsia"/>
                <w:sz w:val="24"/>
              </w:rPr>
              <w:t>48,</w:t>
            </w:r>
            <w:r>
              <w:rPr>
                <w:sz w:val="24"/>
              </w:rPr>
              <w:t>3</w:t>
            </w:r>
            <w:r>
              <w:rPr>
                <w:rFonts w:hint="eastAsia"/>
                <w:sz w:val="24"/>
              </w:rPr>
              <w:t>17</w:t>
            </w:r>
          </w:p>
        </w:tc>
        <w:tc>
          <w:tcPr>
            <w:tcW w:w="1462" w:type="dxa"/>
            <w:tcBorders>
              <w:top w:val="nil"/>
              <w:left w:val="nil"/>
              <w:bottom w:val="nil"/>
              <w:right w:val="single" w:sz="4" w:space="0" w:color="008000"/>
            </w:tcBorders>
            <w:shd w:val="clear" w:color="auto" w:fill="CCFFCC"/>
            <w:vAlign w:val="center"/>
          </w:tcPr>
          <w:p w:rsidR="001031BB" w:rsidRDefault="001031BB" w:rsidP="001031BB">
            <w:pPr>
              <w:tabs>
                <w:tab w:val="center" w:pos="4320"/>
                <w:tab w:val="right" w:pos="8640"/>
              </w:tabs>
              <w:adjustRightInd w:val="0"/>
              <w:snapToGrid w:val="0"/>
              <w:spacing w:line="360" w:lineRule="auto"/>
              <w:jc w:val="center"/>
              <w:rPr>
                <w:sz w:val="24"/>
              </w:rPr>
            </w:pPr>
            <w:r>
              <w:rPr>
                <w:sz w:val="24"/>
              </w:rPr>
              <w:t>-</w:t>
            </w:r>
            <w:r>
              <w:rPr>
                <w:rFonts w:hint="eastAsia"/>
                <w:sz w:val="24"/>
              </w:rPr>
              <w:t>17</w:t>
            </w:r>
            <w:r>
              <w:rPr>
                <w:sz w:val="24"/>
              </w:rPr>
              <w:t>,4</w:t>
            </w:r>
            <w:r>
              <w:rPr>
                <w:rFonts w:hint="eastAsia"/>
                <w:sz w:val="24"/>
              </w:rPr>
              <w:t>8</w:t>
            </w:r>
            <w:r>
              <w:rPr>
                <w:sz w:val="24"/>
              </w:rPr>
              <w:t>6</w:t>
            </w:r>
          </w:p>
        </w:tc>
        <w:tc>
          <w:tcPr>
            <w:tcW w:w="1462" w:type="dxa"/>
            <w:tcBorders>
              <w:top w:val="nil"/>
              <w:left w:val="nil"/>
              <w:bottom w:val="nil"/>
              <w:right w:val="single" w:sz="4" w:space="0" w:color="008000"/>
            </w:tcBorders>
            <w:shd w:val="clear" w:color="auto" w:fill="CCFFCC"/>
            <w:vAlign w:val="center"/>
          </w:tcPr>
          <w:p w:rsidR="001031BB" w:rsidRDefault="001031BB" w:rsidP="001031BB">
            <w:pPr>
              <w:tabs>
                <w:tab w:val="center" w:pos="4320"/>
                <w:tab w:val="right" w:pos="8640"/>
              </w:tabs>
              <w:adjustRightInd w:val="0"/>
              <w:snapToGrid w:val="0"/>
              <w:spacing w:line="360" w:lineRule="auto"/>
              <w:jc w:val="center"/>
              <w:rPr>
                <w:sz w:val="24"/>
              </w:rPr>
            </w:pPr>
            <w:r>
              <w:rPr>
                <w:sz w:val="24"/>
              </w:rPr>
              <w:t>6</w:t>
            </w:r>
            <w:r>
              <w:rPr>
                <w:rFonts w:hint="eastAsia"/>
                <w:sz w:val="24"/>
              </w:rPr>
              <w:t>34</w:t>
            </w:r>
          </w:p>
        </w:tc>
        <w:tc>
          <w:tcPr>
            <w:tcW w:w="1465" w:type="dxa"/>
            <w:shd w:val="clear" w:color="auto" w:fill="CCFFCC"/>
            <w:vAlign w:val="center"/>
          </w:tcPr>
          <w:p w:rsidR="001031BB" w:rsidRDefault="001031BB" w:rsidP="001031BB">
            <w:pPr>
              <w:tabs>
                <w:tab w:val="center" w:pos="4320"/>
                <w:tab w:val="right" w:pos="8640"/>
              </w:tabs>
              <w:adjustRightInd w:val="0"/>
              <w:snapToGrid w:val="0"/>
              <w:spacing w:line="360" w:lineRule="auto"/>
              <w:jc w:val="center"/>
              <w:rPr>
                <w:sz w:val="24"/>
              </w:rPr>
            </w:pPr>
            <w:r>
              <w:rPr>
                <w:rFonts w:hint="eastAsia"/>
                <w:sz w:val="24"/>
              </w:rPr>
              <w:t>32</w:t>
            </w:r>
          </w:p>
        </w:tc>
      </w:tr>
      <w:tr w:rsidR="001031BB" w:rsidTr="001031BB">
        <w:trPr>
          <w:trHeight w:val="369"/>
          <w:jc w:val="center"/>
        </w:trPr>
        <w:tc>
          <w:tcPr>
            <w:tcW w:w="2632" w:type="dxa"/>
            <w:tcBorders>
              <w:top w:val="nil"/>
              <w:left w:val="nil"/>
              <w:bottom w:val="nil"/>
              <w:right w:val="single" w:sz="4" w:space="0" w:color="008000"/>
            </w:tcBorders>
            <w:shd w:val="clear" w:color="auto" w:fill="FFFFFF"/>
            <w:vAlign w:val="center"/>
          </w:tcPr>
          <w:p w:rsidR="001031BB" w:rsidRDefault="001031BB" w:rsidP="001031BB">
            <w:pPr>
              <w:tabs>
                <w:tab w:val="center" w:pos="4320"/>
                <w:tab w:val="right" w:pos="8640"/>
              </w:tabs>
              <w:adjustRightInd w:val="0"/>
              <w:snapToGrid w:val="0"/>
              <w:spacing w:line="360" w:lineRule="auto"/>
              <w:rPr>
                <w:sz w:val="24"/>
              </w:rPr>
            </w:pPr>
            <w:r>
              <w:rPr>
                <w:sz w:val="24"/>
              </w:rPr>
              <w:t>Foreign-funded banks</w:t>
            </w:r>
          </w:p>
        </w:tc>
        <w:tc>
          <w:tcPr>
            <w:tcW w:w="1462" w:type="dxa"/>
            <w:tcBorders>
              <w:top w:val="nil"/>
              <w:left w:val="nil"/>
              <w:bottom w:val="nil"/>
              <w:right w:val="single" w:sz="4" w:space="0" w:color="008000"/>
            </w:tcBorders>
            <w:shd w:val="clear" w:color="auto" w:fill="FFFFFF"/>
            <w:vAlign w:val="center"/>
          </w:tcPr>
          <w:p w:rsidR="001031BB" w:rsidRDefault="001031BB" w:rsidP="001031BB">
            <w:pPr>
              <w:tabs>
                <w:tab w:val="center" w:pos="4320"/>
                <w:tab w:val="right" w:pos="8640"/>
              </w:tabs>
              <w:adjustRightInd w:val="0"/>
              <w:snapToGrid w:val="0"/>
              <w:spacing w:line="360" w:lineRule="auto"/>
              <w:jc w:val="center"/>
              <w:rPr>
                <w:sz w:val="24"/>
              </w:rPr>
            </w:pPr>
            <w:r>
              <w:rPr>
                <w:rFonts w:hint="eastAsia"/>
                <w:sz w:val="24"/>
              </w:rPr>
              <w:t>5</w:t>
            </w:r>
            <w:r>
              <w:rPr>
                <w:sz w:val="24"/>
              </w:rPr>
              <w:t>4</w:t>
            </w:r>
            <w:r>
              <w:rPr>
                <w:rFonts w:hint="eastAsia"/>
                <w:sz w:val="24"/>
              </w:rPr>
              <w:t>,274</w:t>
            </w:r>
          </w:p>
        </w:tc>
        <w:tc>
          <w:tcPr>
            <w:tcW w:w="1462" w:type="dxa"/>
            <w:tcBorders>
              <w:top w:val="nil"/>
              <w:left w:val="nil"/>
              <w:bottom w:val="nil"/>
              <w:right w:val="single" w:sz="4" w:space="0" w:color="008000"/>
            </w:tcBorders>
            <w:shd w:val="clear" w:color="auto" w:fill="FFFFFF"/>
            <w:vAlign w:val="center"/>
          </w:tcPr>
          <w:p w:rsidR="001031BB" w:rsidRDefault="001031BB" w:rsidP="001031BB">
            <w:pPr>
              <w:tabs>
                <w:tab w:val="center" w:pos="4320"/>
                <w:tab w:val="right" w:pos="8640"/>
              </w:tabs>
              <w:adjustRightInd w:val="0"/>
              <w:snapToGrid w:val="0"/>
              <w:spacing w:line="360" w:lineRule="auto"/>
              <w:jc w:val="center"/>
              <w:rPr>
                <w:sz w:val="24"/>
              </w:rPr>
            </w:pPr>
            <w:r>
              <w:rPr>
                <w:sz w:val="24"/>
              </w:rPr>
              <w:t>40,63</w:t>
            </w:r>
            <w:r>
              <w:rPr>
                <w:rFonts w:hint="eastAsia"/>
                <w:sz w:val="24"/>
              </w:rPr>
              <w:t>3</w:t>
            </w:r>
          </w:p>
        </w:tc>
        <w:tc>
          <w:tcPr>
            <w:tcW w:w="1462" w:type="dxa"/>
            <w:tcBorders>
              <w:top w:val="nil"/>
              <w:left w:val="nil"/>
              <w:bottom w:val="nil"/>
              <w:right w:val="single" w:sz="4" w:space="0" w:color="008000"/>
            </w:tcBorders>
            <w:shd w:val="clear" w:color="auto" w:fill="FFFFFF"/>
            <w:vAlign w:val="center"/>
          </w:tcPr>
          <w:p w:rsidR="001031BB" w:rsidRDefault="001031BB" w:rsidP="001031BB">
            <w:pPr>
              <w:tabs>
                <w:tab w:val="center" w:pos="4320"/>
                <w:tab w:val="right" w:pos="8640"/>
              </w:tabs>
              <w:adjustRightInd w:val="0"/>
              <w:snapToGrid w:val="0"/>
              <w:spacing w:line="360" w:lineRule="auto"/>
              <w:jc w:val="center"/>
              <w:rPr>
                <w:sz w:val="24"/>
              </w:rPr>
            </w:pPr>
            <w:r>
              <w:rPr>
                <w:sz w:val="24"/>
              </w:rPr>
              <w:t>–</w:t>
            </w:r>
            <w:r>
              <w:rPr>
                <w:rFonts w:hint="eastAsia"/>
                <w:sz w:val="24"/>
              </w:rPr>
              <w:t>5</w:t>
            </w:r>
            <w:r>
              <w:rPr>
                <w:sz w:val="24"/>
              </w:rPr>
              <w:t>,865</w:t>
            </w:r>
          </w:p>
        </w:tc>
        <w:tc>
          <w:tcPr>
            <w:tcW w:w="1465" w:type="dxa"/>
            <w:shd w:val="clear" w:color="auto" w:fill="FFFFFF"/>
            <w:vAlign w:val="center"/>
          </w:tcPr>
          <w:p w:rsidR="001031BB" w:rsidRDefault="001031BB" w:rsidP="001031BB">
            <w:pPr>
              <w:tabs>
                <w:tab w:val="center" w:pos="4320"/>
                <w:tab w:val="right" w:pos="8640"/>
              </w:tabs>
              <w:adjustRightInd w:val="0"/>
              <w:snapToGrid w:val="0"/>
              <w:spacing w:line="360" w:lineRule="auto"/>
              <w:jc w:val="center"/>
              <w:rPr>
                <w:sz w:val="24"/>
              </w:rPr>
            </w:pPr>
            <w:r>
              <w:rPr>
                <w:rFonts w:hint="eastAsia"/>
                <w:sz w:val="24"/>
              </w:rPr>
              <w:t>3,</w:t>
            </w:r>
            <w:r>
              <w:rPr>
                <w:sz w:val="24"/>
              </w:rPr>
              <w:t>666</w:t>
            </w:r>
          </w:p>
        </w:tc>
      </w:tr>
      <w:tr w:rsidR="001031BB" w:rsidTr="001031BB">
        <w:trPr>
          <w:trHeight w:val="369"/>
          <w:jc w:val="center"/>
        </w:trPr>
        <w:tc>
          <w:tcPr>
            <w:tcW w:w="2632" w:type="dxa"/>
            <w:tcBorders>
              <w:top w:val="nil"/>
              <w:left w:val="nil"/>
              <w:bottom w:val="single" w:sz="12" w:space="0" w:color="008000"/>
              <w:right w:val="single" w:sz="4" w:space="0" w:color="008000"/>
            </w:tcBorders>
            <w:shd w:val="clear" w:color="auto" w:fill="CCFFCC"/>
            <w:vAlign w:val="center"/>
          </w:tcPr>
          <w:p w:rsidR="001031BB" w:rsidRDefault="001031BB" w:rsidP="001031BB">
            <w:pPr>
              <w:tabs>
                <w:tab w:val="center" w:pos="4320"/>
                <w:tab w:val="right" w:pos="8640"/>
              </w:tabs>
              <w:adjustRightInd w:val="0"/>
              <w:snapToGrid w:val="0"/>
              <w:spacing w:line="360" w:lineRule="auto"/>
              <w:rPr>
                <w:sz w:val="24"/>
              </w:rPr>
            </w:pPr>
            <w:r>
              <w:rPr>
                <w:sz w:val="24"/>
              </w:rPr>
              <w:t>Other financial institutions and vehicles</w:t>
            </w:r>
            <w:r>
              <w:rPr>
                <w:rFonts w:hint="eastAsia"/>
                <w:sz w:val="24"/>
              </w:rPr>
              <w:t>⑥</w:t>
            </w:r>
          </w:p>
        </w:tc>
        <w:tc>
          <w:tcPr>
            <w:tcW w:w="1462" w:type="dxa"/>
            <w:tcBorders>
              <w:top w:val="nil"/>
              <w:left w:val="nil"/>
              <w:bottom w:val="single" w:sz="12" w:space="0" w:color="339966"/>
              <w:right w:val="single" w:sz="4" w:space="0" w:color="008000"/>
            </w:tcBorders>
            <w:shd w:val="clear" w:color="auto" w:fill="CCFFCC"/>
            <w:vAlign w:val="center"/>
          </w:tcPr>
          <w:p w:rsidR="001031BB" w:rsidRDefault="001031BB" w:rsidP="001031BB">
            <w:pPr>
              <w:adjustRightInd w:val="0"/>
              <w:snapToGrid w:val="0"/>
              <w:spacing w:line="360" w:lineRule="auto"/>
              <w:jc w:val="center"/>
              <w:rPr>
                <w:sz w:val="24"/>
              </w:rPr>
            </w:pPr>
            <w:r>
              <w:rPr>
                <w:sz w:val="24"/>
              </w:rPr>
              <w:t>9</w:t>
            </w:r>
            <w:r>
              <w:rPr>
                <w:rFonts w:hint="eastAsia"/>
                <w:sz w:val="24"/>
              </w:rPr>
              <w:t>5</w:t>
            </w:r>
            <w:r>
              <w:rPr>
                <w:sz w:val="24"/>
              </w:rPr>
              <w:t>0</w:t>
            </w:r>
            <w:r>
              <w:rPr>
                <w:rFonts w:hint="eastAsia"/>
                <w:sz w:val="24"/>
              </w:rPr>
              <w:t>,</w:t>
            </w:r>
            <w:r>
              <w:rPr>
                <w:sz w:val="24"/>
              </w:rPr>
              <w:t>484</w:t>
            </w:r>
          </w:p>
        </w:tc>
        <w:tc>
          <w:tcPr>
            <w:tcW w:w="1462" w:type="dxa"/>
            <w:tcBorders>
              <w:top w:val="nil"/>
              <w:left w:val="nil"/>
              <w:bottom w:val="single" w:sz="12" w:space="0" w:color="339966"/>
              <w:right w:val="single" w:sz="4" w:space="0" w:color="008000"/>
            </w:tcBorders>
            <w:shd w:val="clear" w:color="auto" w:fill="CCFFCC"/>
            <w:vAlign w:val="center"/>
          </w:tcPr>
          <w:p w:rsidR="001031BB" w:rsidRDefault="001031BB" w:rsidP="001031BB">
            <w:pPr>
              <w:adjustRightInd w:val="0"/>
              <w:snapToGrid w:val="0"/>
              <w:spacing w:line="360" w:lineRule="auto"/>
              <w:jc w:val="center"/>
              <w:rPr>
                <w:sz w:val="24"/>
              </w:rPr>
            </w:pPr>
            <w:r>
              <w:rPr>
                <w:rFonts w:hint="eastAsia"/>
                <w:sz w:val="24"/>
              </w:rPr>
              <w:t>6</w:t>
            </w:r>
            <w:r>
              <w:rPr>
                <w:sz w:val="24"/>
              </w:rPr>
              <w:t>1</w:t>
            </w:r>
            <w:r>
              <w:rPr>
                <w:rFonts w:hint="eastAsia"/>
                <w:sz w:val="24"/>
              </w:rPr>
              <w:t>8,</w:t>
            </w:r>
            <w:r>
              <w:rPr>
                <w:sz w:val="24"/>
              </w:rPr>
              <w:t>220</w:t>
            </w:r>
          </w:p>
        </w:tc>
        <w:tc>
          <w:tcPr>
            <w:tcW w:w="1462" w:type="dxa"/>
            <w:tcBorders>
              <w:top w:val="nil"/>
              <w:left w:val="nil"/>
              <w:bottom w:val="single" w:sz="12" w:space="0" w:color="339966"/>
              <w:right w:val="single" w:sz="4" w:space="0" w:color="008000"/>
            </w:tcBorders>
            <w:shd w:val="clear" w:color="auto" w:fill="CCFFCC"/>
            <w:vAlign w:val="center"/>
          </w:tcPr>
          <w:p w:rsidR="001031BB" w:rsidRDefault="001031BB" w:rsidP="001031BB">
            <w:pPr>
              <w:adjustRightInd w:val="0"/>
              <w:snapToGrid w:val="0"/>
              <w:spacing w:line="360" w:lineRule="auto"/>
              <w:jc w:val="center"/>
              <w:rPr>
                <w:sz w:val="24"/>
              </w:rPr>
            </w:pPr>
            <w:r>
              <w:rPr>
                <w:sz w:val="24"/>
              </w:rPr>
              <w:t>47</w:t>
            </w:r>
            <w:r>
              <w:rPr>
                <w:rFonts w:hint="eastAsia"/>
                <w:sz w:val="24"/>
              </w:rPr>
              <w:t>,</w:t>
            </w:r>
            <w:r>
              <w:rPr>
                <w:sz w:val="24"/>
              </w:rPr>
              <w:t>03</w:t>
            </w:r>
            <w:r>
              <w:rPr>
                <w:rFonts w:hint="eastAsia"/>
                <w:sz w:val="24"/>
              </w:rPr>
              <w:t>5</w:t>
            </w:r>
          </w:p>
        </w:tc>
        <w:tc>
          <w:tcPr>
            <w:tcW w:w="1465" w:type="dxa"/>
            <w:tcBorders>
              <w:top w:val="nil"/>
              <w:left w:val="nil"/>
              <w:bottom w:val="single" w:sz="12" w:space="0" w:color="339966"/>
              <w:right w:val="nil"/>
            </w:tcBorders>
            <w:shd w:val="clear" w:color="auto" w:fill="CCFFCC"/>
            <w:vAlign w:val="center"/>
          </w:tcPr>
          <w:p w:rsidR="001031BB" w:rsidRDefault="001031BB" w:rsidP="001031BB">
            <w:pPr>
              <w:keepNext/>
              <w:adjustRightInd w:val="0"/>
              <w:snapToGrid w:val="0"/>
              <w:spacing w:line="360" w:lineRule="auto"/>
              <w:jc w:val="center"/>
              <w:rPr>
                <w:sz w:val="24"/>
              </w:rPr>
            </w:pPr>
            <w:r>
              <w:rPr>
                <w:sz w:val="24"/>
              </w:rPr>
              <w:t>20,134</w:t>
            </w:r>
          </w:p>
        </w:tc>
      </w:tr>
    </w:tbl>
    <w:p w:rsidR="001031BB" w:rsidRDefault="001031BB" w:rsidP="001031BB">
      <w:pPr>
        <w:autoSpaceDE w:val="0"/>
        <w:autoSpaceDN w:val="0"/>
        <w:adjustRightInd w:val="0"/>
        <w:snapToGrid w:val="0"/>
        <w:spacing w:line="360" w:lineRule="auto"/>
        <w:rPr>
          <w:sz w:val="24"/>
        </w:rPr>
      </w:pPr>
    </w:p>
    <w:p w:rsidR="001031BB" w:rsidRDefault="001031BB" w:rsidP="001031BB">
      <w:pPr>
        <w:autoSpaceDE w:val="0"/>
        <w:autoSpaceDN w:val="0"/>
        <w:adjustRightInd w:val="0"/>
        <w:snapToGrid w:val="0"/>
        <w:spacing w:line="360" w:lineRule="auto"/>
        <w:rPr>
          <w:sz w:val="24"/>
        </w:rPr>
      </w:pPr>
      <w:r>
        <w:rPr>
          <w:sz w:val="24"/>
        </w:rPr>
        <w:t>Notes</w:t>
      </w:r>
      <w:r>
        <w:rPr>
          <w:rFonts w:hint="eastAsia"/>
          <w:sz w:val="24"/>
        </w:rPr>
        <w:t>：</w:t>
      </w:r>
      <w:r w:rsidR="002447A7">
        <w:rPr>
          <w:sz w:val="24"/>
        </w:rPr>
        <w:fldChar w:fldCharType="begin"/>
      </w:r>
      <w:r>
        <w:rPr>
          <w:sz w:val="24"/>
        </w:rPr>
        <w:instrText xml:space="preserve"> = 1 \* GB3 </w:instrText>
      </w:r>
      <w:r w:rsidR="002447A7">
        <w:rPr>
          <w:sz w:val="24"/>
        </w:rPr>
        <w:fldChar w:fldCharType="separate"/>
      </w:r>
      <w:r>
        <w:rPr>
          <w:rFonts w:hint="eastAsia"/>
          <w:sz w:val="24"/>
        </w:rPr>
        <w:t>①</w:t>
      </w:r>
      <w:r w:rsidR="002447A7">
        <w:rPr>
          <w:sz w:val="24"/>
        </w:rPr>
        <w:fldChar w:fldCharType="end"/>
      </w:r>
      <w:r>
        <w:rPr>
          <w:sz w:val="24"/>
        </w:rPr>
        <w:t xml:space="preserve"> Chinese-funded large banks include the Industrial and Commercial Bank of China, the Agricultural Bank of China, the Bank of China, the China Construction Bank, the China Development Bank, the Bank of Communications, and the Postal Savings Bank of China. </w:t>
      </w:r>
    </w:p>
    <w:p w:rsidR="001031BB" w:rsidRDefault="001031BB" w:rsidP="001031BB">
      <w:pPr>
        <w:autoSpaceDE w:val="0"/>
        <w:autoSpaceDN w:val="0"/>
        <w:adjustRightInd w:val="0"/>
        <w:snapToGrid w:val="0"/>
        <w:spacing w:line="360" w:lineRule="auto"/>
        <w:rPr>
          <w:sz w:val="24"/>
        </w:rPr>
      </w:pPr>
      <w:r>
        <w:rPr>
          <w:rFonts w:hint="eastAsia"/>
          <w:sz w:val="24"/>
        </w:rPr>
        <w:t>②</w:t>
      </w:r>
      <w:r>
        <w:rPr>
          <w:sz w:val="24"/>
        </w:rPr>
        <w:t xml:space="preserve"> Chinese-funded medium-sized banks </w:t>
      </w:r>
      <w:r>
        <w:rPr>
          <w:rFonts w:hint="eastAsia"/>
          <w:sz w:val="24"/>
        </w:rPr>
        <w:t>refer to</w:t>
      </w:r>
      <w:r>
        <w:rPr>
          <w:sz w:val="24"/>
        </w:rPr>
        <w:t xml:space="preserve"> policy banks, the China Merchants Bank and eight other joint-equity commercial banks, the Bank</w:t>
      </w:r>
      <w:r>
        <w:rPr>
          <w:rFonts w:hint="eastAsia"/>
          <w:sz w:val="24"/>
        </w:rPr>
        <w:t xml:space="preserve"> of Beijing</w:t>
      </w:r>
      <w:r>
        <w:rPr>
          <w:sz w:val="24"/>
        </w:rPr>
        <w:t>, the Bank</w:t>
      </w:r>
      <w:r>
        <w:rPr>
          <w:rFonts w:hint="eastAsia"/>
          <w:sz w:val="24"/>
        </w:rPr>
        <w:t xml:space="preserve"> of Shanghai</w:t>
      </w:r>
      <w:r>
        <w:rPr>
          <w:sz w:val="24"/>
        </w:rPr>
        <w:t>, and the Bank</w:t>
      </w:r>
      <w:r>
        <w:rPr>
          <w:rFonts w:hint="eastAsia"/>
          <w:sz w:val="24"/>
        </w:rPr>
        <w:t xml:space="preserve"> of Jiangsu</w:t>
      </w:r>
      <w:r>
        <w:rPr>
          <w:sz w:val="24"/>
        </w:rPr>
        <w:t>.</w:t>
      </w:r>
    </w:p>
    <w:p w:rsidR="001031BB" w:rsidRDefault="001031BB" w:rsidP="001031BB">
      <w:pPr>
        <w:autoSpaceDE w:val="0"/>
        <w:autoSpaceDN w:val="0"/>
        <w:adjustRightInd w:val="0"/>
        <w:snapToGrid w:val="0"/>
        <w:spacing w:line="360" w:lineRule="auto"/>
        <w:rPr>
          <w:sz w:val="24"/>
        </w:rPr>
      </w:pPr>
      <w:r>
        <w:rPr>
          <w:rFonts w:hint="eastAsia"/>
          <w:sz w:val="24"/>
        </w:rPr>
        <w:t>③</w:t>
      </w:r>
      <w:r>
        <w:rPr>
          <w:sz w:val="24"/>
        </w:rPr>
        <w:t xml:space="preserve"> Chinese-funded small-sized banks </w:t>
      </w:r>
      <w:r>
        <w:rPr>
          <w:rFonts w:hint="eastAsia"/>
          <w:sz w:val="24"/>
        </w:rPr>
        <w:t>refer to</w:t>
      </w:r>
      <w:r>
        <w:rPr>
          <w:sz w:val="24"/>
        </w:rPr>
        <w:t xml:space="preserve"> </w:t>
      </w:r>
      <w:r>
        <w:rPr>
          <w:rFonts w:hint="eastAsia"/>
          <w:sz w:val="24"/>
        </w:rPr>
        <w:t>Hengfeng</w:t>
      </w:r>
      <w:r>
        <w:rPr>
          <w:sz w:val="24"/>
        </w:rPr>
        <w:t xml:space="preserve"> Bank, China Zheshang Bank, </w:t>
      </w:r>
      <w:r>
        <w:rPr>
          <w:rFonts w:hint="eastAsia"/>
          <w:sz w:val="24"/>
        </w:rPr>
        <w:t xml:space="preserve">China </w:t>
      </w:r>
      <w:r>
        <w:rPr>
          <w:sz w:val="24"/>
        </w:rPr>
        <w:t xml:space="preserve">Bohai Bank, other city commercial banks, rural commercial banks, rural cooperative banks, and village and township banks. </w:t>
      </w:r>
    </w:p>
    <w:p w:rsidR="001031BB" w:rsidRDefault="001031BB" w:rsidP="001031BB">
      <w:pPr>
        <w:autoSpaceDE w:val="0"/>
        <w:autoSpaceDN w:val="0"/>
        <w:adjustRightInd w:val="0"/>
        <w:snapToGrid w:val="0"/>
        <w:spacing w:line="360" w:lineRule="auto"/>
        <w:rPr>
          <w:sz w:val="24"/>
        </w:rPr>
      </w:pPr>
      <w:r>
        <w:rPr>
          <w:rFonts w:hint="eastAsia"/>
          <w:sz w:val="24"/>
        </w:rPr>
        <w:t>④</w:t>
      </w:r>
      <w:r>
        <w:rPr>
          <w:sz w:val="24"/>
        </w:rPr>
        <w:t>Securities institutions include securities firms</w:t>
      </w:r>
      <w:r>
        <w:rPr>
          <w:rFonts w:hint="eastAsia"/>
          <w:sz w:val="24"/>
        </w:rPr>
        <w:t xml:space="preserve">, </w:t>
      </w:r>
      <w:r>
        <w:rPr>
          <w:sz w:val="24"/>
        </w:rPr>
        <w:t xml:space="preserve">fund-management </w:t>
      </w:r>
      <w:r>
        <w:rPr>
          <w:rFonts w:hint="eastAsia"/>
          <w:sz w:val="24"/>
        </w:rPr>
        <w:t xml:space="preserve">and futures </w:t>
      </w:r>
      <w:r>
        <w:rPr>
          <w:sz w:val="24"/>
        </w:rPr>
        <w:t xml:space="preserve">companies. </w:t>
      </w:r>
    </w:p>
    <w:p w:rsidR="001031BB" w:rsidRDefault="002447A7" w:rsidP="001031BB">
      <w:pPr>
        <w:autoSpaceDE w:val="0"/>
        <w:autoSpaceDN w:val="0"/>
        <w:adjustRightInd w:val="0"/>
        <w:snapToGrid w:val="0"/>
        <w:spacing w:line="360" w:lineRule="auto"/>
        <w:rPr>
          <w:sz w:val="24"/>
        </w:rPr>
      </w:pPr>
      <w:r>
        <w:rPr>
          <w:sz w:val="24"/>
        </w:rPr>
        <w:lastRenderedPageBreak/>
        <w:fldChar w:fldCharType="begin"/>
      </w:r>
      <w:r w:rsidR="001031BB">
        <w:rPr>
          <w:sz w:val="24"/>
        </w:rPr>
        <w:instrText xml:space="preserve"> = 5 \* GB3 </w:instrText>
      </w:r>
      <w:r>
        <w:rPr>
          <w:sz w:val="24"/>
        </w:rPr>
        <w:fldChar w:fldCharType="separate"/>
      </w:r>
      <w:r w:rsidR="001031BB">
        <w:rPr>
          <w:rFonts w:hint="eastAsia"/>
          <w:sz w:val="24"/>
        </w:rPr>
        <w:t>⑤</w:t>
      </w:r>
      <w:r>
        <w:rPr>
          <w:sz w:val="24"/>
        </w:rPr>
        <w:fldChar w:fldCharType="end"/>
      </w:r>
      <w:r w:rsidR="001031BB">
        <w:rPr>
          <w:sz w:val="24"/>
        </w:rPr>
        <w:t xml:space="preserve">Insurance institutions include insurance firms and corporate annuities. </w:t>
      </w:r>
    </w:p>
    <w:p w:rsidR="001031BB" w:rsidRDefault="002447A7" w:rsidP="001031BB">
      <w:pPr>
        <w:autoSpaceDE w:val="0"/>
        <w:autoSpaceDN w:val="0"/>
        <w:adjustRightInd w:val="0"/>
        <w:snapToGrid w:val="0"/>
        <w:spacing w:line="360" w:lineRule="auto"/>
        <w:rPr>
          <w:sz w:val="24"/>
        </w:rPr>
      </w:pPr>
      <w:r>
        <w:rPr>
          <w:sz w:val="24"/>
        </w:rPr>
        <w:fldChar w:fldCharType="begin"/>
      </w:r>
      <w:r w:rsidR="001031BB">
        <w:rPr>
          <w:sz w:val="24"/>
        </w:rPr>
        <w:instrText xml:space="preserve"> = 6 \* GB3 </w:instrText>
      </w:r>
      <w:r>
        <w:rPr>
          <w:sz w:val="24"/>
        </w:rPr>
        <w:fldChar w:fldCharType="separate"/>
      </w:r>
      <w:r w:rsidR="001031BB">
        <w:rPr>
          <w:rFonts w:hint="eastAsia"/>
          <w:sz w:val="24"/>
        </w:rPr>
        <w:t>⑥</w:t>
      </w:r>
      <w:r>
        <w:rPr>
          <w:sz w:val="24"/>
        </w:rPr>
        <w:fldChar w:fldCharType="end"/>
      </w:r>
      <w:r w:rsidR="001031BB">
        <w:rPr>
          <w:sz w:val="24"/>
        </w:rPr>
        <w:t xml:space="preserve">Other financial institutions and vehicles include urban credit cooperatives, rural credit cooperatives, finance companies, trust and investment companies, financial leasing companies, asset-management companies, social-security funds, </w:t>
      </w:r>
      <w:r w:rsidR="001031BB">
        <w:rPr>
          <w:rFonts w:hint="eastAsia"/>
          <w:sz w:val="24"/>
        </w:rPr>
        <w:t xml:space="preserve">mutual </w:t>
      </w:r>
      <w:r w:rsidR="001031BB">
        <w:rPr>
          <w:sz w:val="24"/>
        </w:rPr>
        <w:t xml:space="preserve">funds, wealth management products, trust plans, and other investment vehicles. Some of these financial institutions and vehicles do not participate in the interbank </w:t>
      </w:r>
      <w:r w:rsidR="001031BB">
        <w:rPr>
          <w:rFonts w:hint="eastAsia"/>
          <w:sz w:val="24"/>
        </w:rPr>
        <w:t>lending</w:t>
      </w:r>
      <w:r w:rsidR="001031BB">
        <w:rPr>
          <w:sz w:val="24"/>
        </w:rPr>
        <w:t xml:space="preserve"> market. </w:t>
      </w:r>
    </w:p>
    <w:p w:rsidR="001031BB" w:rsidRDefault="001031BB" w:rsidP="001031BB">
      <w:pPr>
        <w:autoSpaceDE w:val="0"/>
        <w:autoSpaceDN w:val="0"/>
        <w:adjustRightInd w:val="0"/>
        <w:snapToGrid w:val="0"/>
        <w:spacing w:line="360" w:lineRule="auto"/>
        <w:rPr>
          <w:sz w:val="24"/>
        </w:rPr>
      </w:pPr>
      <w:r>
        <w:rPr>
          <w:rFonts w:hint="eastAsia"/>
          <w:sz w:val="24"/>
        </w:rPr>
        <w:t>⑦</w:t>
      </w:r>
      <w:r>
        <w:rPr>
          <w:sz w:val="24"/>
        </w:rPr>
        <w:t xml:space="preserve">A negative sign indicates net lending and a positive sign indicates net borrowing. </w:t>
      </w:r>
    </w:p>
    <w:p w:rsidR="001031BB" w:rsidRDefault="001031BB" w:rsidP="001031BB">
      <w:pPr>
        <w:autoSpaceDE w:val="0"/>
        <w:autoSpaceDN w:val="0"/>
        <w:adjustRightInd w:val="0"/>
        <w:snapToGrid w:val="0"/>
        <w:spacing w:line="360" w:lineRule="auto"/>
        <w:rPr>
          <w:sz w:val="24"/>
        </w:rPr>
      </w:pPr>
      <w:r>
        <w:rPr>
          <w:sz w:val="24"/>
        </w:rPr>
        <w:t xml:space="preserve">Source: China Foreign Exchange Trade System. </w:t>
      </w:r>
    </w:p>
    <w:p w:rsidR="001031BB" w:rsidRDefault="001031BB" w:rsidP="002E7312">
      <w:pPr>
        <w:autoSpaceDE w:val="0"/>
        <w:autoSpaceDN w:val="0"/>
        <w:spacing w:beforeLines="50" w:line="360" w:lineRule="auto"/>
        <w:ind w:firstLineChars="182" w:firstLine="437"/>
        <w:rPr>
          <w:sz w:val="24"/>
        </w:rPr>
      </w:pPr>
      <w:r>
        <w:rPr>
          <w:rFonts w:hint="eastAsia"/>
          <w:sz w:val="24"/>
        </w:rPr>
        <w:tab/>
      </w:r>
    </w:p>
    <w:p w:rsidR="001031BB" w:rsidRDefault="001031BB" w:rsidP="001031BB">
      <w:pPr>
        <w:spacing w:line="360" w:lineRule="auto"/>
        <w:rPr>
          <w:sz w:val="24"/>
        </w:rPr>
      </w:pPr>
      <w:r>
        <w:rPr>
          <w:b/>
          <w:sz w:val="24"/>
        </w:rPr>
        <w:t xml:space="preserve">The interbank CD and CD businesses </w:t>
      </w:r>
      <w:r>
        <w:rPr>
          <w:rFonts w:hint="eastAsia"/>
          <w:b/>
          <w:sz w:val="24"/>
        </w:rPr>
        <w:t>witnessed</w:t>
      </w:r>
      <w:r>
        <w:rPr>
          <w:b/>
          <w:sz w:val="24"/>
        </w:rPr>
        <w:t xml:space="preserve"> orderly development. </w:t>
      </w:r>
      <w:r>
        <w:rPr>
          <w:sz w:val="24"/>
        </w:rPr>
        <w:t xml:space="preserve">In Q3, a total of </w:t>
      </w:r>
      <w:r>
        <w:rPr>
          <w:rFonts w:hint="eastAsia"/>
          <w:sz w:val="24"/>
        </w:rPr>
        <w:t>6</w:t>
      </w:r>
      <w:r>
        <w:rPr>
          <w:sz w:val="24"/>
        </w:rPr>
        <w:t>,</w:t>
      </w:r>
      <w:r>
        <w:rPr>
          <w:rFonts w:hint="eastAsia"/>
          <w:sz w:val="24"/>
        </w:rPr>
        <w:t>923</w:t>
      </w:r>
      <w:r>
        <w:rPr>
          <w:sz w:val="24"/>
        </w:rPr>
        <w:t xml:space="preserve"> interbank CDs were issued on the interbank market, raising RMB </w:t>
      </w:r>
      <w:r>
        <w:rPr>
          <w:rFonts w:hint="eastAsia"/>
          <w:sz w:val="24"/>
        </w:rPr>
        <w:t>4.98</w:t>
      </w:r>
      <w:r>
        <w:rPr>
          <w:sz w:val="24"/>
        </w:rPr>
        <w:t xml:space="preserve"> trillion. The volume of trading on the secondary market </w:t>
      </w:r>
      <w:r>
        <w:rPr>
          <w:rFonts w:hint="eastAsia"/>
          <w:sz w:val="24"/>
        </w:rPr>
        <w:t>totaled</w:t>
      </w:r>
      <w:r>
        <w:rPr>
          <w:sz w:val="24"/>
        </w:rPr>
        <w:t xml:space="preserve"> RMB </w:t>
      </w:r>
      <w:r>
        <w:rPr>
          <w:rFonts w:hint="eastAsia"/>
          <w:sz w:val="24"/>
        </w:rPr>
        <w:t xml:space="preserve">42.27 </w:t>
      </w:r>
      <w:r>
        <w:rPr>
          <w:sz w:val="24"/>
        </w:rPr>
        <w:t>trillion</w:t>
      </w:r>
      <w:r>
        <w:rPr>
          <w:rFonts w:hint="eastAsia"/>
          <w:sz w:val="24"/>
        </w:rPr>
        <w:t>, and the</w:t>
      </w:r>
      <w:r>
        <w:rPr>
          <w:sz w:val="24"/>
        </w:rPr>
        <w:t xml:space="preserve"> issuance and trading </w:t>
      </w:r>
      <w:r>
        <w:rPr>
          <w:rFonts w:hint="eastAsia"/>
          <w:sz w:val="24"/>
        </w:rPr>
        <w:t xml:space="preserve">of CDs </w:t>
      </w:r>
      <w:r>
        <w:rPr>
          <w:sz w:val="24"/>
        </w:rPr>
        <w:t xml:space="preserve">were </w:t>
      </w:r>
      <w:r>
        <w:rPr>
          <w:rFonts w:hint="eastAsia"/>
          <w:sz w:val="24"/>
        </w:rPr>
        <w:t>both</w:t>
      </w:r>
      <w:r>
        <w:rPr>
          <w:sz w:val="24"/>
        </w:rPr>
        <w:t xml:space="preserve"> priced </w:t>
      </w:r>
      <w:r>
        <w:rPr>
          <w:rFonts w:hint="eastAsia"/>
          <w:sz w:val="24"/>
        </w:rPr>
        <w:t>with reference to</w:t>
      </w:r>
      <w:r>
        <w:rPr>
          <w:sz w:val="24"/>
        </w:rPr>
        <w:t xml:space="preserve"> the Shibor. In </w:t>
      </w:r>
      <w:r>
        <w:rPr>
          <w:rFonts w:hint="eastAsia"/>
          <w:sz w:val="24"/>
        </w:rPr>
        <w:t>September</w:t>
      </w:r>
      <w:r>
        <w:rPr>
          <w:sz w:val="24"/>
        </w:rPr>
        <w:t xml:space="preserve"> 2018, the average weighted interest rate for the issuance</w:t>
      </w:r>
      <w:r>
        <w:rPr>
          <w:rFonts w:hint="eastAsia"/>
          <w:sz w:val="24"/>
        </w:rPr>
        <w:t xml:space="preserve"> of </w:t>
      </w:r>
      <w:r>
        <w:rPr>
          <w:sz w:val="24"/>
        </w:rPr>
        <w:t xml:space="preserve">3-month interbank CDs was </w:t>
      </w:r>
      <w:r>
        <w:rPr>
          <w:rFonts w:hint="eastAsia"/>
          <w:sz w:val="24"/>
        </w:rPr>
        <w:t xml:space="preserve">2.82 </w:t>
      </w:r>
      <w:r>
        <w:rPr>
          <w:sz w:val="24"/>
        </w:rPr>
        <w:t xml:space="preserve">percent, </w:t>
      </w:r>
      <w:r>
        <w:rPr>
          <w:rFonts w:hint="eastAsia"/>
          <w:sz w:val="24"/>
        </w:rPr>
        <w:t>3</w:t>
      </w:r>
      <w:r>
        <w:rPr>
          <w:sz w:val="24"/>
        </w:rPr>
        <w:t xml:space="preserve"> basis points </w:t>
      </w:r>
      <w:r>
        <w:rPr>
          <w:rFonts w:hint="eastAsia"/>
          <w:sz w:val="24"/>
        </w:rPr>
        <w:t>lower</w:t>
      </w:r>
      <w:r>
        <w:rPr>
          <w:sz w:val="24"/>
        </w:rPr>
        <w:t xml:space="preserve"> than that of the 3-month Shibor.</w:t>
      </w:r>
      <w:r>
        <w:rPr>
          <w:rFonts w:hint="eastAsia"/>
          <w:sz w:val="24"/>
        </w:rPr>
        <w:t xml:space="preserve"> </w:t>
      </w:r>
      <w:r>
        <w:rPr>
          <w:sz w:val="24"/>
        </w:rPr>
        <w:t>At end-</w:t>
      </w:r>
      <w:r>
        <w:rPr>
          <w:rFonts w:hint="eastAsia"/>
          <w:sz w:val="24"/>
        </w:rPr>
        <w:t>September</w:t>
      </w:r>
      <w:r>
        <w:rPr>
          <w:sz w:val="24"/>
        </w:rPr>
        <w:t xml:space="preserve">, a total of </w:t>
      </w:r>
      <w:r>
        <w:rPr>
          <w:rFonts w:hint="eastAsia"/>
          <w:sz w:val="24"/>
        </w:rPr>
        <w:t>10,609</w:t>
      </w:r>
      <w:r>
        <w:rPr>
          <w:sz w:val="24"/>
        </w:rPr>
        <w:t xml:space="preserve"> CDs was issued by financial institutions, raising RMB </w:t>
      </w:r>
      <w:r>
        <w:rPr>
          <w:rFonts w:hint="eastAsia"/>
          <w:sz w:val="24"/>
        </w:rPr>
        <w:t>2.39</w:t>
      </w:r>
      <w:r>
        <w:rPr>
          <w:sz w:val="24"/>
        </w:rPr>
        <w:t xml:space="preserve"> trillion, an increase of RMB </w:t>
      </w:r>
      <w:r>
        <w:rPr>
          <w:rFonts w:hint="eastAsia"/>
          <w:sz w:val="24"/>
        </w:rPr>
        <w:t>696.2</w:t>
      </w:r>
      <w:r>
        <w:rPr>
          <w:sz w:val="24"/>
        </w:rPr>
        <w:t xml:space="preserve"> billion year on year. The orderly</w:t>
      </w:r>
      <w:r>
        <w:rPr>
          <w:rFonts w:hint="eastAsia"/>
          <w:sz w:val="24"/>
        </w:rPr>
        <w:t xml:space="preserve"> development</w:t>
      </w:r>
      <w:r>
        <w:rPr>
          <w:sz w:val="24"/>
        </w:rPr>
        <w:t xml:space="preserve"> of CD businesses helped further expand the scope of market-priced liability products, </w:t>
      </w:r>
      <w:r>
        <w:rPr>
          <w:rFonts w:hint="eastAsia"/>
          <w:sz w:val="24"/>
        </w:rPr>
        <w:t>build</w:t>
      </w:r>
      <w:r>
        <w:rPr>
          <w:sz w:val="24"/>
        </w:rPr>
        <w:t xml:space="preserve"> the pricing capability of financial institutions, and improv</w:t>
      </w:r>
      <w:r>
        <w:rPr>
          <w:rFonts w:hint="eastAsia"/>
          <w:sz w:val="24"/>
        </w:rPr>
        <w:t>e</w:t>
      </w:r>
      <w:r>
        <w:rPr>
          <w:sz w:val="24"/>
        </w:rPr>
        <w:t xml:space="preserve"> the </w:t>
      </w:r>
      <w:r>
        <w:rPr>
          <w:rFonts w:hint="eastAsia"/>
          <w:sz w:val="24"/>
        </w:rPr>
        <w:t>market-based interest</w:t>
      </w:r>
      <w:r>
        <w:rPr>
          <w:sz w:val="24"/>
        </w:rPr>
        <w:t>-</w:t>
      </w:r>
      <w:r>
        <w:rPr>
          <w:rFonts w:hint="eastAsia"/>
          <w:sz w:val="24"/>
        </w:rPr>
        <w:t xml:space="preserve">rate mechanism and </w:t>
      </w:r>
      <w:r>
        <w:rPr>
          <w:sz w:val="24"/>
        </w:rPr>
        <w:t xml:space="preserve">the </w:t>
      </w:r>
      <w:r>
        <w:rPr>
          <w:rFonts w:hint="eastAsia"/>
          <w:sz w:val="24"/>
        </w:rPr>
        <w:t xml:space="preserve">transmission </w:t>
      </w:r>
      <w:r>
        <w:rPr>
          <w:sz w:val="24"/>
        </w:rPr>
        <w:t>mechanism.</w:t>
      </w:r>
    </w:p>
    <w:p w:rsidR="001031BB" w:rsidRDefault="001031BB" w:rsidP="001031BB">
      <w:pPr>
        <w:spacing w:line="360" w:lineRule="auto"/>
        <w:ind w:firstLineChars="200" w:firstLine="482"/>
        <w:rPr>
          <w:b/>
          <w:sz w:val="24"/>
        </w:rPr>
      </w:pPr>
    </w:p>
    <w:p w:rsidR="001031BB" w:rsidRDefault="001031BB" w:rsidP="001031BB">
      <w:pPr>
        <w:autoSpaceDE w:val="0"/>
        <w:autoSpaceDN w:val="0"/>
        <w:adjustRightInd w:val="0"/>
        <w:spacing w:line="360" w:lineRule="auto"/>
        <w:rPr>
          <w:sz w:val="24"/>
        </w:rPr>
      </w:pPr>
      <w:r>
        <w:rPr>
          <w:b/>
          <w:sz w:val="24"/>
        </w:rPr>
        <w:t>Interest-rate swap trading</w:t>
      </w:r>
      <w:r>
        <w:rPr>
          <w:rFonts w:hint="eastAsia"/>
          <w:b/>
          <w:sz w:val="24"/>
        </w:rPr>
        <w:t xml:space="preserve"> grew </w:t>
      </w:r>
      <w:r>
        <w:rPr>
          <w:b/>
          <w:sz w:val="24"/>
        </w:rPr>
        <w:t>rapid</w:t>
      </w:r>
      <w:r>
        <w:rPr>
          <w:rFonts w:hint="eastAsia"/>
          <w:b/>
          <w:sz w:val="24"/>
        </w:rPr>
        <w:t>ly.</w:t>
      </w:r>
      <w:r>
        <w:rPr>
          <w:sz w:val="24"/>
        </w:rPr>
        <w:t xml:space="preserve"> In</w:t>
      </w:r>
      <w:r>
        <w:rPr>
          <w:rFonts w:hint="eastAsia"/>
          <w:sz w:val="24"/>
        </w:rPr>
        <w:t xml:space="preserve"> </w:t>
      </w:r>
      <w:r>
        <w:rPr>
          <w:sz w:val="24"/>
        </w:rPr>
        <w:t xml:space="preserve">Q3, </w:t>
      </w:r>
      <w:r>
        <w:rPr>
          <w:rFonts w:hint="eastAsia"/>
          <w:sz w:val="24"/>
        </w:rPr>
        <w:t>49</w:t>
      </w:r>
      <w:r>
        <w:rPr>
          <w:sz w:val="24"/>
        </w:rPr>
        <w:t>,</w:t>
      </w:r>
      <w:r>
        <w:rPr>
          <w:rFonts w:hint="eastAsia"/>
          <w:sz w:val="24"/>
        </w:rPr>
        <w:t>900</w:t>
      </w:r>
      <w:r>
        <w:rPr>
          <w:sz w:val="24"/>
        </w:rPr>
        <w:t xml:space="preserve"> deals were reached on the RMB interest-rate swap market, an increase of </w:t>
      </w:r>
      <w:r>
        <w:rPr>
          <w:rFonts w:hint="eastAsia"/>
          <w:sz w:val="24"/>
        </w:rPr>
        <w:t>43</w:t>
      </w:r>
      <w:r>
        <w:rPr>
          <w:sz w:val="24"/>
        </w:rPr>
        <w:t>.</w:t>
      </w:r>
      <w:r>
        <w:rPr>
          <w:rFonts w:hint="eastAsia"/>
          <w:sz w:val="24"/>
        </w:rPr>
        <w:t>4</w:t>
      </w:r>
      <w:r>
        <w:rPr>
          <w:sz w:val="24"/>
        </w:rPr>
        <w:t xml:space="preserve"> percent year on year</w:t>
      </w:r>
      <w:r>
        <w:rPr>
          <w:rFonts w:hint="eastAsia"/>
          <w:sz w:val="24"/>
        </w:rPr>
        <w:t>, with the</w:t>
      </w:r>
      <w:r>
        <w:rPr>
          <w:sz w:val="24"/>
        </w:rPr>
        <w:t xml:space="preserve"> volume of the notional principal total</w:t>
      </w:r>
      <w:r>
        <w:rPr>
          <w:rFonts w:hint="eastAsia"/>
          <w:sz w:val="24"/>
        </w:rPr>
        <w:t>ing</w:t>
      </w:r>
      <w:r>
        <w:rPr>
          <w:sz w:val="24"/>
        </w:rPr>
        <w:t xml:space="preserve"> RMB </w:t>
      </w:r>
      <w:r>
        <w:rPr>
          <w:rFonts w:hint="eastAsia"/>
          <w:sz w:val="24"/>
        </w:rPr>
        <w:t>5</w:t>
      </w:r>
      <w:r>
        <w:rPr>
          <w:sz w:val="24"/>
        </w:rPr>
        <w:t xml:space="preserve"> trillion, an increase of </w:t>
      </w:r>
      <w:r>
        <w:rPr>
          <w:rFonts w:hint="eastAsia"/>
          <w:sz w:val="24"/>
        </w:rPr>
        <w:t>36.9</w:t>
      </w:r>
      <w:r>
        <w:rPr>
          <w:sz w:val="24"/>
        </w:rPr>
        <w:t xml:space="preserve"> percent year on year. In terms of the maturity structure, contracts with maturities of up to one year </w:t>
      </w:r>
      <w:r>
        <w:rPr>
          <w:rFonts w:hint="eastAsia"/>
          <w:sz w:val="24"/>
        </w:rPr>
        <w:t>were reached most frequently</w:t>
      </w:r>
      <w:r>
        <w:rPr>
          <w:sz w:val="24"/>
        </w:rPr>
        <w:t xml:space="preserve"> and the volume of their aggregate notional principal posted RMB </w:t>
      </w:r>
      <w:r>
        <w:rPr>
          <w:rFonts w:hint="eastAsia"/>
          <w:sz w:val="24"/>
        </w:rPr>
        <w:t xml:space="preserve">3.22 </w:t>
      </w:r>
      <w:r>
        <w:rPr>
          <w:sz w:val="24"/>
        </w:rPr>
        <w:t xml:space="preserve">trillion, accounting for </w:t>
      </w:r>
      <w:r>
        <w:rPr>
          <w:rFonts w:hint="eastAsia"/>
          <w:sz w:val="24"/>
        </w:rPr>
        <w:t>64.4</w:t>
      </w:r>
      <w:r>
        <w:rPr>
          <w:sz w:val="24"/>
        </w:rPr>
        <w:t xml:space="preserve"> percent of the total. In terms of the reference rates, the 7-day fixed repo rate and the Shibor </w:t>
      </w:r>
      <w:r>
        <w:rPr>
          <w:rFonts w:hint="eastAsia"/>
          <w:sz w:val="24"/>
        </w:rPr>
        <w:t>were</w:t>
      </w:r>
      <w:r>
        <w:rPr>
          <w:sz w:val="24"/>
        </w:rPr>
        <w:t xml:space="preserve"> the reference rates for </w:t>
      </w:r>
      <w:r>
        <w:rPr>
          <w:rFonts w:hint="eastAsia"/>
          <w:sz w:val="24"/>
        </w:rPr>
        <w:t>the floating leg of</w:t>
      </w:r>
      <w:r>
        <w:rPr>
          <w:sz w:val="24"/>
        </w:rPr>
        <w:t xml:space="preserve"> RMB interest-rate swap transactions</w:t>
      </w:r>
      <w:r>
        <w:rPr>
          <w:rFonts w:hint="eastAsia"/>
          <w:sz w:val="24"/>
        </w:rPr>
        <w:t xml:space="preserve">, accounting for 73.6 </w:t>
      </w:r>
      <w:r>
        <w:rPr>
          <w:rFonts w:hint="eastAsia"/>
          <w:sz w:val="24"/>
        </w:rPr>
        <w:lastRenderedPageBreak/>
        <w:t xml:space="preserve">percent and 25.2 percent </w:t>
      </w:r>
      <w:r>
        <w:rPr>
          <w:sz w:val="24"/>
        </w:rPr>
        <w:t>of</w:t>
      </w:r>
      <w:r>
        <w:rPr>
          <w:rFonts w:hint="eastAsia"/>
          <w:sz w:val="24"/>
        </w:rPr>
        <w:t xml:space="preserve"> the total </w:t>
      </w:r>
      <w:r>
        <w:rPr>
          <w:sz w:val="24"/>
        </w:rPr>
        <w:t>notional principal of the interest-rate swaps respectively.</w:t>
      </w:r>
    </w:p>
    <w:p w:rsidR="001031BB" w:rsidRPr="00EE3C76" w:rsidRDefault="002E3175" w:rsidP="002E3175">
      <w:pPr>
        <w:keepNext/>
        <w:spacing w:line="360" w:lineRule="auto"/>
        <w:jc w:val="center"/>
        <w:rPr>
          <w:b/>
          <w:sz w:val="24"/>
        </w:rPr>
      </w:pPr>
      <w:bookmarkStart w:id="68" w:name="_Toc532203072"/>
      <w:r w:rsidRPr="002E3175">
        <w:rPr>
          <w:b/>
          <w:sz w:val="24"/>
        </w:rPr>
        <w:t xml:space="preserve">Table </w:t>
      </w:r>
      <w:r w:rsidR="002447A7" w:rsidRPr="002E3175">
        <w:rPr>
          <w:b/>
          <w:sz w:val="24"/>
        </w:rPr>
        <w:fldChar w:fldCharType="begin"/>
      </w:r>
      <w:r w:rsidRPr="002E3175">
        <w:rPr>
          <w:b/>
          <w:sz w:val="24"/>
        </w:rPr>
        <w:instrText xml:space="preserve"> SEQ Table \* ARABIC </w:instrText>
      </w:r>
      <w:r w:rsidR="002447A7" w:rsidRPr="002E3175">
        <w:rPr>
          <w:b/>
          <w:sz w:val="24"/>
        </w:rPr>
        <w:fldChar w:fldCharType="separate"/>
      </w:r>
      <w:r w:rsidR="00EC1136">
        <w:rPr>
          <w:b/>
          <w:noProof/>
          <w:sz w:val="24"/>
        </w:rPr>
        <w:t>9</w:t>
      </w:r>
      <w:r w:rsidR="002447A7" w:rsidRPr="002E3175">
        <w:rPr>
          <w:b/>
          <w:sz w:val="24"/>
        </w:rPr>
        <w:fldChar w:fldCharType="end"/>
      </w:r>
      <w:r w:rsidRPr="002E3175">
        <w:rPr>
          <w:b/>
          <w:sz w:val="24"/>
        </w:rPr>
        <w:t xml:space="preserve"> </w:t>
      </w:r>
      <w:r>
        <w:rPr>
          <w:b/>
          <w:sz w:val="24"/>
        </w:rPr>
        <w:t xml:space="preserve">Interest-Rate Swaps, </w:t>
      </w:r>
      <w:r w:rsidRPr="00C30443">
        <w:rPr>
          <w:b/>
          <w:sz w:val="24"/>
        </w:rPr>
        <w:t>Q</w:t>
      </w:r>
      <w:r>
        <w:rPr>
          <w:b/>
          <w:sz w:val="24"/>
        </w:rPr>
        <w:t>3 2018</w:t>
      </w:r>
      <w:bookmarkEnd w:id="68"/>
    </w:p>
    <w:tbl>
      <w:tblPr>
        <w:tblW w:w="8332" w:type="dxa"/>
        <w:jc w:val="center"/>
        <w:tblBorders>
          <w:top w:val="single" w:sz="12" w:space="0" w:color="auto"/>
          <w:bottom w:val="single" w:sz="12" w:space="0" w:color="auto"/>
        </w:tblBorders>
        <w:tblLayout w:type="fixed"/>
        <w:tblCellMar>
          <w:left w:w="0" w:type="dxa"/>
          <w:right w:w="0" w:type="dxa"/>
        </w:tblCellMar>
        <w:tblLook w:val="04A0"/>
      </w:tblPr>
      <w:tblGrid>
        <w:gridCol w:w="1147"/>
        <w:gridCol w:w="2410"/>
        <w:gridCol w:w="4775"/>
      </w:tblGrid>
      <w:tr w:rsidR="001031BB" w:rsidRPr="00C30443" w:rsidTr="001031BB">
        <w:trPr>
          <w:cantSplit/>
          <w:trHeight w:val="340"/>
          <w:jc w:val="center"/>
        </w:trPr>
        <w:tc>
          <w:tcPr>
            <w:tcW w:w="1147" w:type="dxa"/>
            <w:tcBorders>
              <w:top w:val="single" w:sz="12" w:space="0" w:color="339966"/>
              <w:left w:val="nil"/>
              <w:bottom w:val="single" w:sz="4" w:space="0" w:color="339966"/>
              <w:right w:val="single" w:sz="4" w:space="0" w:color="339966"/>
            </w:tcBorders>
            <w:shd w:val="clear" w:color="auto" w:fill="CCFFCC"/>
            <w:vAlign w:val="center"/>
          </w:tcPr>
          <w:p w:rsidR="001031BB" w:rsidRPr="00C30443" w:rsidRDefault="001031BB" w:rsidP="002E7312">
            <w:pPr>
              <w:keepNext/>
              <w:keepLines/>
              <w:spacing w:beforeLines="200" w:afterLines="100" w:line="360" w:lineRule="auto"/>
              <w:jc w:val="center"/>
              <w:outlineLvl w:val="0"/>
              <w:rPr>
                <w:sz w:val="24"/>
              </w:rPr>
            </w:pPr>
          </w:p>
        </w:tc>
        <w:tc>
          <w:tcPr>
            <w:tcW w:w="2410"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1031BB" w:rsidRPr="00C30443" w:rsidRDefault="001031BB" w:rsidP="001031BB">
            <w:pPr>
              <w:adjustRightInd w:val="0"/>
              <w:snapToGrid w:val="0"/>
              <w:spacing w:line="360" w:lineRule="auto"/>
              <w:jc w:val="center"/>
              <w:rPr>
                <w:sz w:val="24"/>
              </w:rPr>
            </w:pPr>
            <w:r w:rsidRPr="00C30443">
              <w:rPr>
                <w:rFonts w:hint="eastAsia"/>
                <w:sz w:val="24"/>
              </w:rPr>
              <w:t xml:space="preserve">Deals </w:t>
            </w:r>
            <w:r w:rsidRPr="00C30443">
              <w:rPr>
                <w:sz w:val="24"/>
              </w:rPr>
              <w:t>(lots)</w:t>
            </w:r>
          </w:p>
        </w:tc>
        <w:tc>
          <w:tcPr>
            <w:tcW w:w="4775"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1031BB" w:rsidRPr="00C30443" w:rsidRDefault="001031BB" w:rsidP="001031BB">
            <w:pPr>
              <w:adjustRightInd w:val="0"/>
              <w:snapToGrid w:val="0"/>
              <w:spacing w:line="360" w:lineRule="auto"/>
              <w:jc w:val="center"/>
              <w:rPr>
                <w:sz w:val="24"/>
              </w:rPr>
            </w:pPr>
            <w:r w:rsidRPr="00C30443">
              <w:rPr>
                <w:sz w:val="24"/>
              </w:rPr>
              <w:t>Amount of the notional principal (RMB 100 million)</w:t>
            </w:r>
          </w:p>
        </w:tc>
      </w:tr>
      <w:tr w:rsidR="001031BB" w:rsidTr="001031BB">
        <w:trPr>
          <w:trHeight w:val="340"/>
          <w:jc w:val="center"/>
        </w:trPr>
        <w:tc>
          <w:tcPr>
            <w:tcW w:w="1147" w:type="dxa"/>
            <w:tcBorders>
              <w:top w:val="single" w:sz="4" w:space="0" w:color="339966"/>
              <w:left w:val="nil"/>
              <w:bottom w:val="single" w:sz="4" w:space="0" w:color="339966"/>
              <w:right w:val="single" w:sz="4" w:space="0" w:color="339966"/>
            </w:tcBorders>
            <w:tcMar>
              <w:top w:w="13" w:type="dxa"/>
              <w:left w:w="13" w:type="dxa"/>
              <w:bottom w:w="0" w:type="dxa"/>
              <w:right w:w="13" w:type="dxa"/>
            </w:tcMar>
            <w:vAlign w:val="center"/>
          </w:tcPr>
          <w:p w:rsidR="001031BB" w:rsidRDefault="001031BB" w:rsidP="001031BB">
            <w:pPr>
              <w:adjustRightInd w:val="0"/>
              <w:snapToGrid w:val="0"/>
              <w:spacing w:line="360" w:lineRule="auto"/>
              <w:jc w:val="center"/>
              <w:rPr>
                <w:sz w:val="24"/>
              </w:rPr>
            </w:pPr>
            <w:r>
              <w:rPr>
                <w:sz w:val="24"/>
              </w:rPr>
              <w:t>Q3</w:t>
            </w:r>
            <w:r>
              <w:rPr>
                <w:rFonts w:hint="eastAsia"/>
                <w:sz w:val="24"/>
              </w:rPr>
              <w:t xml:space="preserve"> </w:t>
            </w:r>
            <w:r>
              <w:rPr>
                <w:sz w:val="24"/>
              </w:rPr>
              <w:t>201</w:t>
            </w:r>
            <w:r>
              <w:rPr>
                <w:rFonts w:hint="eastAsia"/>
                <w:sz w:val="24"/>
              </w:rPr>
              <w:t>8</w:t>
            </w:r>
          </w:p>
        </w:tc>
        <w:tc>
          <w:tcPr>
            <w:tcW w:w="2410"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1031BB" w:rsidRDefault="001031BB" w:rsidP="001031BB">
            <w:pPr>
              <w:adjustRightInd w:val="0"/>
              <w:snapToGrid w:val="0"/>
              <w:spacing w:line="360" w:lineRule="auto"/>
              <w:jc w:val="center"/>
              <w:rPr>
                <w:sz w:val="24"/>
              </w:rPr>
            </w:pPr>
            <w:r>
              <w:rPr>
                <w:sz w:val="24"/>
              </w:rPr>
              <w:t>49,855</w:t>
            </w:r>
          </w:p>
        </w:tc>
        <w:tc>
          <w:tcPr>
            <w:tcW w:w="4775"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1031BB" w:rsidRDefault="001031BB" w:rsidP="001031BB">
            <w:pPr>
              <w:adjustRightInd w:val="0"/>
              <w:snapToGrid w:val="0"/>
              <w:spacing w:line="360" w:lineRule="auto"/>
              <w:jc w:val="center"/>
              <w:rPr>
                <w:sz w:val="24"/>
              </w:rPr>
            </w:pPr>
            <w:r>
              <w:rPr>
                <w:sz w:val="24"/>
              </w:rPr>
              <w:t>50,016.0</w:t>
            </w:r>
          </w:p>
        </w:tc>
      </w:tr>
      <w:tr w:rsidR="001031BB" w:rsidTr="001031BB">
        <w:trPr>
          <w:trHeight w:val="340"/>
          <w:jc w:val="center"/>
        </w:trPr>
        <w:tc>
          <w:tcPr>
            <w:tcW w:w="1147" w:type="dxa"/>
            <w:tcBorders>
              <w:top w:val="single" w:sz="4" w:space="0" w:color="339966"/>
              <w:left w:val="nil"/>
              <w:bottom w:val="single" w:sz="12" w:space="0" w:color="339966"/>
              <w:right w:val="single" w:sz="4" w:space="0" w:color="339966"/>
            </w:tcBorders>
            <w:shd w:val="clear" w:color="auto" w:fill="CCFFCC"/>
            <w:tcMar>
              <w:top w:w="13" w:type="dxa"/>
              <w:left w:w="13" w:type="dxa"/>
              <w:bottom w:w="0" w:type="dxa"/>
              <w:right w:w="13" w:type="dxa"/>
            </w:tcMar>
            <w:vAlign w:val="center"/>
          </w:tcPr>
          <w:p w:rsidR="001031BB" w:rsidRDefault="001031BB" w:rsidP="001031BB">
            <w:pPr>
              <w:adjustRightInd w:val="0"/>
              <w:snapToGrid w:val="0"/>
              <w:spacing w:line="360" w:lineRule="auto"/>
              <w:jc w:val="center"/>
              <w:rPr>
                <w:sz w:val="24"/>
              </w:rPr>
            </w:pPr>
            <w:r>
              <w:rPr>
                <w:sz w:val="24"/>
              </w:rPr>
              <w:t>Q3 201</w:t>
            </w:r>
            <w:r>
              <w:rPr>
                <w:rFonts w:hint="eastAsia"/>
                <w:sz w:val="24"/>
              </w:rPr>
              <w:t>7</w:t>
            </w:r>
          </w:p>
        </w:tc>
        <w:tc>
          <w:tcPr>
            <w:tcW w:w="2410"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1031BB" w:rsidRDefault="001031BB" w:rsidP="001031BB">
            <w:pPr>
              <w:adjustRightInd w:val="0"/>
              <w:snapToGrid w:val="0"/>
              <w:spacing w:line="360" w:lineRule="auto"/>
              <w:jc w:val="center"/>
              <w:rPr>
                <w:sz w:val="24"/>
              </w:rPr>
            </w:pPr>
            <w:r>
              <w:rPr>
                <w:sz w:val="24"/>
              </w:rPr>
              <w:t>34</w:t>
            </w:r>
            <w:r>
              <w:rPr>
                <w:rFonts w:hint="eastAsia"/>
                <w:sz w:val="24"/>
              </w:rPr>
              <w:t>,</w:t>
            </w:r>
            <w:r>
              <w:rPr>
                <w:sz w:val="24"/>
              </w:rPr>
              <w:t>78</w:t>
            </w:r>
            <w:r>
              <w:rPr>
                <w:rFonts w:hint="eastAsia"/>
                <w:sz w:val="24"/>
              </w:rPr>
              <w:t>2</w:t>
            </w:r>
          </w:p>
        </w:tc>
        <w:tc>
          <w:tcPr>
            <w:tcW w:w="4775"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1031BB" w:rsidRDefault="001031BB" w:rsidP="001031BB">
            <w:pPr>
              <w:adjustRightInd w:val="0"/>
              <w:snapToGrid w:val="0"/>
              <w:spacing w:line="360" w:lineRule="auto"/>
              <w:jc w:val="center"/>
              <w:rPr>
                <w:sz w:val="24"/>
              </w:rPr>
            </w:pPr>
            <w:r>
              <w:rPr>
                <w:sz w:val="24"/>
              </w:rPr>
              <w:t>36</w:t>
            </w:r>
            <w:r>
              <w:rPr>
                <w:rFonts w:hint="eastAsia"/>
                <w:sz w:val="24"/>
              </w:rPr>
              <w:t>,</w:t>
            </w:r>
            <w:r>
              <w:rPr>
                <w:sz w:val="24"/>
              </w:rPr>
              <w:t>54</w:t>
            </w:r>
            <w:r>
              <w:rPr>
                <w:rFonts w:hint="eastAsia"/>
                <w:sz w:val="24"/>
              </w:rPr>
              <w:t>3</w:t>
            </w:r>
            <w:r>
              <w:rPr>
                <w:sz w:val="24"/>
              </w:rPr>
              <w:t>.2</w:t>
            </w:r>
          </w:p>
        </w:tc>
      </w:tr>
    </w:tbl>
    <w:p w:rsidR="001031BB" w:rsidRDefault="001031BB" w:rsidP="001031BB">
      <w:pPr>
        <w:autoSpaceDE w:val="0"/>
        <w:autoSpaceDN w:val="0"/>
        <w:adjustRightInd w:val="0"/>
        <w:snapToGrid w:val="0"/>
        <w:spacing w:line="360" w:lineRule="auto"/>
        <w:rPr>
          <w:sz w:val="24"/>
        </w:rPr>
      </w:pPr>
      <w:r>
        <w:rPr>
          <w:sz w:val="24"/>
        </w:rPr>
        <w:t xml:space="preserve">Source: China Foreign Exchange Trade System. </w:t>
      </w:r>
    </w:p>
    <w:p w:rsidR="001031BB" w:rsidRDefault="001031BB" w:rsidP="001031BB">
      <w:pPr>
        <w:autoSpaceDE w:val="0"/>
        <w:autoSpaceDN w:val="0"/>
        <w:adjustRightInd w:val="0"/>
        <w:snapToGrid w:val="0"/>
        <w:spacing w:line="360" w:lineRule="auto"/>
        <w:rPr>
          <w:sz w:val="24"/>
        </w:rPr>
      </w:pPr>
    </w:p>
    <w:p w:rsidR="001031BB" w:rsidRDefault="001031BB" w:rsidP="001031BB">
      <w:pPr>
        <w:numPr>
          <w:ilvl w:val="0"/>
          <w:numId w:val="7"/>
        </w:numPr>
        <w:autoSpaceDE w:val="0"/>
        <w:autoSpaceDN w:val="0"/>
        <w:adjustRightInd w:val="0"/>
        <w:spacing w:line="360" w:lineRule="auto"/>
        <w:rPr>
          <w:rFonts w:eastAsia="黑体"/>
          <w:b/>
          <w:sz w:val="24"/>
        </w:rPr>
      </w:pPr>
      <w:r>
        <w:rPr>
          <w:rFonts w:eastAsia="黑体"/>
          <w:b/>
          <w:sz w:val="24"/>
        </w:rPr>
        <w:t xml:space="preserve">Bond issuance rates </w:t>
      </w:r>
      <w:r>
        <w:rPr>
          <w:rFonts w:eastAsia="黑体" w:hint="eastAsia"/>
          <w:b/>
          <w:sz w:val="24"/>
        </w:rPr>
        <w:t xml:space="preserve">generally </w:t>
      </w:r>
      <w:r>
        <w:rPr>
          <w:rFonts w:eastAsia="黑体"/>
          <w:b/>
          <w:sz w:val="24"/>
        </w:rPr>
        <w:t xml:space="preserve">declined, </w:t>
      </w:r>
      <w:r>
        <w:rPr>
          <w:rFonts w:eastAsia="黑体" w:hint="eastAsia"/>
          <w:b/>
          <w:sz w:val="24"/>
        </w:rPr>
        <w:t xml:space="preserve">and the government bond </w:t>
      </w:r>
      <w:r>
        <w:rPr>
          <w:rFonts w:eastAsia="黑体"/>
          <w:b/>
          <w:sz w:val="24"/>
        </w:rPr>
        <w:t xml:space="preserve">yield curve </w:t>
      </w:r>
      <w:r>
        <w:rPr>
          <w:rFonts w:eastAsia="黑体" w:hint="eastAsia"/>
          <w:b/>
          <w:sz w:val="24"/>
        </w:rPr>
        <w:t>steepened</w:t>
      </w:r>
    </w:p>
    <w:p w:rsidR="001031BB" w:rsidRDefault="001031BB" w:rsidP="001031BB">
      <w:pPr>
        <w:autoSpaceDE w:val="0"/>
        <w:autoSpaceDN w:val="0"/>
        <w:adjustRightInd w:val="0"/>
        <w:spacing w:line="360" w:lineRule="auto"/>
        <w:rPr>
          <w:sz w:val="24"/>
        </w:rPr>
      </w:pPr>
      <w:r>
        <w:rPr>
          <w:b/>
          <w:sz w:val="24"/>
        </w:rPr>
        <w:t>Government bond</w:t>
      </w:r>
      <w:r>
        <w:rPr>
          <w:rFonts w:hint="eastAsia"/>
          <w:b/>
          <w:sz w:val="24"/>
        </w:rPr>
        <w:t>s</w:t>
      </w:r>
      <w:r>
        <w:rPr>
          <w:b/>
          <w:sz w:val="24"/>
        </w:rPr>
        <w:t xml:space="preserve"> yield</w:t>
      </w:r>
      <w:r>
        <w:rPr>
          <w:rFonts w:hint="eastAsia"/>
          <w:b/>
          <w:sz w:val="24"/>
        </w:rPr>
        <w:t xml:space="preserve"> curve took on a steep trend. </w:t>
      </w:r>
      <w:r>
        <w:rPr>
          <w:sz w:val="24"/>
        </w:rPr>
        <w:t>In</w:t>
      </w:r>
      <w:r>
        <w:rPr>
          <w:rFonts w:hint="eastAsia"/>
          <w:sz w:val="24"/>
        </w:rPr>
        <w:t xml:space="preserve"> </w:t>
      </w:r>
      <w:r>
        <w:rPr>
          <w:sz w:val="24"/>
        </w:rPr>
        <w:t>Q3, government short-term</w:t>
      </w:r>
      <w:r>
        <w:rPr>
          <w:rFonts w:hint="eastAsia"/>
          <w:sz w:val="24"/>
        </w:rPr>
        <w:t xml:space="preserve"> </w:t>
      </w:r>
      <w:r>
        <w:rPr>
          <w:sz w:val="24"/>
        </w:rPr>
        <w:t>bond yield</w:t>
      </w:r>
      <w:r>
        <w:rPr>
          <w:rFonts w:hint="eastAsia"/>
          <w:sz w:val="24"/>
        </w:rPr>
        <w:t>s</w:t>
      </w:r>
      <w:r>
        <w:rPr>
          <w:sz w:val="24"/>
        </w:rPr>
        <w:t xml:space="preserve"> generally</w:t>
      </w:r>
      <w:r>
        <w:rPr>
          <w:rFonts w:hint="eastAsia"/>
          <w:sz w:val="24"/>
        </w:rPr>
        <w:t xml:space="preserve"> declined, while </w:t>
      </w:r>
      <w:r>
        <w:rPr>
          <w:sz w:val="24"/>
        </w:rPr>
        <w:t xml:space="preserve">long-term </w:t>
      </w:r>
      <w:r>
        <w:rPr>
          <w:rFonts w:hint="eastAsia"/>
          <w:sz w:val="24"/>
        </w:rPr>
        <w:t>bond</w:t>
      </w:r>
      <w:r>
        <w:rPr>
          <w:sz w:val="24"/>
        </w:rPr>
        <w:t xml:space="preserve"> yields</w:t>
      </w:r>
      <w:r>
        <w:rPr>
          <w:rFonts w:hint="eastAsia"/>
          <w:sz w:val="24"/>
        </w:rPr>
        <w:t xml:space="preserve"> generally moved up</w:t>
      </w:r>
      <w:r>
        <w:rPr>
          <w:sz w:val="24"/>
        </w:rPr>
        <w:t>. At end-</w:t>
      </w:r>
      <w:r>
        <w:rPr>
          <w:rFonts w:hint="eastAsia"/>
          <w:sz w:val="24"/>
        </w:rPr>
        <w:t>September,</w:t>
      </w:r>
      <w:r>
        <w:rPr>
          <w:sz w:val="24"/>
        </w:rPr>
        <w:t xml:space="preserve"> the yield of 1-year</w:t>
      </w:r>
      <w:r>
        <w:rPr>
          <w:rFonts w:hint="eastAsia"/>
          <w:sz w:val="24"/>
        </w:rPr>
        <w:t xml:space="preserve"> and</w:t>
      </w:r>
      <w:r>
        <w:rPr>
          <w:sz w:val="24"/>
        </w:rPr>
        <w:t xml:space="preserve"> </w:t>
      </w:r>
      <w:r>
        <w:rPr>
          <w:rFonts w:hint="eastAsia"/>
          <w:sz w:val="24"/>
        </w:rPr>
        <w:t>3</w:t>
      </w:r>
      <w:r>
        <w:rPr>
          <w:sz w:val="24"/>
        </w:rPr>
        <w:t xml:space="preserve">-year government bonds posted </w:t>
      </w:r>
      <w:r>
        <w:rPr>
          <w:rFonts w:hint="eastAsia"/>
          <w:sz w:val="24"/>
        </w:rPr>
        <w:t xml:space="preserve">2.97 </w:t>
      </w:r>
      <w:r>
        <w:rPr>
          <w:sz w:val="24"/>
        </w:rPr>
        <w:t>percent</w:t>
      </w:r>
      <w:r>
        <w:rPr>
          <w:rFonts w:hint="eastAsia"/>
          <w:sz w:val="24"/>
        </w:rPr>
        <w:t xml:space="preserve"> and</w:t>
      </w:r>
      <w:r>
        <w:rPr>
          <w:sz w:val="24"/>
        </w:rPr>
        <w:t xml:space="preserve"> 3.</w:t>
      </w:r>
      <w:r>
        <w:rPr>
          <w:rFonts w:hint="eastAsia"/>
          <w:sz w:val="24"/>
        </w:rPr>
        <w:t>28</w:t>
      </w:r>
      <w:r>
        <w:rPr>
          <w:sz w:val="24"/>
        </w:rPr>
        <w:t xml:space="preserve"> percent respectively, down </w:t>
      </w:r>
      <w:r>
        <w:rPr>
          <w:rFonts w:hint="eastAsia"/>
          <w:sz w:val="24"/>
        </w:rPr>
        <w:t>19</w:t>
      </w:r>
      <w:r>
        <w:rPr>
          <w:sz w:val="24"/>
        </w:rPr>
        <w:t xml:space="preserve"> basis point</w:t>
      </w:r>
      <w:r>
        <w:rPr>
          <w:rFonts w:hint="eastAsia"/>
          <w:sz w:val="24"/>
        </w:rPr>
        <w:t xml:space="preserve">s and 3 </w:t>
      </w:r>
      <w:r>
        <w:rPr>
          <w:sz w:val="24"/>
        </w:rPr>
        <w:t>basis points</w:t>
      </w:r>
      <w:r>
        <w:rPr>
          <w:rFonts w:hint="eastAsia"/>
          <w:sz w:val="24"/>
        </w:rPr>
        <w:t xml:space="preserve"> </w:t>
      </w:r>
      <w:r>
        <w:rPr>
          <w:sz w:val="24"/>
        </w:rPr>
        <w:t xml:space="preserve">from </w:t>
      </w:r>
      <w:r>
        <w:rPr>
          <w:rFonts w:hint="eastAsia"/>
          <w:sz w:val="24"/>
        </w:rPr>
        <w:t>end-June</w:t>
      </w:r>
      <w:r>
        <w:rPr>
          <w:sz w:val="24"/>
        </w:rPr>
        <w:t xml:space="preserve">. The yields of </w:t>
      </w:r>
      <w:r>
        <w:rPr>
          <w:rFonts w:hint="eastAsia"/>
          <w:sz w:val="24"/>
        </w:rPr>
        <w:t>5</w:t>
      </w:r>
      <w:r>
        <w:rPr>
          <w:sz w:val="24"/>
        </w:rPr>
        <w:t>-year</w:t>
      </w:r>
      <w:r>
        <w:rPr>
          <w:rFonts w:hint="eastAsia"/>
          <w:sz w:val="24"/>
        </w:rPr>
        <w:t>, 7-yea</w:t>
      </w:r>
      <w:r>
        <w:rPr>
          <w:sz w:val="24"/>
        </w:rPr>
        <w:t xml:space="preserve">r </w:t>
      </w:r>
      <w:r>
        <w:rPr>
          <w:rFonts w:hint="eastAsia"/>
          <w:sz w:val="24"/>
        </w:rPr>
        <w:t>and</w:t>
      </w:r>
      <w:r>
        <w:rPr>
          <w:sz w:val="24"/>
        </w:rPr>
        <w:t xml:space="preserve"> </w:t>
      </w:r>
      <w:r>
        <w:rPr>
          <w:rFonts w:hint="eastAsia"/>
          <w:sz w:val="24"/>
        </w:rPr>
        <w:t>10</w:t>
      </w:r>
      <w:r>
        <w:rPr>
          <w:sz w:val="24"/>
        </w:rPr>
        <w:t xml:space="preserve">-year government bonds posted </w:t>
      </w:r>
      <w:r>
        <w:rPr>
          <w:rFonts w:hint="eastAsia"/>
          <w:sz w:val="24"/>
        </w:rPr>
        <w:t xml:space="preserve">3.46 </w:t>
      </w:r>
      <w:r>
        <w:rPr>
          <w:sz w:val="24"/>
        </w:rPr>
        <w:t>percent</w:t>
      </w:r>
      <w:r>
        <w:rPr>
          <w:rFonts w:hint="eastAsia"/>
          <w:sz w:val="24"/>
        </w:rPr>
        <w:t>, 3.62 percent</w:t>
      </w:r>
      <w:r>
        <w:rPr>
          <w:sz w:val="24"/>
        </w:rPr>
        <w:t>,</w:t>
      </w:r>
      <w:r>
        <w:rPr>
          <w:rFonts w:hint="eastAsia"/>
          <w:sz w:val="24"/>
        </w:rPr>
        <w:t xml:space="preserve"> and</w:t>
      </w:r>
      <w:r>
        <w:rPr>
          <w:sz w:val="24"/>
        </w:rPr>
        <w:t xml:space="preserve"> 3.</w:t>
      </w:r>
      <w:r>
        <w:rPr>
          <w:rFonts w:hint="eastAsia"/>
          <w:sz w:val="24"/>
        </w:rPr>
        <w:t>61</w:t>
      </w:r>
      <w:r>
        <w:rPr>
          <w:sz w:val="24"/>
        </w:rPr>
        <w:t xml:space="preserve"> percent respectively, down</w:t>
      </w:r>
      <w:r>
        <w:rPr>
          <w:rFonts w:hint="eastAsia"/>
          <w:sz w:val="24"/>
        </w:rPr>
        <w:t xml:space="preserve"> 11</w:t>
      </w:r>
      <w:r>
        <w:rPr>
          <w:sz w:val="24"/>
        </w:rPr>
        <w:t xml:space="preserve"> basis point</w:t>
      </w:r>
      <w:r>
        <w:rPr>
          <w:rFonts w:hint="eastAsia"/>
          <w:sz w:val="24"/>
        </w:rPr>
        <w:t xml:space="preserve">s, 13 </w:t>
      </w:r>
      <w:r>
        <w:rPr>
          <w:sz w:val="24"/>
        </w:rPr>
        <w:t>basis points,</w:t>
      </w:r>
      <w:r>
        <w:rPr>
          <w:rFonts w:hint="eastAsia"/>
          <w:sz w:val="24"/>
        </w:rPr>
        <w:t xml:space="preserve"> and 13 basis points </w:t>
      </w:r>
      <w:r>
        <w:rPr>
          <w:sz w:val="24"/>
        </w:rPr>
        <w:t xml:space="preserve">respectively from </w:t>
      </w:r>
      <w:r>
        <w:rPr>
          <w:rFonts w:hint="eastAsia"/>
          <w:sz w:val="24"/>
        </w:rPr>
        <w:t>end-June</w:t>
      </w:r>
      <w:r>
        <w:rPr>
          <w:sz w:val="24"/>
        </w:rPr>
        <w:t>.</w:t>
      </w:r>
      <w:r>
        <w:rPr>
          <w:rFonts w:hint="eastAsia"/>
          <w:sz w:val="24"/>
        </w:rPr>
        <w:t xml:space="preserve"> </w:t>
      </w:r>
      <w:r>
        <w:rPr>
          <w:sz w:val="24"/>
        </w:rPr>
        <w:t>The spread between 1-year and 10-year government bonds</w:t>
      </w:r>
      <w:r>
        <w:rPr>
          <w:rFonts w:hint="eastAsia"/>
          <w:sz w:val="24"/>
        </w:rPr>
        <w:t xml:space="preserve"> was 64</w:t>
      </w:r>
      <w:r>
        <w:rPr>
          <w:sz w:val="24"/>
        </w:rPr>
        <w:t xml:space="preserve"> basis points</w:t>
      </w:r>
      <w:r>
        <w:rPr>
          <w:rFonts w:hint="eastAsia"/>
          <w:sz w:val="24"/>
        </w:rPr>
        <w:t>, an increase of 33 basis points</w:t>
      </w:r>
      <w:r>
        <w:rPr>
          <w:sz w:val="24"/>
        </w:rPr>
        <w:t xml:space="preserve"> </w:t>
      </w:r>
      <w:r>
        <w:rPr>
          <w:rFonts w:hint="eastAsia"/>
          <w:sz w:val="24"/>
        </w:rPr>
        <w:t>from end-June</w:t>
      </w:r>
      <w:r>
        <w:rPr>
          <w:sz w:val="24"/>
        </w:rPr>
        <w:t>. The bond indices</w:t>
      </w:r>
      <w:r>
        <w:rPr>
          <w:rFonts w:hint="eastAsia"/>
          <w:sz w:val="24"/>
        </w:rPr>
        <w:t xml:space="preserve"> edged up</w:t>
      </w:r>
      <w:r>
        <w:rPr>
          <w:sz w:val="24"/>
        </w:rPr>
        <w:t xml:space="preserve"> </w:t>
      </w:r>
      <w:r>
        <w:rPr>
          <w:rFonts w:hint="eastAsia"/>
          <w:sz w:val="24"/>
        </w:rPr>
        <w:t>slightly.</w:t>
      </w:r>
      <w:r>
        <w:rPr>
          <w:sz w:val="24"/>
        </w:rPr>
        <w:t xml:space="preserve"> The China Bond Composite Index (net price) </w:t>
      </w:r>
      <w:r>
        <w:rPr>
          <w:rFonts w:hint="eastAsia"/>
          <w:sz w:val="24"/>
        </w:rPr>
        <w:t xml:space="preserve">was up </w:t>
      </w:r>
      <w:r>
        <w:rPr>
          <w:sz w:val="24"/>
        </w:rPr>
        <w:t>from 9</w:t>
      </w:r>
      <w:r>
        <w:rPr>
          <w:rFonts w:hint="eastAsia"/>
          <w:sz w:val="24"/>
        </w:rPr>
        <w:t>9.78</w:t>
      </w:r>
      <w:r>
        <w:rPr>
          <w:sz w:val="24"/>
        </w:rPr>
        <w:t xml:space="preserve"> points at end</w:t>
      </w:r>
      <w:r>
        <w:rPr>
          <w:rFonts w:hint="eastAsia"/>
          <w:sz w:val="24"/>
        </w:rPr>
        <w:t>-June</w:t>
      </w:r>
      <w:r>
        <w:rPr>
          <w:sz w:val="24"/>
        </w:rPr>
        <w:t xml:space="preserve"> to </w:t>
      </w:r>
      <w:r>
        <w:rPr>
          <w:rFonts w:hint="eastAsia"/>
          <w:sz w:val="24"/>
        </w:rPr>
        <w:t xml:space="preserve">100.24 </w:t>
      </w:r>
      <w:r>
        <w:rPr>
          <w:sz w:val="24"/>
        </w:rPr>
        <w:t>points at end-</w:t>
      </w:r>
      <w:r>
        <w:rPr>
          <w:rFonts w:hint="eastAsia"/>
          <w:sz w:val="24"/>
        </w:rPr>
        <w:t>September,</w:t>
      </w:r>
      <w:r>
        <w:rPr>
          <w:sz w:val="24"/>
        </w:rPr>
        <w:t xml:space="preserve"> an increase of </w:t>
      </w:r>
      <w:r>
        <w:rPr>
          <w:rFonts w:hint="eastAsia"/>
          <w:sz w:val="24"/>
        </w:rPr>
        <w:t>0.46</w:t>
      </w:r>
      <w:r>
        <w:rPr>
          <w:sz w:val="24"/>
        </w:rPr>
        <w:t xml:space="preserve"> percent. The China Bond Composite Index (full price) rose from </w:t>
      </w:r>
      <w:r>
        <w:rPr>
          <w:rFonts w:hint="eastAsia"/>
          <w:sz w:val="24"/>
        </w:rPr>
        <w:t>115.82</w:t>
      </w:r>
      <w:r>
        <w:rPr>
          <w:sz w:val="24"/>
        </w:rPr>
        <w:t xml:space="preserve"> points at end</w:t>
      </w:r>
      <w:r>
        <w:rPr>
          <w:rFonts w:hint="eastAsia"/>
          <w:sz w:val="24"/>
        </w:rPr>
        <w:t xml:space="preserve">-June </w:t>
      </w:r>
      <w:r>
        <w:rPr>
          <w:sz w:val="24"/>
        </w:rPr>
        <w:t xml:space="preserve">to </w:t>
      </w:r>
      <w:r>
        <w:rPr>
          <w:rFonts w:hint="eastAsia"/>
          <w:sz w:val="24"/>
        </w:rPr>
        <w:t>116.48</w:t>
      </w:r>
      <w:r>
        <w:rPr>
          <w:sz w:val="24"/>
        </w:rPr>
        <w:t xml:space="preserve"> points at end-</w:t>
      </w:r>
      <w:r>
        <w:rPr>
          <w:rFonts w:hint="eastAsia"/>
          <w:sz w:val="24"/>
        </w:rPr>
        <w:t>September</w:t>
      </w:r>
      <w:r>
        <w:rPr>
          <w:sz w:val="24"/>
        </w:rPr>
        <w:t>,</w:t>
      </w:r>
      <w:r>
        <w:rPr>
          <w:rFonts w:hint="eastAsia"/>
          <w:sz w:val="24"/>
        </w:rPr>
        <w:t xml:space="preserve"> registering</w:t>
      </w:r>
      <w:r>
        <w:rPr>
          <w:sz w:val="24"/>
        </w:rPr>
        <w:t xml:space="preserve"> an increase of</w:t>
      </w:r>
      <w:r>
        <w:rPr>
          <w:rFonts w:hint="eastAsia"/>
          <w:sz w:val="24"/>
        </w:rPr>
        <w:t xml:space="preserve"> 0.57</w:t>
      </w:r>
      <w:r>
        <w:rPr>
          <w:sz w:val="24"/>
        </w:rPr>
        <w:t xml:space="preserve"> percent. The Shanghai Securities Exchange T-Bond Index increased from 165</w:t>
      </w:r>
      <w:r>
        <w:rPr>
          <w:rFonts w:hint="eastAsia"/>
          <w:sz w:val="24"/>
        </w:rPr>
        <w:t>.44</w:t>
      </w:r>
      <w:r>
        <w:rPr>
          <w:sz w:val="24"/>
        </w:rPr>
        <w:t xml:space="preserve"> points at</w:t>
      </w:r>
      <w:r>
        <w:rPr>
          <w:rFonts w:hint="eastAsia"/>
          <w:sz w:val="24"/>
        </w:rPr>
        <w:t xml:space="preserve"> </w:t>
      </w:r>
      <w:r>
        <w:rPr>
          <w:sz w:val="24"/>
        </w:rPr>
        <w:t>end</w:t>
      </w:r>
      <w:r>
        <w:rPr>
          <w:rFonts w:hint="eastAsia"/>
          <w:sz w:val="24"/>
        </w:rPr>
        <w:t>-June</w:t>
      </w:r>
      <w:r>
        <w:rPr>
          <w:sz w:val="24"/>
        </w:rPr>
        <w:t xml:space="preserve"> to 16</w:t>
      </w:r>
      <w:r>
        <w:rPr>
          <w:rFonts w:hint="eastAsia"/>
          <w:sz w:val="24"/>
        </w:rPr>
        <w:t>6.92</w:t>
      </w:r>
      <w:r>
        <w:rPr>
          <w:sz w:val="24"/>
        </w:rPr>
        <w:t xml:space="preserve"> points at end</w:t>
      </w:r>
      <w:r>
        <w:rPr>
          <w:rFonts w:hint="eastAsia"/>
          <w:sz w:val="24"/>
        </w:rPr>
        <w:t>-</w:t>
      </w:r>
      <w:r>
        <w:rPr>
          <w:sz w:val="24"/>
        </w:rPr>
        <w:t>September</w:t>
      </w:r>
      <w:r>
        <w:rPr>
          <w:rFonts w:hint="eastAsia"/>
          <w:sz w:val="24"/>
        </w:rPr>
        <w:t xml:space="preserve"> 2018</w:t>
      </w:r>
      <w:r>
        <w:rPr>
          <w:sz w:val="24"/>
        </w:rPr>
        <w:t>,</w:t>
      </w:r>
      <w:r>
        <w:rPr>
          <w:rFonts w:hint="eastAsia"/>
          <w:sz w:val="24"/>
        </w:rPr>
        <w:t xml:space="preserve"> </w:t>
      </w:r>
      <w:r>
        <w:rPr>
          <w:sz w:val="24"/>
        </w:rPr>
        <w:t xml:space="preserve">an increase of </w:t>
      </w:r>
      <w:r>
        <w:rPr>
          <w:rFonts w:hint="eastAsia"/>
          <w:sz w:val="24"/>
        </w:rPr>
        <w:t>0.89</w:t>
      </w:r>
      <w:r>
        <w:rPr>
          <w:sz w:val="24"/>
        </w:rPr>
        <w:t xml:space="preserve"> percent.</w:t>
      </w:r>
    </w:p>
    <w:p w:rsidR="00EE3C76" w:rsidRPr="00EE3C76" w:rsidRDefault="00EE3C76" w:rsidP="00EE3C76">
      <w:pPr>
        <w:keepNext/>
        <w:autoSpaceDN w:val="0"/>
        <w:snapToGrid w:val="0"/>
        <w:spacing w:line="360" w:lineRule="auto"/>
        <w:ind w:firstLineChars="250" w:firstLine="602"/>
        <w:jc w:val="center"/>
        <w:rPr>
          <w:b/>
          <w:sz w:val="24"/>
        </w:rPr>
      </w:pPr>
      <w:bookmarkStart w:id="69" w:name="_Toc532202352"/>
      <w:r w:rsidRPr="00EE3C76">
        <w:rPr>
          <w:b/>
          <w:sz w:val="24"/>
        </w:rPr>
        <w:lastRenderedPageBreak/>
        <w:t xml:space="preserve">Figure </w:t>
      </w:r>
      <w:r w:rsidR="002447A7" w:rsidRPr="00EE3C76">
        <w:rPr>
          <w:b/>
          <w:sz w:val="24"/>
        </w:rPr>
        <w:fldChar w:fldCharType="begin"/>
      </w:r>
      <w:r w:rsidRPr="00EE3C76">
        <w:rPr>
          <w:b/>
          <w:sz w:val="24"/>
        </w:rPr>
        <w:instrText xml:space="preserve"> SEQ Figure \* ARABIC </w:instrText>
      </w:r>
      <w:r w:rsidR="002447A7" w:rsidRPr="00EE3C76">
        <w:rPr>
          <w:b/>
          <w:sz w:val="24"/>
        </w:rPr>
        <w:fldChar w:fldCharType="separate"/>
      </w:r>
      <w:r w:rsidR="00EC1136">
        <w:rPr>
          <w:b/>
          <w:noProof/>
          <w:sz w:val="24"/>
        </w:rPr>
        <w:t>4</w:t>
      </w:r>
      <w:r w:rsidR="002447A7" w:rsidRPr="00EE3C76">
        <w:rPr>
          <w:b/>
          <w:sz w:val="24"/>
        </w:rPr>
        <w:fldChar w:fldCharType="end"/>
      </w:r>
      <w:r>
        <w:rPr>
          <w:b/>
          <w:sz w:val="24"/>
        </w:rPr>
        <w:t xml:space="preserve"> Yield Curve of Government Securities on the Interbank Market</w:t>
      </w:r>
      <w:bookmarkEnd w:id="69"/>
    </w:p>
    <w:p w:rsidR="001031BB" w:rsidRDefault="001031BB" w:rsidP="001031BB">
      <w:pPr>
        <w:autoSpaceDE w:val="0"/>
        <w:autoSpaceDN w:val="0"/>
        <w:adjustRightInd w:val="0"/>
        <w:snapToGrid w:val="0"/>
        <w:spacing w:line="360" w:lineRule="auto"/>
        <w:rPr>
          <w:sz w:val="24"/>
        </w:rPr>
      </w:pPr>
      <w:r>
        <w:rPr>
          <w:noProof/>
        </w:rPr>
        <w:drawing>
          <wp:inline distT="0" distB="0" distL="114300" distR="114300">
            <wp:extent cx="5457825" cy="2426970"/>
            <wp:effectExtent l="0" t="0" r="0" b="0"/>
            <wp:docPr id="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031BB" w:rsidRDefault="001031BB" w:rsidP="001031BB">
      <w:pPr>
        <w:autoSpaceDE w:val="0"/>
        <w:autoSpaceDN w:val="0"/>
        <w:adjustRightInd w:val="0"/>
        <w:snapToGrid w:val="0"/>
        <w:spacing w:line="360" w:lineRule="auto"/>
        <w:rPr>
          <w:sz w:val="24"/>
        </w:rPr>
      </w:pPr>
      <w:r>
        <w:rPr>
          <w:sz w:val="24"/>
        </w:rPr>
        <w:t>Source: China Central Depository &amp; Clearing Co., Ltd.</w:t>
      </w:r>
    </w:p>
    <w:p w:rsidR="001031BB" w:rsidRDefault="001031BB" w:rsidP="001031BB">
      <w:pPr>
        <w:autoSpaceDE w:val="0"/>
        <w:autoSpaceDN w:val="0"/>
        <w:adjustRightInd w:val="0"/>
        <w:snapToGrid w:val="0"/>
        <w:spacing w:line="360" w:lineRule="auto"/>
        <w:rPr>
          <w:sz w:val="24"/>
        </w:rPr>
      </w:pPr>
    </w:p>
    <w:p w:rsidR="001031BB" w:rsidRDefault="001031BB" w:rsidP="001031BB">
      <w:pPr>
        <w:spacing w:line="360" w:lineRule="auto"/>
        <w:rPr>
          <w:sz w:val="24"/>
        </w:rPr>
      </w:pPr>
      <w:bookmarkStart w:id="70" w:name="_Toc498108835"/>
      <w:bookmarkStart w:id="71" w:name="_Toc458009417"/>
      <w:r>
        <w:rPr>
          <w:b/>
          <w:sz w:val="24"/>
        </w:rPr>
        <w:t xml:space="preserve">In general, bond </w:t>
      </w:r>
      <w:r>
        <w:rPr>
          <w:rFonts w:hint="eastAsia"/>
          <w:b/>
          <w:sz w:val="24"/>
        </w:rPr>
        <w:t>issuance</w:t>
      </w:r>
      <w:r>
        <w:rPr>
          <w:b/>
          <w:sz w:val="24"/>
        </w:rPr>
        <w:t xml:space="preserve"> rates </w:t>
      </w:r>
      <w:r>
        <w:rPr>
          <w:rFonts w:hint="eastAsia"/>
          <w:b/>
          <w:sz w:val="24"/>
        </w:rPr>
        <w:t xml:space="preserve">generally </w:t>
      </w:r>
      <w:r>
        <w:rPr>
          <w:b/>
          <w:sz w:val="24"/>
        </w:rPr>
        <w:t>declined.</w:t>
      </w:r>
      <w:r>
        <w:rPr>
          <w:rFonts w:hint="eastAsia"/>
          <w:sz w:val="24"/>
        </w:rPr>
        <w:t xml:space="preserve"> In September, t</w:t>
      </w:r>
      <w:r>
        <w:rPr>
          <w:sz w:val="24"/>
        </w:rPr>
        <w:t>he 10-year bond issuance rate was 3.</w:t>
      </w:r>
      <w:r>
        <w:rPr>
          <w:rFonts w:hint="eastAsia"/>
          <w:sz w:val="24"/>
        </w:rPr>
        <w:t xml:space="preserve">54 </w:t>
      </w:r>
      <w:r>
        <w:rPr>
          <w:sz w:val="24"/>
        </w:rPr>
        <w:t>percent, a</w:t>
      </w:r>
      <w:r>
        <w:rPr>
          <w:rFonts w:hint="eastAsia"/>
          <w:sz w:val="24"/>
        </w:rPr>
        <w:t xml:space="preserve"> decline</w:t>
      </w:r>
      <w:r>
        <w:rPr>
          <w:sz w:val="24"/>
        </w:rPr>
        <w:t xml:space="preserve"> of </w:t>
      </w:r>
      <w:r>
        <w:rPr>
          <w:rFonts w:hint="eastAsia"/>
          <w:sz w:val="24"/>
        </w:rPr>
        <w:t>15</w:t>
      </w:r>
      <w:r>
        <w:rPr>
          <w:sz w:val="24"/>
        </w:rPr>
        <w:t xml:space="preserve"> basis points from those of the same maturity issued in </w:t>
      </w:r>
      <w:r>
        <w:rPr>
          <w:rFonts w:hint="eastAsia"/>
          <w:sz w:val="24"/>
        </w:rPr>
        <w:t>June</w:t>
      </w:r>
      <w:r>
        <w:rPr>
          <w:sz w:val="24"/>
        </w:rPr>
        <w:t xml:space="preserve">. The rate of </w:t>
      </w:r>
      <w:r>
        <w:rPr>
          <w:rFonts w:hint="eastAsia"/>
          <w:sz w:val="24"/>
        </w:rPr>
        <w:t>10</w:t>
      </w:r>
      <w:r>
        <w:rPr>
          <w:sz w:val="24"/>
        </w:rPr>
        <w:t>-year financial bonds issued by the China Development Bank was 4.</w:t>
      </w:r>
      <w:r>
        <w:rPr>
          <w:rFonts w:hint="eastAsia"/>
          <w:sz w:val="24"/>
        </w:rPr>
        <w:t>16</w:t>
      </w:r>
      <w:r>
        <w:rPr>
          <w:sz w:val="24"/>
        </w:rPr>
        <w:t xml:space="preserve"> percent, a </w:t>
      </w:r>
      <w:r>
        <w:rPr>
          <w:rFonts w:hint="eastAsia"/>
          <w:sz w:val="24"/>
        </w:rPr>
        <w:t>fall</w:t>
      </w:r>
      <w:r>
        <w:rPr>
          <w:sz w:val="24"/>
        </w:rPr>
        <w:t xml:space="preserve"> of </w:t>
      </w:r>
      <w:r>
        <w:rPr>
          <w:rFonts w:hint="eastAsia"/>
          <w:sz w:val="24"/>
        </w:rPr>
        <w:t>9</w:t>
      </w:r>
      <w:r>
        <w:rPr>
          <w:sz w:val="24"/>
        </w:rPr>
        <w:t xml:space="preserve"> basis points from those of the same maturity issued in </w:t>
      </w:r>
      <w:r>
        <w:rPr>
          <w:rFonts w:hint="eastAsia"/>
          <w:sz w:val="24"/>
        </w:rPr>
        <w:t>June</w:t>
      </w:r>
      <w:r>
        <w:rPr>
          <w:sz w:val="24"/>
        </w:rPr>
        <w:t xml:space="preserve">. The average rate of 1-year short-term financing bills (rated A-1) issued by AAA-rated enterprises was </w:t>
      </w:r>
      <w:r>
        <w:rPr>
          <w:rFonts w:hint="eastAsia"/>
          <w:sz w:val="24"/>
        </w:rPr>
        <w:t>4.41</w:t>
      </w:r>
      <w:r>
        <w:rPr>
          <w:sz w:val="24"/>
        </w:rPr>
        <w:t xml:space="preserve"> percent, </w:t>
      </w:r>
      <w:r>
        <w:rPr>
          <w:rFonts w:hint="eastAsia"/>
          <w:sz w:val="24"/>
        </w:rPr>
        <w:t>75</w:t>
      </w:r>
      <w:r>
        <w:rPr>
          <w:sz w:val="24"/>
        </w:rPr>
        <w:t xml:space="preserve"> basis points lower than those of the same maturity issued in </w:t>
      </w:r>
      <w:r>
        <w:rPr>
          <w:rFonts w:hint="eastAsia"/>
          <w:sz w:val="24"/>
        </w:rPr>
        <w:t>June</w:t>
      </w:r>
      <w:r>
        <w:rPr>
          <w:sz w:val="24"/>
        </w:rPr>
        <w:t xml:space="preserve">. The average coupon rate of 5-year medium-term notes was </w:t>
      </w:r>
      <w:r>
        <w:rPr>
          <w:rFonts w:hint="eastAsia"/>
          <w:sz w:val="24"/>
        </w:rPr>
        <w:t xml:space="preserve">5.89 </w:t>
      </w:r>
      <w:r>
        <w:rPr>
          <w:sz w:val="24"/>
        </w:rPr>
        <w:t>percent, a</w:t>
      </w:r>
      <w:r>
        <w:rPr>
          <w:rFonts w:hint="eastAsia"/>
          <w:sz w:val="24"/>
        </w:rPr>
        <w:t xml:space="preserve"> de</w:t>
      </w:r>
      <w:r>
        <w:rPr>
          <w:sz w:val="24"/>
        </w:rPr>
        <w:t xml:space="preserve">crease of </w:t>
      </w:r>
      <w:r>
        <w:rPr>
          <w:rFonts w:hint="eastAsia"/>
          <w:sz w:val="24"/>
        </w:rPr>
        <w:t>44</w:t>
      </w:r>
      <w:r>
        <w:rPr>
          <w:sz w:val="24"/>
        </w:rPr>
        <w:t xml:space="preserve"> basis points from </w:t>
      </w:r>
      <w:r>
        <w:rPr>
          <w:rFonts w:hint="eastAsia"/>
          <w:sz w:val="24"/>
        </w:rPr>
        <w:t>June.</w:t>
      </w:r>
      <w:r>
        <w:rPr>
          <w:sz w:val="24"/>
        </w:rPr>
        <w:t xml:space="preserve"> </w:t>
      </w:r>
      <w:r>
        <w:rPr>
          <w:rFonts w:hint="eastAsia"/>
          <w:sz w:val="24"/>
        </w:rPr>
        <w:t xml:space="preserve">The </w:t>
      </w:r>
      <w:r>
        <w:rPr>
          <w:sz w:val="24"/>
        </w:rPr>
        <w:t xml:space="preserve">Shibor continued to serve as an important benchmark rate for </w:t>
      </w:r>
      <w:r>
        <w:rPr>
          <w:rFonts w:hint="eastAsia"/>
          <w:sz w:val="24"/>
        </w:rPr>
        <w:t>bond</w:t>
      </w:r>
      <w:r>
        <w:rPr>
          <w:sz w:val="24"/>
        </w:rPr>
        <w:t xml:space="preserve"> pricing. In</w:t>
      </w:r>
      <w:r>
        <w:rPr>
          <w:rFonts w:hint="eastAsia"/>
          <w:sz w:val="24"/>
        </w:rPr>
        <w:t xml:space="preserve"> </w:t>
      </w:r>
      <w:r>
        <w:rPr>
          <w:sz w:val="24"/>
        </w:rPr>
        <w:t xml:space="preserve">Q3, a total of </w:t>
      </w:r>
      <w:r>
        <w:rPr>
          <w:rFonts w:hint="eastAsia"/>
          <w:sz w:val="24"/>
        </w:rPr>
        <w:t>14</w:t>
      </w:r>
      <w:r>
        <w:rPr>
          <w:sz w:val="24"/>
        </w:rPr>
        <w:t xml:space="preserve"> floating-rate bonds and interbank certificates of deposit w</w:t>
      </w:r>
      <w:r>
        <w:rPr>
          <w:rFonts w:hint="eastAsia"/>
          <w:sz w:val="24"/>
        </w:rPr>
        <w:t>as</w:t>
      </w:r>
      <w:r>
        <w:rPr>
          <w:sz w:val="24"/>
        </w:rPr>
        <w:t xml:space="preserve"> issued based on the Shibor, with a gross issuance volume of RMB </w:t>
      </w:r>
      <w:r>
        <w:rPr>
          <w:rFonts w:hint="eastAsia"/>
          <w:sz w:val="24"/>
        </w:rPr>
        <w:t>5.18</w:t>
      </w:r>
      <w:r>
        <w:rPr>
          <w:sz w:val="24"/>
        </w:rPr>
        <w:t xml:space="preserve"> billion.</w:t>
      </w:r>
      <w:r>
        <w:rPr>
          <w:rFonts w:hint="eastAsia"/>
          <w:sz w:val="24"/>
        </w:rPr>
        <w:t xml:space="preserve"> A total of</w:t>
      </w:r>
      <w:r>
        <w:rPr>
          <w:sz w:val="24"/>
        </w:rPr>
        <w:t xml:space="preserve"> </w:t>
      </w:r>
      <w:r>
        <w:rPr>
          <w:rFonts w:hint="eastAsia"/>
          <w:sz w:val="24"/>
        </w:rPr>
        <w:t>55</w:t>
      </w:r>
      <w:r>
        <w:rPr>
          <w:sz w:val="24"/>
        </w:rPr>
        <w:t xml:space="preserve"> fixed-rate enterprise bonds was issued, with a gross issuance volume of RMB</w:t>
      </w:r>
      <w:r>
        <w:rPr>
          <w:rFonts w:hint="eastAsia"/>
          <w:sz w:val="24"/>
        </w:rPr>
        <w:t xml:space="preserve"> 46.52 </w:t>
      </w:r>
      <w:r>
        <w:rPr>
          <w:sz w:val="24"/>
        </w:rPr>
        <w:t>billion</w:t>
      </w:r>
      <w:r>
        <w:rPr>
          <w:rFonts w:hint="eastAsia"/>
          <w:sz w:val="24"/>
        </w:rPr>
        <w:t>,</w:t>
      </w:r>
      <w:r>
        <w:rPr>
          <w:sz w:val="24"/>
        </w:rPr>
        <w:t xml:space="preserve"> all based on the Shibor. A total of RMB </w:t>
      </w:r>
      <w:r>
        <w:rPr>
          <w:rFonts w:hint="eastAsia"/>
          <w:sz w:val="24"/>
        </w:rPr>
        <w:t>107.86</w:t>
      </w:r>
      <w:r>
        <w:rPr>
          <w:sz w:val="24"/>
        </w:rPr>
        <w:t xml:space="preserve"> billion of fixed-rate short-term financing bills was issued based on the Shibor, accounting for </w:t>
      </w:r>
      <w:r>
        <w:rPr>
          <w:rFonts w:hint="eastAsia"/>
          <w:sz w:val="24"/>
        </w:rPr>
        <w:t>66.2</w:t>
      </w:r>
      <w:r>
        <w:rPr>
          <w:sz w:val="24"/>
        </w:rPr>
        <w:t xml:space="preserve"> percent of all fixed-rate short-term financing bills.</w:t>
      </w:r>
    </w:p>
    <w:p w:rsidR="001031BB" w:rsidRDefault="001031BB" w:rsidP="001031BB">
      <w:pPr>
        <w:spacing w:line="360" w:lineRule="auto"/>
        <w:rPr>
          <w:sz w:val="24"/>
        </w:rPr>
      </w:pPr>
    </w:p>
    <w:p w:rsidR="001031BB" w:rsidRDefault="001031BB" w:rsidP="001031BB">
      <w:pPr>
        <w:spacing w:line="360" w:lineRule="auto"/>
        <w:rPr>
          <w:sz w:val="24"/>
        </w:rPr>
      </w:pPr>
      <w:r>
        <w:rPr>
          <w:b/>
          <w:sz w:val="24"/>
        </w:rPr>
        <w:t xml:space="preserve">Spot bond trading on the interbank market was </w:t>
      </w:r>
      <w:r>
        <w:rPr>
          <w:rFonts w:hint="eastAsia"/>
          <w:b/>
          <w:sz w:val="24"/>
        </w:rPr>
        <w:t>brisk</w:t>
      </w:r>
      <w:r>
        <w:rPr>
          <w:b/>
          <w:sz w:val="24"/>
        </w:rPr>
        <w:t>.</w:t>
      </w:r>
      <w:r>
        <w:rPr>
          <w:sz w:val="24"/>
        </w:rPr>
        <w:t xml:space="preserve"> During </w:t>
      </w:r>
      <w:r>
        <w:rPr>
          <w:rFonts w:hint="eastAsia"/>
          <w:sz w:val="24"/>
        </w:rPr>
        <w:t>the first three quarters</w:t>
      </w:r>
      <w:r>
        <w:rPr>
          <w:sz w:val="24"/>
        </w:rPr>
        <w:t xml:space="preserve">, the cumulative </w:t>
      </w:r>
      <w:r>
        <w:rPr>
          <w:rFonts w:hint="eastAsia"/>
          <w:sz w:val="24"/>
        </w:rPr>
        <w:t xml:space="preserve">volume </w:t>
      </w:r>
      <w:r>
        <w:rPr>
          <w:sz w:val="24"/>
        </w:rPr>
        <w:t xml:space="preserve">of spot bond trading posted RMB </w:t>
      </w:r>
      <w:r>
        <w:rPr>
          <w:rFonts w:hint="eastAsia"/>
          <w:sz w:val="24"/>
        </w:rPr>
        <w:t>102</w:t>
      </w:r>
      <w:r>
        <w:rPr>
          <w:sz w:val="24"/>
        </w:rPr>
        <w:t xml:space="preserve"> trillion, </w:t>
      </w:r>
      <w:r>
        <w:rPr>
          <w:sz w:val="24"/>
        </w:rPr>
        <w:lastRenderedPageBreak/>
        <w:t xml:space="preserve">representing a daily average of RMB </w:t>
      </w:r>
      <w:r>
        <w:rPr>
          <w:rFonts w:hint="eastAsia"/>
          <w:sz w:val="24"/>
        </w:rPr>
        <w:t>539.6</w:t>
      </w:r>
      <w:r>
        <w:rPr>
          <w:sz w:val="24"/>
        </w:rPr>
        <w:t xml:space="preserve"> billion </w:t>
      </w:r>
      <w:r>
        <w:rPr>
          <w:rFonts w:hint="eastAsia"/>
          <w:sz w:val="24"/>
        </w:rPr>
        <w:t xml:space="preserve">and </w:t>
      </w:r>
      <w:r>
        <w:rPr>
          <w:sz w:val="24"/>
        </w:rPr>
        <w:t xml:space="preserve">an increase of </w:t>
      </w:r>
      <w:r>
        <w:rPr>
          <w:rFonts w:hint="eastAsia"/>
          <w:sz w:val="24"/>
        </w:rPr>
        <w:t>38.4</w:t>
      </w:r>
      <w:r>
        <w:rPr>
          <w:sz w:val="24"/>
        </w:rPr>
        <w:t xml:space="preserve"> percent year on year. In</w:t>
      </w:r>
      <w:r>
        <w:rPr>
          <w:rFonts w:hint="eastAsia"/>
          <w:sz w:val="24"/>
        </w:rPr>
        <w:t xml:space="preserve"> particular, the average daily turnover in </w:t>
      </w:r>
      <w:r>
        <w:rPr>
          <w:sz w:val="24"/>
        </w:rPr>
        <w:t>Q3</w:t>
      </w:r>
      <w:r>
        <w:rPr>
          <w:rFonts w:hint="eastAsia"/>
          <w:sz w:val="24"/>
        </w:rPr>
        <w:t xml:space="preserve"> reached RMB 683.7 billion, registering a year-on-year increase of 54.8 percent. In</w:t>
      </w:r>
      <w:r>
        <w:rPr>
          <w:sz w:val="24"/>
        </w:rPr>
        <w:t xml:space="preserve"> terms of the trading entities, Chinese-funded small- and medium-sized banks and securities institutions were net bond sellers, with net sales totaling RMB </w:t>
      </w:r>
      <w:r>
        <w:rPr>
          <w:rFonts w:hint="eastAsia"/>
          <w:sz w:val="24"/>
        </w:rPr>
        <w:t>6.6</w:t>
      </w:r>
      <w:r>
        <w:rPr>
          <w:sz w:val="24"/>
        </w:rPr>
        <w:t xml:space="preserve"> trillion; other financial inst</w:t>
      </w:r>
      <w:r>
        <w:rPr>
          <w:rFonts w:hint="eastAsia"/>
          <w:sz w:val="24"/>
        </w:rPr>
        <w:t>itu</w:t>
      </w:r>
      <w:r>
        <w:rPr>
          <w:sz w:val="24"/>
        </w:rPr>
        <w:t xml:space="preserve">tions and vehicles were net bond buyers, with net purchases totaling RMB </w:t>
      </w:r>
      <w:r>
        <w:rPr>
          <w:rFonts w:hint="eastAsia"/>
          <w:sz w:val="24"/>
        </w:rPr>
        <w:t>6.4</w:t>
      </w:r>
      <w:r>
        <w:rPr>
          <w:sz w:val="24"/>
        </w:rPr>
        <w:t xml:space="preserve"> trillion. With respect to the products, a total of RMB </w:t>
      </w:r>
      <w:r>
        <w:rPr>
          <w:rFonts w:hint="eastAsia"/>
          <w:sz w:val="24"/>
        </w:rPr>
        <w:t>15</w:t>
      </w:r>
      <w:r>
        <w:rPr>
          <w:sz w:val="24"/>
        </w:rPr>
        <w:t xml:space="preserve"> trillion of spot government bonds was traded, accounting for 1</w:t>
      </w:r>
      <w:r>
        <w:rPr>
          <w:rFonts w:hint="eastAsia"/>
          <w:sz w:val="24"/>
        </w:rPr>
        <w:t>4.7</w:t>
      </w:r>
      <w:r>
        <w:rPr>
          <w:sz w:val="24"/>
        </w:rPr>
        <w:t xml:space="preserve"> percent of the total spot transactions on the interbank market. The </w:t>
      </w:r>
      <w:r>
        <w:rPr>
          <w:rFonts w:hint="eastAsia"/>
          <w:sz w:val="24"/>
        </w:rPr>
        <w:t>volume</w:t>
      </w:r>
      <w:r>
        <w:rPr>
          <w:sz w:val="24"/>
        </w:rPr>
        <w:t xml:space="preserve"> of spot </w:t>
      </w:r>
      <w:r>
        <w:rPr>
          <w:rFonts w:hint="eastAsia"/>
          <w:sz w:val="24"/>
        </w:rPr>
        <w:t xml:space="preserve">trading of </w:t>
      </w:r>
      <w:r>
        <w:rPr>
          <w:sz w:val="24"/>
        </w:rPr>
        <w:t>financial bonds and corporate debenture bonds was RMB</w:t>
      </w:r>
      <w:r>
        <w:rPr>
          <w:rFonts w:hint="eastAsia"/>
          <w:sz w:val="24"/>
        </w:rPr>
        <w:t xml:space="preserve"> 73.9</w:t>
      </w:r>
      <w:r>
        <w:rPr>
          <w:sz w:val="24"/>
        </w:rPr>
        <w:t xml:space="preserve"> trillion and RMB </w:t>
      </w:r>
      <w:r>
        <w:rPr>
          <w:rFonts w:hint="eastAsia"/>
          <w:sz w:val="24"/>
        </w:rPr>
        <w:t>13.1</w:t>
      </w:r>
      <w:r>
        <w:rPr>
          <w:sz w:val="24"/>
        </w:rPr>
        <w:t xml:space="preserve"> trillion respectively, accounting for 7</w:t>
      </w:r>
      <w:r>
        <w:rPr>
          <w:rFonts w:hint="eastAsia"/>
          <w:sz w:val="24"/>
        </w:rPr>
        <w:t>2.5</w:t>
      </w:r>
      <w:r>
        <w:rPr>
          <w:sz w:val="24"/>
        </w:rPr>
        <w:t xml:space="preserve"> percent and 1</w:t>
      </w:r>
      <w:r>
        <w:rPr>
          <w:rFonts w:hint="eastAsia"/>
          <w:sz w:val="24"/>
        </w:rPr>
        <w:t>2.8</w:t>
      </w:r>
      <w:r>
        <w:rPr>
          <w:sz w:val="24"/>
        </w:rPr>
        <w:t xml:space="preserve"> percent respectively. Separately, the volume of spot bond transactions on the stock exchanges </w:t>
      </w:r>
      <w:r>
        <w:rPr>
          <w:rFonts w:hint="eastAsia"/>
          <w:sz w:val="24"/>
        </w:rPr>
        <w:t>totaled</w:t>
      </w:r>
      <w:r>
        <w:rPr>
          <w:sz w:val="24"/>
        </w:rPr>
        <w:t xml:space="preserve"> RMB </w:t>
      </w:r>
      <w:r>
        <w:rPr>
          <w:rFonts w:hint="eastAsia"/>
          <w:sz w:val="24"/>
        </w:rPr>
        <w:t>4.6</w:t>
      </w:r>
      <w:r>
        <w:rPr>
          <w:sz w:val="24"/>
        </w:rPr>
        <w:t xml:space="preserve"> trillion, an increase of </w:t>
      </w:r>
      <w:r>
        <w:rPr>
          <w:rFonts w:hint="eastAsia"/>
          <w:sz w:val="24"/>
        </w:rPr>
        <w:t>16.7</w:t>
      </w:r>
      <w:r>
        <w:rPr>
          <w:sz w:val="24"/>
        </w:rPr>
        <w:t xml:space="preserve"> percent year on year.</w:t>
      </w:r>
      <w:r>
        <w:rPr>
          <w:rFonts w:hint="eastAsia"/>
          <w:sz w:val="24"/>
        </w:rPr>
        <w:t xml:space="preserve"> Specifically, the turnover reached RMB 1.6 trillion in </w:t>
      </w:r>
      <w:r>
        <w:rPr>
          <w:sz w:val="24"/>
        </w:rPr>
        <w:t>Q3</w:t>
      </w:r>
      <w:r>
        <w:rPr>
          <w:rFonts w:hint="eastAsia"/>
          <w:sz w:val="24"/>
        </w:rPr>
        <w:t xml:space="preserve">, a year-on-year increase of 19.2 percent. </w:t>
      </w:r>
    </w:p>
    <w:p w:rsidR="001031BB" w:rsidRDefault="001031BB" w:rsidP="002E7312">
      <w:pPr>
        <w:adjustRightInd w:val="0"/>
        <w:snapToGrid w:val="0"/>
        <w:spacing w:afterLines="50" w:line="360" w:lineRule="auto"/>
        <w:rPr>
          <w:b/>
          <w:sz w:val="24"/>
        </w:rPr>
      </w:pPr>
      <w:bookmarkStart w:id="72" w:name="_Toc521607179"/>
    </w:p>
    <w:p w:rsidR="001031BB" w:rsidRDefault="001031BB" w:rsidP="002E7312">
      <w:pPr>
        <w:adjustRightInd w:val="0"/>
        <w:snapToGrid w:val="0"/>
        <w:spacing w:afterLines="50" w:line="360" w:lineRule="auto"/>
        <w:rPr>
          <w:sz w:val="24"/>
        </w:rPr>
      </w:pPr>
      <w:r>
        <w:rPr>
          <w:rFonts w:hint="eastAsia"/>
          <w:b/>
          <w:sz w:val="24"/>
        </w:rPr>
        <w:t>The</w:t>
      </w:r>
      <w:r>
        <w:rPr>
          <w:b/>
          <w:sz w:val="24"/>
        </w:rPr>
        <w:t xml:space="preserve"> volume of bond issuances </w:t>
      </w:r>
      <w:r>
        <w:rPr>
          <w:rFonts w:hint="eastAsia"/>
          <w:b/>
          <w:sz w:val="24"/>
        </w:rPr>
        <w:t>saw year-on-year growth.</w:t>
      </w:r>
      <w:r>
        <w:rPr>
          <w:sz w:val="24"/>
        </w:rPr>
        <w:t xml:space="preserve"> During </w:t>
      </w:r>
      <w:r>
        <w:rPr>
          <w:rFonts w:hint="eastAsia"/>
          <w:sz w:val="24"/>
        </w:rPr>
        <w:t>the first three quarters,</w:t>
      </w:r>
      <w:r>
        <w:rPr>
          <w:sz w:val="24"/>
        </w:rPr>
        <w:t xml:space="preserve"> a total of RMB </w:t>
      </w:r>
      <w:r>
        <w:rPr>
          <w:rFonts w:hint="eastAsia"/>
          <w:sz w:val="24"/>
        </w:rPr>
        <w:t xml:space="preserve">32.3 </w:t>
      </w:r>
      <w:r>
        <w:rPr>
          <w:sz w:val="24"/>
        </w:rPr>
        <w:t>trillion of bonds was issued, a</w:t>
      </w:r>
      <w:r>
        <w:rPr>
          <w:rFonts w:hint="eastAsia"/>
          <w:sz w:val="24"/>
        </w:rPr>
        <w:t xml:space="preserve"> year-on-year</w:t>
      </w:r>
      <w:r>
        <w:rPr>
          <w:sz w:val="24"/>
        </w:rPr>
        <w:t xml:space="preserve"> increase of</w:t>
      </w:r>
      <w:r>
        <w:rPr>
          <w:rFonts w:hint="eastAsia"/>
          <w:sz w:val="24"/>
        </w:rPr>
        <w:t xml:space="preserve"> RMB 2.3 trillion. </w:t>
      </w:r>
      <w:r>
        <w:rPr>
          <w:sz w:val="24"/>
        </w:rPr>
        <w:t xml:space="preserve">This was mainly due to the </w:t>
      </w:r>
      <w:r>
        <w:rPr>
          <w:rFonts w:hint="eastAsia"/>
          <w:sz w:val="24"/>
        </w:rPr>
        <w:t>i</w:t>
      </w:r>
      <w:r>
        <w:rPr>
          <w:sz w:val="24"/>
        </w:rPr>
        <w:t xml:space="preserve">ncrease in the issuance of </w:t>
      </w:r>
      <w:r>
        <w:rPr>
          <w:rFonts w:hint="eastAsia"/>
          <w:sz w:val="24"/>
        </w:rPr>
        <w:t xml:space="preserve">interbank CDs and debt financing instruments of non-financial enterprises. In particular, a total of </w:t>
      </w:r>
      <w:r>
        <w:rPr>
          <w:sz w:val="24"/>
        </w:rPr>
        <w:t xml:space="preserve">RMB </w:t>
      </w:r>
      <w:r>
        <w:rPr>
          <w:rFonts w:hint="eastAsia"/>
          <w:sz w:val="24"/>
        </w:rPr>
        <w:t xml:space="preserve">12.1 </w:t>
      </w:r>
      <w:r>
        <w:rPr>
          <w:sz w:val="24"/>
        </w:rPr>
        <w:t>trillion of bonds was issued</w:t>
      </w:r>
      <w:r>
        <w:rPr>
          <w:rFonts w:hint="eastAsia"/>
          <w:sz w:val="24"/>
        </w:rPr>
        <w:t xml:space="preserve">. </w:t>
      </w:r>
      <w:r>
        <w:rPr>
          <w:sz w:val="24"/>
        </w:rPr>
        <w:t>At end-</w:t>
      </w:r>
      <w:r>
        <w:rPr>
          <w:rFonts w:hint="eastAsia"/>
          <w:sz w:val="24"/>
        </w:rPr>
        <w:t>September</w:t>
      </w:r>
      <w:r>
        <w:rPr>
          <w:sz w:val="24"/>
        </w:rPr>
        <w:t xml:space="preserve">, the total volume of outstanding bonds posted RMB </w:t>
      </w:r>
      <w:r>
        <w:rPr>
          <w:rFonts w:hint="eastAsia"/>
          <w:sz w:val="24"/>
        </w:rPr>
        <w:t>82.6</w:t>
      </w:r>
      <w:r>
        <w:rPr>
          <w:sz w:val="24"/>
        </w:rPr>
        <w:t xml:space="preserve"> trillion, </w:t>
      </w:r>
      <w:r>
        <w:rPr>
          <w:rFonts w:hint="eastAsia"/>
          <w:sz w:val="24"/>
        </w:rPr>
        <w:t>up</w:t>
      </w:r>
      <w:r>
        <w:rPr>
          <w:sz w:val="24"/>
        </w:rPr>
        <w:t xml:space="preserve"> 14 percent year on year.</w:t>
      </w:r>
      <w:bookmarkStart w:id="73" w:name="_Toc477878115"/>
      <w:bookmarkEnd w:id="70"/>
      <w:bookmarkEnd w:id="71"/>
      <w:bookmarkEnd w:id="72"/>
    </w:p>
    <w:p w:rsidR="001031BB" w:rsidRPr="003C32FE" w:rsidRDefault="001031BB" w:rsidP="002E7312">
      <w:pPr>
        <w:adjustRightInd w:val="0"/>
        <w:snapToGrid w:val="0"/>
        <w:spacing w:afterLines="50" w:line="360" w:lineRule="auto"/>
        <w:rPr>
          <w:sz w:val="24"/>
        </w:rPr>
      </w:pPr>
    </w:p>
    <w:p w:rsidR="002E3175" w:rsidRPr="002E3175" w:rsidRDefault="002E3175" w:rsidP="002E3175">
      <w:pPr>
        <w:keepNext/>
        <w:spacing w:line="360" w:lineRule="auto"/>
        <w:jc w:val="center"/>
        <w:rPr>
          <w:b/>
          <w:sz w:val="24"/>
        </w:rPr>
      </w:pPr>
      <w:bookmarkStart w:id="74" w:name="_Toc532203073"/>
      <w:bookmarkEnd w:id="73"/>
      <w:r w:rsidRPr="002E3175">
        <w:rPr>
          <w:b/>
          <w:sz w:val="24"/>
        </w:rPr>
        <w:t xml:space="preserve">Table </w:t>
      </w:r>
      <w:r w:rsidR="002447A7" w:rsidRPr="002E3175">
        <w:rPr>
          <w:b/>
          <w:sz w:val="24"/>
        </w:rPr>
        <w:fldChar w:fldCharType="begin"/>
      </w:r>
      <w:r w:rsidRPr="002E3175">
        <w:rPr>
          <w:b/>
          <w:sz w:val="24"/>
        </w:rPr>
        <w:instrText xml:space="preserve"> SEQ Table \* ARABIC </w:instrText>
      </w:r>
      <w:r w:rsidR="002447A7" w:rsidRPr="002E3175">
        <w:rPr>
          <w:b/>
          <w:sz w:val="24"/>
        </w:rPr>
        <w:fldChar w:fldCharType="separate"/>
      </w:r>
      <w:r w:rsidR="00EC1136">
        <w:rPr>
          <w:b/>
          <w:noProof/>
          <w:sz w:val="24"/>
        </w:rPr>
        <w:t>10</w:t>
      </w:r>
      <w:r w:rsidR="002447A7" w:rsidRPr="002E3175">
        <w:rPr>
          <w:b/>
          <w:sz w:val="24"/>
        </w:rPr>
        <w:fldChar w:fldCharType="end"/>
      </w:r>
      <w:r w:rsidRPr="002E3175">
        <w:rPr>
          <w:b/>
          <w:sz w:val="24"/>
        </w:rPr>
        <w:t xml:space="preserve"> </w:t>
      </w:r>
      <w:r>
        <w:rPr>
          <w:b/>
          <w:sz w:val="24"/>
        </w:rPr>
        <w:t xml:space="preserve">Bond Issuances, </w:t>
      </w:r>
      <w:r w:rsidRPr="00C30443">
        <w:rPr>
          <w:b/>
          <w:sz w:val="24"/>
        </w:rPr>
        <w:t>Q3</w:t>
      </w:r>
      <w:r w:rsidRPr="00261B45">
        <w:rPr>
          <w:b/>
          <w:sz w:val="24"/>
        </w:rPr>
        <w:t xml:space="preserve"> </w:t>
      </w:r>
      <w:r>
        <w:rPr>
          <w:b/>
          <w:sz w:val="24"/>
        </w:rPr>
        <w:t>of 2018</w:t>
      </w:r>
      <w:bookmarkEnd w:id="74"/>
    </w:p>
    <w:p w:rsidR="001031BB" w:rsidRDefault="001031BB" w:rsidP="001031BB">
      <w:pPr>
        <w:keepNext/>
        <w:spacing w:line="360" w:lineRule="auto"/>
        <w:jc w:val="center"/>
        <w:rPr>
          <w:sz w:val="24"/>
        </w:rPr>
      </w:pPr>
      <w:r>
        <w:rPr>
          <w:rFonts w:hint="eastAsia"/>
          <w:sz w:val="24"/>
        </w:rPr>
        <w:t xml:space="preserve">                                             Unit: RMB 100 million</w:t>
      </w:r>
    </w:p>
    <w:tbl>
      <w:tblPr>
        <w:tblW w:w="8280" w:type="dxa"/>
        <w:tblLayout w:type="fixed"/>
        <w:tblCellMar>
          <w:left w:w="0" w:type="dxa"/>
          <w:right w:w="0" w:type="dxa"/>
        </w:tblCellMar>
        <w:tblLook w:val="04A0"/>
      </w:tblPr>
      <w:tblGrid>
        <w:gridCol w:w="4140"/>
        <w:gridCol w:w="1800"/>
        <w:gridCol w:w="2340"/>
      </w:tblGrid>
      <w:tr w:rsidR="001031BB" w:rsidTr="001031BB">
        <w:trPr>
          <w:trHeight w:val="315"/>
        </w:trPr>
        <w:tc>
          <w:tcPr>
            <w:tcW w:w="4140" w:type="dxa"/>
            <w:tcBorders>
              <w:top w:val="single" w:sz="12" w:space="0" w:color="008000"/>
              <w:left w:val="nil"/>
              <w:bottom w:val="single" w:sz="6" w:space="0" w:color="008000"/>
              <w:right w:val="single" w:sz="8" w:space="0" w:color="008000"/>
            </w:tcBorders>
            <w:vAlign w:val="center"/>
          </w:tcPr>
          <w:p w:rsidR="001031BB" w:rsidRDefault="001031BB" w:rsidP="001031BB">
            <w:pPr>
              <w:spacing w:line="360" w:lineRule="auto"/>
              <w:jc w:val="center"/>
              <w:rPr>
                <w:sz w:val="24"/>
              </w:rPr>
            </w:pPr>
            <w:r>
              <w:rPr>
                <w:sz w:val="24"/>
              </w:rPr>
              <w:t>Type of bond</w:t>
            </w:r>
          </w:p>
        </w:tc>
        <w:tc>
          <w:tcPr>
            <w:tcW w:w="1800" w:type="dxa"/>
            <w:tcBorders>
              <w:top w:val="single" w:sz="12" w:space="0" w:color="008000"/>
              <w:left w:val="nil"/>
              <w:bottom w:val="single" w:sz="6" w:space="0" w:color="008000"/>
              <w:right w:val="single" w:sz="8" w:space="0" w:color="008000"/>
            </w:tcBorders>
            <w:vAlign w:val="center"/>
          </w:tcPr>
          <w:p w:rsidR="001031BB" w:rsidRDefault="001031BB" w:rsidP="001031BB">
            <w:pPr>
              <w:adjustRightInd w:val="0"/>
              <w:snapToGrid w:val="0"/>
              <w:spacing w:line="360" w:lineRule="auto"/>
              <w:jc w:val="center"/>
              <w:rPr>
                <w:sz w:val="24"/>
              </w:rPr>
            </w:pPr>
            <w:r>
              <w:rPr>
                <w:sz w:val="24"/>
              </w:rPr>
              <w:t xml:space="preserve">Issuances </w:t>
            </w:r>
          </w:p>
        </w:tc>
        <w:tc>
          <w:tcPr>
            <w:tcW w:w="2340" w:type="dxa"/>
            <w:tcBorders>
              <w:top w:val="single" w:sz="12" w:space="0" w:color="008000"/>
              <w:left w:val="nil"/>
              <w:bottom w:val="single" w:sz="6" w:space="0" w:color="008000"/>
              <w:right w:val="nil"/>
            </w:tcBorders>
            <w:vAlign w:val="center"/>
          </w:tcPr>
          <w:p w:rsidR="001031BB" w:rsidRDefault="001031BB" w:rsidP="001031BB">
            <w:pPr>
              <w:adjustRightInd w:val="0"/>
              <w:snapToGrid w:val="0"/>
              <w:spacing w:line="360" w:lineRule="auto"/>
              <w:jc w:val="center"/>
              <w:rPr>
                <w:sz w:val="24"/>
              </w:rPr>
            </w:pPr>
            <w:r>
              <w:rPr>
                <w:sz w:val="24"/>
              </w:rPr>
              <w:t xml:space="preserve">Year-on-year </w:t>
            </w:r>
            <w:r>
              <w:rPr>
                <w:rFonts w:hint="eastAsia"/>
                <w:sz w:val="24"/>
              </w:rPr>
              <w:t>change</w:t>
            </w:r>
            <w:r>
              <w:rPr>
                <w:sz w:val="24"/>
              </w:rPr>
              <w:t xml:space="preserve"> </w:t>
            </w:r>
          </w:p>
        </w:tc>
      </w:tr>
      <w:tr w:rsidR="001031BB" w:rsidTr="001031BB">
        <w:trPr>
          <w:trHeight w:val="345"/>
        </w:trPr>
        <w:tc>
          <w:tcPr>
            <w:tcW w:w="4140" w:type="dxa"/>
            <w:tcBorders>
              <w:top w:val="single" w:sz="6" w:space="0" w:color="008000"/>
              <w:left w:val="nil"/>
              <w:bottom w:val="nil"/>
              <w:right w:val="single" w:sz="8" w:space="0" w:color="008000"/>
            </w:tcBorders>
            <w:shd w:val="clear" w:color="auto" w:fill="CCFFCC"/>
            <w:vAlign w:val="center"/>
          </w:tcPr>
          <w:p w:rsidR="001031BB" w:rsidRDefault="001031BB" w:rsidP="001031BB">
            <w:pPr>
              <w:spacing w:line="360" w:lineRule="auto"/>
              <w:rPr>
                <w:sz w:val="24"/>
              </w:rPr>
            </w:pPr>
            <w:r>
              <w:rPr>
                <w:sz w:val="24"/>
              </w:rPr>
              <w:t>Government securities</w:t>
            </w:r>
          </w:p>
        </w:tc>
        <w:tc>
          <w:tcPr>
            <w:tcW w:w="1800" w:type="dxa"/>
            <w:tcBorders>
              <w:top w:val="single" w:sz="6" w:space="0" w:color="008000"/>
              <w:left w:val="nil"/>
              <w:bottom w:val="nil"/>
              <w:right w:val="single" w:sz="2" w:space="0" w:color="008000"/>
            </w:tcBorders>
            <w:shd w:val="clear" w:color="auto" w:fill="CCFFCC"/>
            <w:vAlign w:val="center"/>
          </w:tcPr>
          <w:p w:rsidR="001031BB" w:rsidRDefault="001031BB" w:rsidP="001031BB">
            <w:pPr>
              <w:adjustRightInd w:val="0"/>
              <w:snapToGrid w:val="0"/>
              <w:spacing w:line="360" w:lineRule="auto"/>
              <w:jc w:val="right"/>
              <w:rPr>
                <w:sz w:val="24"/>
              </w:rPr>
            </w:pPr>
            <w:r>
              <w:rPr>
                <w:sz w:val="24"/>
              </w:rPr>
              <w:t>26,385</w:t>
            </w:r>
          </w:p>
        </w:tc>
        <w:tc>
          <w:tcPr>
            <w:tcW w:w="2340" w:type="dxa"/>
            <w:tcBorders>
              <w:top w:val="single" w:sz="6" w:space="0" w:color="008000"/>
              <w:left w:val="single" w:sz="2" w:space="0" w:color="008000"/>
              <w:bottom w:val="nil"/>
              <w:right w:val="nil"/>
            </w:tcBorders>
            <w:shd w:val="clear" w:color="auto" w:fill="CCFFCC"/>
            <w:vAlign w:val="center"/>
          </w:tcPr>
          <w:p w:rsidR="001031BB" w:rsidRDefault="001031BB" w:rsidP="001031BB">
            <w:pPr>
              <w:adjustRightInd w:val="0"/>
              <w:snapToGrid w:val="0"/>
              <w:spacing w:line="360" w:lineRule="auto"/>
              <w:jc w:val="right"/>
              <w:rPr>
                <w:sz w:val="24"/>
              </w:rPr>
            </w:pPr>
            <w:r>
              <w:rPr>
                <w:rFonts w:hint="eastAsia"/>
                <w:sz w:val="24"/>
              </w:rPr>
              <w:t>-3</w:t>
            </w:r>
            <w:r>
              <w:rPr>
                <w:sz w:val="24"/>
              </w:rPr>
              <w:t>,972</w:t>
            </w:r>
          </w:p>
        </w:tc>
      </w:tr>
      <w:tr w:rsidR="001031BB" w:rsidTr="001031BB">
        <w:trPr>
          <w:trHeight w:val="345"/>
        </w:trPr>
        <w:tc>
          <w:tcPr>
            <w:tcW w:w="4140" w:type="dxa"/>
            <w:tcBorders>
              <w:top w:val="single" w:sz="6" w:space="0" w:color="008000"/>
              <w:left w:val="nil"/>
              <w:bottom w:val="nil"/>
              <w:right w:val="single" w:sz="8" w:space="0" w:color="008000"/>
            </w:tcBorders>
            <w:shd w:val="clear" w:color="auto" w:fill="CCFFCC"/>
            <w:vAlign w:val="center"/>
          </w:tcPr>
          <w:p w:rsidR="001031BB" w:rsidRDefault="001031BB" w:rsidP="001031BB">
            <w:pPr>
              <w:spacing w:line="360" w:lineRule="auto"/>
              <w:rPr>
                <w:sz w:val="24"/>
              </w:rPr>
            </w:pPr>
            <w:r>
              <w:rPr>
                <w:sz w:val="24"/>
              </w:rPr>
              <w:t>Local government bonds</w:t>
            </w:r>
          </w:p>
        </w:tc>
        <w:tc>
          <w:tcPr>
            <w:tcW w:w="1800" w:type="dxa"/>
            <w:tcBorders>
              <w:top w:val="single" w:sz="6" w:space="0" w:color="008000"/>
              <w:left w:val="nil"/>
              <w:bottom w:val="nil"/>
              <w:right w:val="single" w:sz="2" w:space="0" w:color="008000"/>
            </w:tcBorders>
            <w:shd w:val="clear" w:color="auto" w:fill="CCFFCC"/>
            <w:vAlign w:val="center"/>
          </w:tcPr>
          <w:p w:rsidR="001031BB" w:rsidRDefault="001031BB" w:rsidP="001031BB">
            <w:pPr>
              <w:adjustRightInd w:val="0"/>
              <w:snapToGrid w:val="0"/>
              <w:spacing w:line="360" w:lineRule="auto"/>
              <w:jc w:val="right"/>
              <w:rPr>
                <w:sz w:val="24"/>
              </w:rPr>
            </w:pPr>
            <w:r>
              <w:rPr>
                <w:rFonts w:hint="eastAsia"/>
                <w:sz w:val="24"/>
              </w:rPr>
              <w:t>37</w:t>
            </w:r>
            <w:r>
              <w:rPr>
                <w:sz w:val="24"/>
              </w:rPr>
              <w:t>,994</w:t>
            </w:r>
          </w:p>
        </w:tc>
        <w:tc>
          <w:tcPr>
            <w:tcW w:w="2340" w:type="dxa"/>
            <w:tcBorders>
              <w:top w:val="single" w:sz="6" w:space="0" w:color="008000"/>
              <w:left w:val="single" w:sz="2" w:space="0" w:color="008000"/>
              <w:bottom w:val="nil"/>
              <w:right w:val="nil"/>
            </w:tcBorders>
            <w:shd w:val="clear" w:color="auto" w:fill="CCFFCC"/>
            <w:vAlign w:val="center"/>
          </w:tcPr>
          <w:p w:rsidR="001031BB" w:rsidRDefault="001031BB" w:rsidP="001031BB">
            <w:pPr>
              <w:adjustRightInd w:val="0"/>
              <w:snapToGrid w:val="0"/>
              <w:spacing w:line="360" w:lineRule="auto"/>
              <w:jc w:val="right"/>
              <w:rPr>
                <w:sz w:val="24"/>
              </w:rPr>
            </w:pPr>
            <w:r>
              <w:rPr>
                <w:sz w:val="24"/>
              </w:rPr>
              <w:t>2,677</w:t>
            </w:r>
          </w:p>
        </w:tc>
      </w:tr>
      <w:tr w:rsidR="001031BB" w:rsidTr="001031BB">
        <w:trPr>
          <w:trHeight w:val="345"/>
        </w:trPr>
        <w:tc>
          <w:tcPr>
            <w:tcW w:w="4140" w:type="dxa"/>
            <w:tcBorders>
              <w:top w:val="nil"/>
              <w:left w:val="nil"/>
              <w:bottom w:val="nil"/>
              <w:right w:val="single" w:sz="8" w:space="0" w:color="008000"/>
            </w:tcBorders>
            <w:vAlign w:val="center"/>
          </w:tcPr>
          <w:p w:rsidR="001031BB" w:rsidRDefault="001031BB" w:rsidP="001031BB">
            <w:pPr>
              <w:spacing w:line="360" w:lineRule="auto"/>
              <w:rPr>
                <w:sz w:val="24"/>
              </w:rPr>
            </w:pPr>
            <w:r>
              <w:rPr>
                <w:sz w:val="24"/>
              </w:rPr>
              <w:t xml:space="preserve">Central-bank bills </w:t>
            </w:r>
          </w:p>
        </w:tc>
        <w:tc>
          <w:tcPr>
            <w:tcW w:w="1800" w:type="dxa"/>
            <w:tcBorders>
              <w:top w:val="nil"/>
              <w:left w:val="nil"/>
              <w:bottom w:val="nil"/>
              <w:right w:val="single" w:sz="2" w:space="0" w:color="008000"/>
            </w:tcBorders>
            <w:vAlign w:val="center"/>
          </w:tcPr>
          <w:p w:rsidR="001031BB" w:rsidRDefault="001031BB" w:rsidP="001031BB">
            <w:pPr>
              <w:tabs>
                <w:tab w:val="center" w:pos="4320"/>
                <w:tab w:val="right" w:pos="8640"/>
              </w:tabs>
              <w:adjustRightInd w:val="0"/>
              <w:snapToGrid w:val="0"/>
              <w:spacing w:line="360" w:lineRule="auto"/>
              <w:jc w:val="right"/>
              <w:rPr>
                <w:sz w:val="24"/>
              </w:rPr>
            </w:pPr>
            <w:r>
              <w:rPr>
                <w:sz w:val="24"/>
              </w:rPr>
              <w:t xml:space="preserve">0 </w:t>
            </w:r>
          </w:p>
        </w:tc>
        <w:tc>
          <w:tcPr>
            <w:tcW w:w="2340" w:type="dxa"/>
            <w:tcBorders>
              <w:top w:val="nil"/>
              <w:left w:val="single" w:sz="2" w:space="0" w:color="008000"/>
              <w:bottom w:val="nil"/>
              <w:right w:val="nil"/>
            </w:tcBorders>
            <w:vAlign w:val="center"/>
          </w:tcPr>
          <w:p w:rsidR="001031BB" w:rsidRDefault="001031BB" w:rsidP="001031BB">
            <w:pPr>
              <w:tabs>
                <w:tab w:val="center" w:pos="4320"/>
                <w:tab w:val="right" w:pos="8640"/>
              </w:tabs>
              <w:adjustRightInd w:val="0"/>
              <w:snapToGrid w:val="0"/>
              <w:spacing w:line="360" w:lineRule="auto"/>
              <w:jc w:val="right"/>
              <w:rPr>
                <w:sz w:val="24"/>
              </w:rPr>
            </w:pPr>
            <w:r>
              <w:rPr>
                <w:sz w:val="24"/>
              </w:rPr>
              <w:t>0</w:t>
            </w:r>
          </w:p>
        </w:tc>
      </w:tr>
      <w:tr w:rsidR="001031BB" w:rsidTr="001031BB">
        <w:trPr>
          <w:trHeight w:val="330"/>
        </w:trPr>
        <w:tc>
          <w:tcPr>
            <w:tcW w:w="4140" w:type="dxa"/>
            <w:tcBorders>
              <w:top w:val="nil"/>
              <w:left w:val="nil"/>
              <w:bottom w:val="nil"/>
              <w:right w:val="single" w:sz="8" w:space="0" w:color="008000"/>
            </w:tcBorders>
            <w:shd w:val="clear" w:color="auto" w:fill="CCFFCC"/>
            <w:vAlign w:val="center"/>
          </w:tcPr>
          <w:p w:rsidR="001031BB" w:rsidRDefault="001031BB" w:rsidP="001031BB">
            <w:pPr>
              <w:tabs>
                <w:tab w:val="center" w:pos="4320"/>
                <w:tab w:val="right" w:pos="8640"/>
              </w:tabs>
              <w:spacing w:line="360" w:lineRule="auto"/>
              <w:rPr>
                <w:sz w:val="24"/>
              </w:rPr>
            </w:pPr>
            <w:r>
              <w:rPr>
                <w:sz w:val="24"/>
              </w:rPr>
              <w:t>Financial bonds</w:t>
            </w:r>
            <w:r w:rsidR="002447A7">
              <w:rPr>
                <w:sz w:val="24"/>
              </w:rPr>
              <w:fldChar w:fldCharType="begin"/>
            </w:r>
            <w:r>
              <w:rPr>
                <w:sz w:val="24"/>
              </w:rPr>
              <w:instrText xml:space="preserve"> = 1 \* GB3 </w:instrText>
            </w:r>
            <w:r w:rsidR="002447A7">
              <w:rPr>
                <w:sz w:val="24"/>
              </w:rPr>
              <w:fldChar w:fldCharType="separate"/>
            </w:r>
            <w:r>
              <w:rPr>
                <w:rFonts w:hint="eastAsia"/>
                <w:sz w:val="24"/>
              </w:rPr>
              <w:t>①</w:t>
            </w:r>
            <w:r w:rsidR="002447A7">
              <w:rPr>
                <w:sz w:val="24"/>
              </w:rPr>
              <w:fldChar w:fldCharType="end"/>
            </w:r>
          </w:p>
        </w:tc>
        <w:tc>
          <w:tcPr>
            <w:tcW w:w="1800" w:type="dxa"/>
            <w:tcBorders>
              <w:top w:val="nil"/>
              <w:left w:val="single" w:sz="8" w:space="0" w:color="008000"/>
              <w:bottom w:val="nil"/>
              <w:right w:val="single" w:sz="2" w:space="0" w:color="008000"/>
            </w:tcBorders>
            <w:shd w:val="clear" w:color="auto" w:fill="CCFFCC"/>
            <w:vAlign w:val="center"/>
          </w:tcPr>
          <w:p w:rsidR="001031BB" w:rsidRDefault="001031BB" w:rsidP="001031BB">
            <w:pPr>
              <w:adjustRightInd w:val="0"/>
              <w:snapToGrid w:val="0"/>
              <w:spacing w:line="360" w:lineRule="auto"/>
              <w:jc w:val="right"/>
              <w:rPr>
                <w:sz w:val="24"/>
              </w:rPr>
            </w:pPr>
            <w:r>
              <w:rPr>
                <w:sz w:val="24"/>
              </w:rPr>
              <w:t>203,685</w:t>
            </w:r>
          </w:p>
        </w:tc>
        <w:tc>
          <w:tcPr>
            <w:tcW w:w="2340" w:type="dxa"/>
            <w:tcBorders>
              <w:top w:val="nil"/>
              <w:left w:val="single" w:sz="2" w:space="0" w:color="008000"/>
              <w:bottom w:val="nil"/>
              <w:right w:val="nil"/>
            </w:tcBorders>
            <w:shd w:val="clear" w:color="auto" w:fill="CCFFCC"/>
            <w:vAlign w:val="center"/>
          </w:tcPr>
          <w:p w:rsidR="001031BB" w:rsidRDefault="001031BB" w:rsidP="001031BB">
            <w:pPr>
              <w:adjustRightInd w:val="0"/>
              <w:snapToGrid w:val="0"/>
              <w:spacing w:line="360" w:lineRule="auto"/>
              <w:jc w:val="right"/>
              <w:rPr>
                <w:sz w:val="24"/>
              </w:rPr>
            </w:pPr>
            <w:r>
              <w:rPr>
                <w:sz w:val="24"/>
              </w:rPr>
              <w:t>12,708</w:t>
            </w:r>
          </w:p>
        </w:tc>
      </w:tr>
      <w:tr w:rsidR="001031BB" w:rsidRPr="006C05F2" w:rsidTr="001031BB">
        <w:trPr>
          <w:trHeight w:val="330"/>
        </w:trPr>
        <w:tc>
          <w:tcPr>
            <w:tcW w:w="4140" w:type="dxa"/>
            <w:tcBorders>
              <w:top w:val="nil"/>
              <w:left w:val="nil"/>
              <w:bottom w:val="nil"/>
              <w:right w:val="single" w:sz="8" w:space="0" w:color="008000"/>
            </w:tcBorders>
            <w:vAlign w:val="center"/>
          </w:tcPr>
          <w:p w:rsidR="001031BB" w:rsidRDefault="001031BB" w:rsidP="001031BB">
            <w:pPr>
              <w:spacing w:line="360" w:lineRule="auto"/>
              <w:rPr>
                <w:sz w:val="24"/>
              </w:rPr>
            </w:pPr>
            <w:r>
              <w:rPr>
                <w:sz w:val="24"/>
              </w:rPr>
              <w:lastRenderedPageBreak/>
              <w:t xml:space="preserve">Of which: Financial bonds issued by the China Development Bank and policy financial bonds </w:t>
            </w:r>
          </w:p>
          <w:p w:rsidR="001031BB" w:rsidRDefault="001031BB" w:rsidP="001031BB">
            <w:pPr>
              <w:spacing w:line="360" w:lineRule="auto"/>
              <w:rPr>
                <w:sz w:val="24"/>
              </w:rPr>
            </w:pPr>
            <w:r>
              <w:rPr>
                <w:sz w:val="24"/>
              </w:rPr>
              <w:t>Interbank certificates of deposits</w:t>
            </w:r>
          </w:p>
        </w:tc>
        <w:tc>
          <w:tcPr>
            <w:tcW w:w="1800" w:type="dxa"/>
            <w:tcBorders>
              <w:top w:val="nil"/>
              <w:left w:val="single" w:sz="8" w:space="0" w:color="008000"/>
              <w:bottom w:val="nil"/>
              <w:right w:val="single" w:sz="2" w:space="0" w:color="008000"/>
            </w:tcBorders>
            <w:vAlign w:val="center"/>
          </w:tcPr>
          <w:p w:rsidR="001031BB" w:rsidRDefault="001031BB" w:rsidP="001031BB">
            <w:pPr>
              <w:adjustRightInd w:val="0"/>
              <w:snapToGrid w:val="0"/>
              <w:spacing w:line="360" w:lineRule="auto"/>
              <w:jc w:val="right"/>
              <w:rPr>
                <w:sz w:val="24"/>
              </w:rPr>
            </w:pPr>
          </w:p>
          <w:p w:rsidR="001031BB" w:rsidRDefault="001031BB" w:rsidP="001031BB">
            <w:pPr>
              <w:adjustRightInd w:val="0"/>
              <w:snapToGrid w:val="0"/>
              <w:spacing w:line="360" w:lineRule="auto"/>
              <w:jc w:val="right"/>
              <w:rPr>
                <w:sz w:val="24"/>
              </w:rPr>
            </w:pPr>
            <w:r>
              <w:rPr>
                <w:sz w:val="24"/>
              </w:rPr>
              <w:t>26,</w:t>
            </w:r>
            <w:r>
              <w:rPr>
                <w:rFonts w:hint="eastAsia"/>
                <w:sz w:val="24"/>
              </w:rPr>
              <w:t>7</w:t>
            </w:r>
            <w:r>
              <w:rPr>
                <w:sz w:val="24"/>
              </w:rPr>
              <w:t>76</w:t>
            </w:r>
          </w:p>
          <w:p w:rsidR="001031BB" w:rsidRDefault="001031BB" w:rsidP="001031BB">
            <w:pPr>
              <w:adjustRightInd w:val="0"/>
              <w:snapToGrid w:val="0"/>
              <w:spacing w:line="360" w:lineRule="auto"/>
              <w:jc w:val="right"/>
              <w:rPr>
                <w:sz w:val="24"/>
              </w:rPr>
            </w:pPr>
          </w:p>
          <w:p w:rsidR="001031BB" w:rsidRDefault="001031BB" w:rsidP="001031BB">
            <w:pPr>
              <w:adjustRightInd w:val="0"/>
              <w:snapToGrid w:val="0"/>
              <w:spacing w:line="360" w:lineRule="auto"/>
              <w:jc w:val="right"/>
              <w:rPr>
                <w:sz w:val="24"/>
              </w:rPr>
            </w:pPr>
            <w:r>
              <w:rPr>
                <w:rFonts w:hint="eastAsia"/>
                <w:sz w:val="24"/>
              </w:rPr>
              <w:t>1</w:t>
            </w:r>
            <w:r>
              <w:rPr>
                <w:sz w:val="24"/>
              </w:rPr>
              <w:t>5</w:t>
            </w:r>
            <w:r>
              <w:rPr>
                <w:rFonts w:hint="eastAsia"/>
                <w:sz w:val="24"/>
              </w:rPr>
              <w:t>8</w:t>
            </w:r>
            <w:r>
              <w:rPr>
                <w:sz w:val="24"/>
              </w:rPr>
              <w:t>,350</w:t>
            </w:r>
          </w:p>
        </w:tc>
        <w:tc>
          <w:tcPr>
            <w:tcW w:w="2340" w:type="dxa"/>
            <w:tcBorders>
              <w:top w:val="nil"/>
              <w:left w:val="single" w:sz="2" w:space="0" w:color="008000"/>
              <w:bottom w:val="nil"/>
              <w:right w:val="nil"/>
            </w:tcBorders>
            <w:vAlign w:val="center"/>
          </w:tcPr>
          <w:p w:rsidR="001031BB" w:rsidRDefault="001031BB" w:rsidP="006C05F2">
            <w:pPr>
              <w:tabs>
                <w:tab w:val="center" w:pos="4320"/>
                <w:tab w:val="right" w:pos="8640"/>
              </w:tabs>
              <w:adjustRightInd w:val="0"/>
              <w:snapToGrid w:val="0"/>
              <w:spacing w:line="360" w:lineRule="auto"/>
              <w:jc w:val="right"/>
              <w:rPr>
                <w:sz w:val="24"/>
              </w:rPr>
            </w:pPr>
            <w:bookmarkStart w:id="75" w:name="_Toc524437840"/>
            <w:bookmarkStart w:id="76" w:name="_Toc524442927"/>
          </w:p>
          <w:p w:rsidR="001031BB" w:rsidRDefault="001031BB" w:rsidP="006C05F2">
            <w:pPr>
              <w:tabs>
                <w:tab w:val="center" w:pos="4320"/>
                <w:tab w:val="right" w:pos="8640"/>
              </w:tabs>
              <w:adjustRightInd w:val="0"/>
              <w:snapToGrid w:val="0"/>
              <w:spacing w:line="360" w:lineRule="auto"/>
              <w:jc w:val="right"/>
              <w:rPr>
                <w:sz w:val="24"/>
              </w:rPr>
            </w:pPr>
            <w:r>
              <w:rPr>
                <w:rFonts w:hint="eastAsia"/>
                <w:sz w:val="24"/>
              </w:rPr>
              <w:t>1</w:t>
            </w:r>
            <w:bookmarkEnd w:id="75"/>
            <w:bookmarkEnd w:id="76"/>
            <w:r>
              <w:rPr>
                <w:sz w:val="24"/>
              </w:rPr>
              <w:t>,288</w:t>
            </w:r>
          </w:p>
          <w:p w:rsidR="001031BB" w:rsidRDefault="001031BB" w:rsidP="006C05F2">
            <w:pPr>
              <w:tabs>
                <w:tab w:val="center" w:pos="4320"/>
                <w:tab w:val="right" w:pos="8640"/>
              </w:tabs>
              <w:adjustRightInd w:val="0"/>
              <w:snapToGrid w:val="0"/>
              <w:spacing w:line="360" w:lineRule="auto"/>
              <w:jc w:val="right"/>
              <w:rPr>
                <w:sz w:val="24"/>
              </w:rPr>
            </w:pPr>
          </w:p>
          <w:p w:rsidR="001031BB" w:rsidRDefault="001031BB" w:rsidP="006C05F2">
            <w:pPr>
              <w:tabs>
                <w:tab w:val="center" w:pos="4320"/>
                <w:tab w:val="right" w:pos="8640"/>
              </w:tabs>
              <w:adjustRightInd w:val="0"/>
              <w:snapToGrid w:val="0"/>
              <w:spacing w:line="360" w:lineRule="auto"/>
              <w:jc w:val="right"/>
              <w:rPr>
                <w:sz w:val="24"/>
              </w:rPr>
            </w:pPr>
            <w:r>
              <w:rPr>
                <w:sz w:val="24"/>
              </w:rPr>
              <w:t>9,248</w:t>
            </w:r>
          </w:p>
        </w:tc>
      </w:tr>
      <w:tr w:rsidR="001031BB" w:rsidTr="001031BB">
        <w:trPr>
          <w:trHeight w:val="330"/>
        </w:trPr>
        <w:tc>
          <w:tcPr>
            <w:tcW w:w="4140" w:type="dxa"/>
            <w:tcBorders>
              <w:top w:val="nil"/>
              <w:left w:val="nil"/>
              <w:bottom w:val="nil"/>
              <w:right w:val="single" w:sz="8" w:space="0" w:color="008000"/>
            </w:tcBorders>
            <w:shd w:val="clear" w:color="auto" w:fill="CCFFCC"/>
            <w:vAlign w:val="center"/>
          </w:tcPr>
          <w:p w:rsidR="001031BB" w:rsidRDefault="001031BB" w:rsidP="001031BB">
            <w:pPr>
              <w:spacing w:line="360" w:lineRule="auto"/>
              <w:rPr>
                <w:sz w:val="24"/>
              </w:rPr>
            </w:pPr>
            <w:r>
              <w:rPr>
                <w:sz w:val="24"/>
              </w:rPr>
              <w:t>Corporate debenture bonds</w:t>
            </w:r>
            <w:r>
              <w:rPr>
                <w:rFonts w:hint="eastAsia"/>
                <w:sz w:val="24"/>
              </w:rPr>
              <w:t>②</w:t>
            </w:r>
          </w:p>
        </w:tc>
        <w:tc>
          <w:tcPr>
            <w:tcW w:w="1800" w:type="dxa"/>
            <w:tcBorders>
              <w:top w:val="nil"/>
              <w:left w:val="single" w:sz="8" w:space="0" w:color="008000"/>
              <w:bottom w:val="nil"/>
              <w:right w:val="single" w:sz="2" w:space="0" w:color="008000"/>
            </w:tcBorders>
            <w:shd w:val="clear" w:color="auto" w:fill="CCFFCC"/>
            <w:vAlign w:val="center"/>
          </w:tcPr>
          <w:p w:rsidR="001031BB" w:rsidRDefault="001031BB" w:rsidP="001031BB">
            <w:pPr>
              <w:adjustRightInd w:val="0"/>
              <w:snapToGrid w:val="0"/>
              <w:spacing w:line="360" w:lineRule="auto"/>
              <w:jc w:val="right"/>
              <w:rPr>
                <w:sz w:val="24"/>
              </w:rPr>
            </w:pPr>
            <w:r>
              <w:rPr>
                <w:sz w:val="24"/>
              </w:rPr>
              <w:t>54,659</w:t>
            </w:r>
          </w:p>
        </w:tc>
        <w:tc>
          <w:tcPr>
            <w:tcW w:w="2340" w:type="dxa"/>
            <w:tcBorders>
              <w:top w:val="nil"/>
              <w:left w:val="single" w:sz="2" w:space="0" w:color="008000"/>
              <w:bottom w:val="nil"/>
              <w:right w:val="nil"/>
            </w:tcBorders>
            <w:shd w:val="clear" w:color="auto" w:fill="CCFFCC"/>
            <w:vAlign w:val="center"/>
          </w:tcPr>
          <w:p w:rsidR="001031BB" w:rsidRDefault="001031BB" w:rsidP="001031BB">
            <w:pPr>
              <w:adjustRightInd w:val="0"/>
              <w:snapToGrid w:val="0"/>
              <w:spacing w:line="360" w:lineRule="auto"/>
              <w:jc w:val="right"/>
              <w:rPr>
                <w:sz w:val="24"/>
              </w:rPr>
            </w:pPr>
            <w:r>
              <w:rPr>
                <w:rFonts w:hint="eastAsia"/>
                <w:sz w:val="24"/>
              </w:rPr>
              <w:t>1</w:t>
            </w:r>
            <w:r>
              <w:rPr>
                <w:sz w:val="24"/>
              </w:rPr>
              <w:t>1,07</w:t>
            </w:r>
            <w:r>
              <w:rPr>
                <w:rFonts w:hint="eastAsia"/>
                <w:sz w:val="24"/>
              </w:rPr>
              <w:t>9</w:t>
            </w:r>
          </w:p>
        </w:tc>
      </w:tr>
      <w:tr w:rsidR="001031BB" w:rsidTr="001031BB">
        <w:trPr>
          <w:trHeight w:val="300"/>
        </w:trPr>
        <w:tc>
          <w:tcPr>
            <w:tcW w:w="4140" w:type="dxa"/>
            <w:tcBorders>
              <w:top w:val="nil"/>
              <w:left w:val="nil"/>
              <w:bottom w:val="nil"/>
              <w:right w:val="single" w:sz="8" w:space="0" w:color="008000"/>
            </w:tcBorders>
            <w:vAlign w:val="center"/>
          </w:tcPr>
          <w:p w:rsidR="001031BB" w:rsidRDefault="001031BB" w:rsidP="001031BB">
            <w:pPr>
              <w:spacing w:line="360" w:lineRule="auto"/>
              <w:ind w:left="1200" w:hangingChars="500" w:hanging="1200"/>
              <w:rPr>
                <w:sz w:val="24"/>
              </w:rPr>
            </w:pPr>
            <w:r>
              <w:rPr>
                <w:sz w:val="24"/>
              </w:rPr>
              <w:t xml:space="preserve">   Of which: Debt-financing instruments of non-financial enterprises </w:t>
            </w:r>
          </w:p>
        </w:tc>
        <w:tc>
          <w:tcPr>
            <w:tcW w:w="1800" w:type="dxa"/>
            <w:tcBorders>
              <w:top w:val="nil"/>
              <w:left w:val="single" w:sz="8" w:space="0" w:color="008000"/>
              <w:bottom w:val="nil"/>
              <w:right w:val="single" w:sz="2" w:space="0" w:color="008000"/>
            </w:tcBorders>
            <w:vAlign w:val="center"/>
          </w:tcPr>
          <w:p w:rsidR="001031BB" w:rsidRDefault="001031BB" w:rsidP="001031BB">
            <w:pPr>
              <w:adjustRightInd w:val="0"/>
              <w:snapToGrid w:val="0"/>
              <w:spacing w:line="360" w:lineRule="auto"/>
              <w:jc w:val="right"/>
              <w:rPr>
                <w:sz w:val="24"/>
              </w:rPr>
            </w:pPr>
            <w:r>
              <w:rPr>
                <w:rFonts w:hint="eastAsia"/>
                <w:sz w:val="24"/>
              </w:rPr>
              <w:t>41,259</w:t>
            </w:r>
          </w:p>
        </w:tc>
        <w:tc>
          <w:tcPr>
            <w:tcW w:w="2340" w:type="dxa"/>
            <w:tcBorders>
              <w:top w:val="nil"/>
              <w:left w:val="single" w:sz="2" w:space="0" w:color="008000"/>
              <w:bottom w:val="nil"/>
              <w:right w:val="nil"/>
            </w:tcBorders>
            <w:vAlign w:val="center"/>
          </w:tcPr>
          <w:p w:rsidR="001031BB" w:rsidRDefault="001031BB" w:rsidP="001031BB">
            <w:pPr>
              <w:adjustRightInd w:val="0"/>
              <w:snapToGrid w:val="0"/>
              <w:spacing w:line="360" w:lineRule="auto"/>
              <w:jc w:val="right"/>
              <w:rPr>
                <w:sz w:val="24"/>
              </w:rPr>
            </w:pPr>
            <w:r>
              <w:rPr>
                <w:sz w:val="24"/>
              </w:rPr>
              <w:t>9,456</w:t>
            </w:r>
          </w:p>
        </w:tc>
      </w:tr>
      <w:tr w:rsidR="001031BB" w:rsidTr="001031BB">
        <w:trPr>
          <w:trHeight w:val="330"/>
        </w:trPr>
        <w:tc>
          <w:tcPr>
            <w:tcW w:w="4140" w:type="dxa"/>
            <w:tcBorders>
              <w:top w:val="nil"/>
              <w:left w:val="nil"/>
              <w:bottom w:val="nil"/>
              <w:right w:val="single" w:sz="8" w:space="0" w:color="008000"/>
            </w:tcBorders>
            <w:shd w:val="clear" w:color="auto" w:fill="CCFFCC"/>
            <w:vAlign w:val="center"/>
          </w:tcPr>
          <w:p w:rsidR="001031BB" w:rsidRDefault="001031BB" w:rsidP="001031BB">
            <w:pPr>
              <w:spacing w:line="360" w:lineRule="auto"/>
              <w:rPr>
                <w:sz w:val="24"/>
              </w:rPr>
            </w:pPr>
            <w:r>
              <w:rPr>
                <w:sz w:val="24"/>
              </w:rPr>
              <w:t xml:space="preserve">          Enterprise bonds</w:t>
            </w:r>
          </w:p>
        </w:tc>
        <w:tc>
          <w:tcPr>
            <w:tcW w:w="1800" w:type="dxa"/>
            <w:tcBorders>
              <w:top w:val="nil"/>
              <w:left w:val="single" w:sz="8" w:space="0" w:color="008000"/>
              <w:bottom w:val="nil"/>
              <w:right w:val="single" w:sz="2" w:space="0" w:color="008000"/>
            </w:tcBorders>
            <w:shd w:val="clear" w:color="auto" w:fill="CCFFCC"/>
            <w:vAlign w:val="center"/>
          </w:tcPr>
          <w:p w:rsidR="001031BB" w:rsidRDefault="001031BB" w:rsidP="001031BB">
            <w:pPr>
              <w:adjustRightInd w:val="0"/>
              <w:snapToGrid w:val="0"/>
              <w:spacing w:line="360" w:lineRule="auto"/>
              <w:jc w:val="right"/>
              <w:rPr>
                <w:sz w:val="24"/>
              </w:rPr>
            </w:pPr>
            <w:r>
              <w:rPr>
                <w:sz w:val="24"/>
              </w:rPr>
              <w:t>3,7</w:t>
            </w:r>
            <w:r>
              <w:rPr>
                <w:rFonts w:hint="eastAsia"/>
                <w:sz w:val="24"/>
              </w:rPr>
              <w:t>6</w:t>
            </w:r>
            <w:r>
              <w:rPr>
                <w:sz w:val="24"/>
              </w:rPr>
              <w:t>1</w:t>
            </w:r>
          </w:p>
        </w:tc>
        <w:tc>
          <w:tcPr>
            <w:tcW w:w="2340" w:type="dxa"/>
            <w:tcBorders>
              <w:top w:val="nil"/>
              <w:left w:val="single" w:sz="2" w:space="0" w:color="008000"/>
              <w:bottom w:val="nil"/>
              <w:right w:val="nil"/>
            </w:tcBorders>
            <w:shd w:val="clear" w:color="auto" w:fill="CCFFCC"/>
            <w:vAlign w:val="center"/>
          </w:tcPr>
          <w:p w:rsidR="001031BB" w:rsidRDefault="001031BB" w:rsidP="001031BB">
            <w:pPr>
              <w:adjustRightInd w:val="0"/>
              <w:snapToGrid w:val="0"/>
              <w:spacing w:line="360" w:lineRule="auto"/>
              <w:jc w:val="right"/>
              <w:rPr>
                <w:sz w:val="24"/>
              </w:rPr>
            </w:pPr>
            <w:r>
              <w:rPr>
                <w:rFonts w:hint="eastAsia"/>
                <w:sz w:val="24"/>
              </w:rPr>
              <w:t>-</w:t>
            </w:r>
            <w:r>
              <w:rPr>
                <w:sz w:val="24"/>
              </w:rPr>
              <w:t>684</w:t>
            </w:r>
          </w:p>
        </w:tc>
      </w:tr>
      <w:tr w:rsidR="001031BB" w:rsidTr="001031BB">
        <w:trPr>
          <w:trHeight w:val="300"/>
        </w:trPr>
        <w:tc>
          <w:tcPr>
            <w:tcW w:w="4140" w:type="dxa"/>
            <w:tcBorders>
              <w:top w:val="nil"/>
              <w:left w:val="nil"/>
              <w:bottom w:val="nil"/>
              <w:right w:val="single" w:sz="8" w:space="0" w:color="008000"/>
            </w:tcBorders>
            <w:vAlign w:val="center"/>
          </w:tcPr>
          <w:p w:rsidR="001031BB" w:rsidRDefault="001031BB" w:rsidP="001031BB">
            <w:pPr>
              <w:spacing w:line="360" w:lineRule="auto"/>
              <w:ind w:firstLineChars="500" w:firstLine="1200"/>
              <w:rPr>
                <w:sz w:val="24"/>
              </w:rPr>
            </w:pPr>
            <w:r>
              <w:rPr>
                <w:sz w:val="24"/>
              </w:rPr>
              <w:t>Corporate bonds</w:t>
            </w:r>
          </w:p>
        </w:tc>
        <w:tc>
          <w:tcPr>
            <w:tcW w:w="1800" w:type="dxa"/>
            <w:tcBorders>
              <w:top w:val="nil"/>
              <w:left w:val="single" w:sz="8" w:space="0" w:color="008000"/>
              <w:bottom w:val="nil"/>
              <w:right w:val="single" w:sz="2" w:space="0" w:color="008000"/>
            </w:tcBorders>
            <w:vAlign w:val="center"/>
          </w:tcPr>
          <w:p w:rsidR="001031BB" w:rsidRDefault="001031BB" w:rsidP="001031BB">
            <w:pPr>
              <w:adjustRightInd w:val="0"/>
              <w:snapToGrid w:val="0"/>
              <w:spacing w:line="360" w:lineRule="auto"/>
              <w:jc w:val="right"/>
              <w:rPr>
                <w:sz w:val="24"/>
              </w:rPr>
            </w:pPr>
            <w:r>
              <w:rPr>
                <w:rFonts w:hint="eastAsia"/>
                <w:sz w:val="24"/>
              </w:rPr>
              <w:t>9,</w:t>
            </w:r>
            <w:r>
              <w:rPr>
                <w:sz w:val="24"/>
              </w:rPr>
              <w:t>297</w:t>
            </w:r>
          </w:p>
        </w:tc>
        <w:tc>
          <w:tcPr>
            <w:tcW w:w="2340" w:type="dxa"/>
            <w:tcBorders>
              <w:top w:val="nil"/>
              <w:left w:val="single" w:sz="2" w:space="0" w:color="008000"/>
              <w:bottom w:val="nil"/>
              <w:right w:val="nil"/>
            </w:tcBorders>
            <w:vAlign w:val="center"/>
          </w:tcPr>
          <w:p w:rsidR="001031BB" w:rsidRDefault="001031BB" w:rsidP="001031BB">
            <w:pPr>
              <w:adjustRightInd w:val="0"/>
              <w:snapToGrid w:val="0"/>
              <w:spacing w:line="360" w:lineRule="auto"/>
              <w:jc w:val="right"/>
              <w:rPr>
                <w:sz w:val="24"/>
              </w:rPr>
            </w:pPr>
            <w:r>
              <w:rPr>
                <w:rFonts w:hint="eastAsia"/>
                <w:sz w:val="24"/>
              </w:rPr>
              <w:t>1</w:t>
            </w:r>
            <w:r>
              <w:rPr>
                <w:sz w:val="24"/>
              </w:rPr>
              <w:t>,984</w:t>
            </w:r>
          </w:p>
        </w:tc>
      </w:tr>
      <w:tr w:rsidR="001031BB" w:rsidTr="001031BB">
        <w:trPr>
          <w:trHeight w:val="300"/>
        </w:trPr>
        <w:tc>
          <w:tcPr>
            <w:tcW w:w="4140" w:type="dxa"/>
            <w:tcBorders>
              <w:top w:val="nil"/>
              <w:left w:val="nil"/>
              <w:bottom w:val="nil"/>
              <w:right w:val="single" w:sz="8" w:space="0" w:color="008000"/>
            </w:tcBorders>
            <w:vAlign w:val="center"/>
          </w:tcPr>
          <w:p w:rsidR="001031BB" w:rsidRDefault="001031BB" w:rsidP="001031BB">
            <w:pPr>
              <w:spacing w:line="360" w:lineRule="auto"/>
              <w:rPr>
                <w:sz w:val="24"/>
              </w:rPr>
            </w:pPr>
            <w:r>
              <w:rPr>
                <w:sz w:val="24"/>
              </w:rPr>
              <w:t>Bonds issued by international institutions</w:t>
            </w:r>
          </w:p>
        </w:tc>
        <w:tc>
          <w:tcPr>
            <w:tcW w:w="1800" w:type="dxa"/>
            <w:tcBorders>
              <w:top w:val="nil"/>
              <w:left w:val="single" w:sz="8" w:space="0" w:color="008000"/>
              <w:bottom w:val="nil"/>
              <w:right w:val="single" w:sz="2" w:space="0" w:color="008000"/>
            </w:tcBorders>
            <w:vAlign w:val="center"/>
          </w:tcPr>
          <w:p w:rsidR="001031BB" w:rsidRDefault="001031BB" w:rsidP="001031BB">
            <w:pPr>
              <w:adjustRightInd w:val="0"/>
              <w:snapToGrid w:val="0"/>
              <w:spacing w:line="360" w:lineRule="auto"/>
              <w:jc w:val="right"/>
              <w:rPr>
                <w:sz w:val="24"/>
              </w:rPr>
            </w:pPr>
            <w:r>
              <w:rPr>
                <w:rFonts w:hint="eastAsia"/>
                <w:sz w:val="24"/>
              </w:rPr>
              <w:t xml:space="preserve">       </w:t>
            </w:r>
            <w:r>
              <w:rPr>
                <w:sz w:val="24"/>
              </w:rPr>
              <w:t>548</w:t>
            </w:r>
          </w:p>
        </w:tc>
        <w:tc>
          <w:tcPr>
            <w:tcW w:w="2340" w:type="dxa"/>
            <w:tcBorders>
              <w:top w:val="nil"/>
              <w:left w:val="single" w:sz="2" w:space="0" w:color="008000"/>
              <w:bottom w:val="nil"/>
              <w:right w:val="nil"/>
            </w:tcBorders>
            <w:vAlign w:val="center"/>
          </w:tcPr>
          <w:p w:rsidR="001031BB" w:rsidRDefault="001031BB" w:rsidP="001031BB">
            <w:pPr>
              <w:adjustRightInd w:val="0"/>
              <w:snapToGrid w:val="0"/>
              <w:spacing w:line="360" w:lineRule="auto"/>
              <w:jc w:val="right"/>
              <w:rPr>
                <w:sz w:val="24"/>
              </w:rPr>
            </w:pPr>
            <w:r>
              <w:rPr>
                <w:sz w:val="24"/>
              </w:rPr>
              <w:t>35</w:t>
            </w:r>
          </w:p>
        </w:tc>
      </w:tr>
      <w:tr w:rsidR="001031BB" w:rsidTr="001031BB">
        <w:trPr>
          <w:trHeight w:val="300"/>
        </w:trPr>
        <w:tc>
          <w:tcPr>
            <w:tcW w:w="4140" w:type="dxa"/>
            <w:tcBorders>
              <w:top w:val="nil"/>
              <w:left w:val="nil"/>
              <w:bottom w:val="single" w:sz="12" w:space="0" w:color="008000"/>
              <w:right w:val="single" w:sz="8" w:space="0" w:color="008000"/>
            </w:tcBorders>
            <w:shd w:val="clear" w:color="auto" w:fill="CCFFCC"/>
            <w:vAlign w:val="center"/>
          </w:tcPr>
          <w:p w:rsidR="001031BB" w:rsidRDefault="001031BB" w:rsidP="001031BB">
            <w:pPr>
              <w:spacing w:line="360" w:lineRule="auto"/>
              <w:rPr>
                <w:sz w:val="24"/>
              </w:rPr>
            </w:pPr>
            <w:r>
              <w:rPr>
                <w:sz w:val="24"/>
              </w:rPr>
              <w:t xml:space="preserve">Total </w:t>
            </w:r>
          </w:p>
        </w:tc>
        <w:tc>
          <w:tcPr>
            <w:tcW w:w="1800" w:type="dxa"/>
            <w:tcBorders>
              <w:top w:val="nil"/>
              <w:left w:val="nil"/>
              <w:bottom w:val="single" w:sz="12" w:space="0" w:color="008000"/>
              <w:right w:val="single" w:sz="2" w:space="0" w:color="008000"/>
            </w:tcBorders>
            <w:shd w:val="clear" w:color="auto" w:fill="CCFFCC"/>
            <w:vAlign w:val="center"/>
          </w:tcPr>
          <w:p w:rsidR="001031BB" w:rsidRDefault="001031BB" w:rsidP="001031BB">
            <w:pPr>
              <w:adjustRightInd w:val="0"/>
              <w:snapToGrid w:val="0"/>
              <w:spacing w:line="360" w:lineRule="auto"/>
              <w:jc w:val="right"/>
              <w:rPr>
                <w:sz w:val="24"/>
              </w:rPr>
            </w:pPr>
            <w:r>
              <w:rPr>
                <w:rFonts w:hint="eastAsia"/>
                <w:sz w:val="24"/>
              </w:rPr>
              <w:t>323,271</w:t>
            </w:r>
          </w:p>
        </w:tc>
        <w:tc>
          <w:tcPr>
            <w:tcW w:w="2340" w:type="dxa"/>
            <w:tcBorders>
              <w:top w:val="nil"/>
              <w:left w:val="single" w:sz="2" w:space="0" w:color="008000"/>
              <w:bottom w:val="single" w:sz="12" w:space="0" w:color="008000"/>
              <w:right w:val="nil"/>
            </w:tcBorders>
            <w:shd w:val="clear" w:color="auto" w:fill="CCFFCC"/>
            <w:vAlign w:val="center"/>
          </w:tcPr>
          <w:p w:rsidR="001031BB" w:rsidRDefault="001031BB" w:rsidP="001031BB">
            <w:pPr>
              <w:adjustRightInd w:val="0"/>
              <w:snapToGrid w:val="0"/>
              <w:spacing w:line="360" w:lineRule="auto"/>
              <w:jc w:val="right"/>
              <w:rPr>
                <w:sz w:val="24"/>
              </w:rPr>
            </w:pPr>
            <w:r>
              <w:rPr>
                <w:sz w:val="24"/>
              </w:rPr>
              <w:t>22,545</w:t>
            </w:r>
          </w:p>
        </w:tc>
      </w:tr>
    </w:tbl>
    <w:p w:rsidR="001031BB" w:rsidRDefault="001031BB" w:rsidP="001031BB">
      <w:pPr>
        <w:adjustRightInd w:val="0"/>
        <w:snapToGrid w:val="0"/>
        <w:spacing w:line="360" w:lineRule="auto"/>
        <w:rPr>
          <w:sz w:val="24"/>
        </w:rPr>
      </w:pPr>
      <w:r>
        <w:rPr>
          <w:sz w:val="24"/>
        </w:rPr>
        <w:t xml:space="preserve">Notes: </w:t>
      </w:r>
      <w:r>
        <w:rPr>
          <w:rFonts w:hint="eastAsia"/>
          <w:sz w:val="24"/>
        </w:rPr>
        <w:t>①</w:t>
      </w:r>
      <w:r>
        <w:rPr>
          <w:sz w:val="24"/>
        </w:rPr>
        <w:t xml:space="preserve"> Including financial bonds issued by the China Development Bank, policy financial bonds,</w:t>
      </w:r>
      <w:r>
        <w:rPr>
          <w:rFonts w:hint="eastAsia"/>
          <w:sz w:val="24"/>
        </w:rPr>
        <w:t xml:space="preserve"> bonds issued </w:t>
      </w:r>
      <w:r>
        <w:rPr>
          <w:sz w:val="24"/>
        </w:rPr>
        <w:t>by commercial bank</w:t>
      </w:r>
      <w:r>
        <w:rPr>
          <w:rFonts w:hint="eastAsia"/>
          <w:sz w:val="24"/>
        </w:rPr>
        <w:t xml:space="preserve">s (including </w:t>
      </w:r>
      <w:r>
        <w:rPr>
          <w:sz w:val="24"/>
        </w:rPr>
        <w:t>ordinary bonds</w:t>
      </w:r>
      <w:r>
        <w:rPr>
          <w:rFonts w:hint="eastAsia"/>
          <w:sz w:val="24"/>
        </w:rPr>
        <w:t>,</w:t>
      </w:r>
      <w:r>
        <w:rPr>
          <w:sz w:val="24"/>
        </w:rPr>
        <w:t xml:space="preserve"> subordinated bonds, </w:t>
      </w:r>
      <w:r>
        <w:rPr>
          <w:rFonts w:hint="eastAsia"/>
          <w:sz w:val="24"/>
        </w:rPr>
        <w:t xml:space="preserve">and </w:t>
      </w:r>
      <w:r>
        <w:rPr>
          <w:sz w:val="24"/>
        </w:rPr>
        <w:t>hybrid bonds</w:t>
      </w:r>
      <w:r>
        <w:rPr>
          <w:rFonts w:hint="eastAsia"/>
          <w:sz w:val="24"/>
        </w:rPr>
        <w:t>)</w:t>
      </w:r>
      <w:r>
        <w:rPr>
          <w:sz w:val="24"/>
        </w:rPr>
        <w:t xml:space="preserve">, bonds issued by securities firms, interbank certificates of deposits, and so forth. </w:t>
      </w:r>
    </w:p>
    <w:p w:rsidR="001031BB" w:rsidRDefault="001031BB" w:rsidP="001031BB">
      <w:pPr>
        <w:adjustRightInd w:val="0"/>
        <w:snapToGrid w:val="0"/>
        <w:spacing w:line="360" w:lineRule="auto"/>
        <w:rPr>
          <w:sz w:val="24"/>
        </w:rPr>
      </w:pPr>
      <w:r>
        <w:rPr>
          <w:rFonts w:hint="eastAsia"/>
          <w:sz w:val="24"/>
        </w:rPr>
        <w:t>②</w:t>
      </w:r>
      <w:r>
        <w:rPr>
          <w:sz w:val="24"/>
        </w:rPr>
        <w:t xml:space="preserve"> Including debt-financing instruments issued by non-financial enterprises, enterprise bonds, corporate bonds, convertible bonds, bonds with detachable warrants, privately placed SME bonds, and so forth. </w:t>
      </w:r>
    </w:p>
    <w:p w:rsidR="001031BB" w:rsidRDefault="001031BB" w:rsidP="001031BB">
      <w:pPr>
        <w:autoSpaceDE w:val="0"/>
        <w:autoSpaceDN w:val="0"/>
        <w:adjustRightInd w:val="0"/>
        <w:snapToGrid w:val="0"/>
        <w:spacing w:line="360" w:lineRule="auto"/>
        <w:rPr>
          <w:sz w:val="24"/>
        </w:rPr>
      </w:pPr>
      <w:r>
        <w:rPr>
          <w:sz w:val="24"/>
        </w:rPr>
        <w:t>Sources: People’s Bank of China, National Development and Reform Commission, China Securities Regulatory Commission, and China Central Clearing Co., Ltd.</w:t>
      </w:r>
    </w:p>
    <w:p w:rsidR="001031BB" w:rsidRDefault="001031BB" w:rsidP="001031BB">
      <w:pPr>
        <w:tabs>
          <w:tab w:val="left" w:pos="5580"/>
        </w:tabs>
        <w:autoSpaceDN w:val="0"/>
        <w:spacing w:line="360" w:lineRule="auto"/>
        <w:rPr>
          <w:sz w:val="24"/>
        </w:rPr>
      </w:pPr>
    </w:p>
    <w:p w:rsidR="001031BB" w:rsidRDefault="001031BB" w:rsidP="001031BB">
      <w:pPr>
        <w:spacing w:line="360" w:lineRule="auto"/>
        <w:rPr>
          <w:b/>
          <w:sz w:val="24"/>
        </w:rPr>
      </w:pPr>
      <w:bookmarkStart w:id="77" w:name="_Toc484425032"/>
      <w:bookmarkStart w:id="78" w:name="_Toc484424777"/>
      <w:bookmarkStart w:id="79" w:name="_Toc198548793"/>
      <w:bookmarkStart w:id="80" w:name="_Toc498108836"/>
      <w:bookmarkStart w:id="81" w:name="_Toc197337766"/>
      <w:bookmarkStart w:id="82" w:name="_Toc426729158"/>
      <w:bookmarkStart w:id="83" w:name="_Toc458009418"/>
      <w:bookmarkStart w:id="84" w:name="_Toc191457273"/>
      <w:r>
        <w:rPr>
          <w:b/>
          <w:sz w:val="24"/>
        </w:rPr>
        <w:t xml:space="preserve">3. The volume of bill financing grew </w:t>
      </w:r>
      <w:r>
        <w:rPr>
          <w:rFonts w:hint="eastAsia"/>
          <w:b/>
          <w:sz w:val="24"/>
        </w:rPr>
        <w:t>rapidly, wh</w:t>
      </w:r>
      <w:r>
        <w:rPr>
          <w:b/>
          <w:sz w:val="24"/>
        </w:rPr>
        <w:t>ereas</w:t>
      </w:r>
      <w:r>
        <w:rPr>
          <w:rFonts w:hint="eastAsia"/>
          <w:b/>
          <w:sz w:val="24"/>
        </w:rPr>
        <w:t xml:space="preserve"> </w:t>
      </w:r>
      <w:r>
        <w:rPr>
          <w:b/>
          <w:sz w:val="24"/>
        </w:rPr>
        <w:t>interest rates</w:t>
      </w:r>
      <w:r>
        <w:rPr>
          <w:rFonts w:hint="eastAsia"/>
          <w:b/>
          <w:sz w:val="24"/>
        </w:rPr>
        <w:t xml:space="preserve"> declined amidst fluctuations</w:t>
      </w:r>
    </w:p>
    <w:p w:rsidR="001031BB" w:rsidRDefault="001031BB" w:rsidP="001031BB">
      <w:pPr>
        <w:autoSpaceDE w:val="0"/>
        <w:autoSpaceDN w:val="0"/>
        <w:adjustRightInd w:val="0"/>
        <w:spacing w:line="360" w:lineRule="auto"/>
        <w:rPr>
          <w:sz w:val="24"/>
        </w:rPr>
      </w:pPr>
      <w:r>
        <w:rPr>
          <w:b/>
          <w:sz w:val="24"/>
        </w:rPr>
        <w:t>The bill acceptance</w:t>
      </w:r>
      <w:r>
        <w:rPr>
          <w:rFonts w:hint="eastAsia"/>
          <w:b/>
          <w:sz w:val="24"/>
        </w:rPr>
        <w:t xml:space="preserve"> business stabilized and picked up. </w:t>
      </w:r>
      <w:r>
        <w:rPr>
          <w:rFonts w:hint="eastAsia"/>
          <w:sz w:val="24"/>
        </w:rPr>
        <w:t>The outstanding</w:t>
      </w:r>
      <w:r>
        <w:rPr>
          <w:sz w:val="24"/>
        </w:rPr>
        <w:t xml:space="preserve"> </w:t>
      </w:r>
      <w:r>
        <w:rPr>
          <w:rFonts w:hint="eastAsia"/>
          <w:sz w:val="24"/>
        </w:rPr>
        <w:t xml:space="preserve">volume of </w:t>
      </w:r>
      <w:r>
        <w:rPr>
          <w:sz w:val="24"/>
        </w:rPr>
        <w:t>bill acceptances</w:t>
      </w:r>
      <w:r>
        <w:rPr>
          <w:rFonts w:hint="eastAsia"/>
          <w:sz w:val="24"/>
        </w:rPr>
        <w:t xml:space="preserve"> continued its recovery.</w:t>
      </w:r>
      <w:r>
        <w:rPr>
          <w:sz w:val="24"/>
        </w:rPr>
        <w:t xml:space="preserve"> At end-</w:t>
      </w:r>
      <w:r>
        <w:rPr>
          <w:rFonts w:hint="eastAsia"/>
          <w:sz w:val="24"/>
        </w:rPr>
        <w:t>September</w:t>
      </w:r>
      <w:r>
        <w:rPr>
          <w:sz w:val="24"/>
        </w:rPr>
        <w:t xml:space="preserve">, </w:t>
      </w:r>
      <w:r>
        <w:rPr>
          <w:rFonts w:hint="eastAsia"/>
          <w:sz w:val="24"/>
        </w:rPr>
        <w:t>t</w:t>
      </w:r>
      <w:r>
        <w:rPr>
          <w:sz w:val="24"/>
        </w:rPr>
        <w:t xml:space="preserve">he </w:t>
      </w:r>
      <w:r>
        <w:rPr>
          <w:rFonts w:hint="eastAsia"/>
          <w:sz w:val="24"/>
        </w:rPr>
        <w:t>outstanding</w:t>
      </w:r>
      <w:r>
        <w:rPr>
          <w:sz w:val="24"/>
        </w:rPr>
        <w:t xml:space="preserve"> </w:t>
      </w:r>
      <w:r>
        <w:rPr>
          <w:rFonts w:hint="eastAsia"/>
          <w:sz w:val="24"/>
        </w:rPr>
        <w:t xml:space="preserve">volume of </w:t>
      </w:r>
      <w:r>
        <w:rPr>
          <w:sz w:val="24"/>
        </w:rPr>
        <w:t>bill acceptances</w:t>
      </w:r>
      <w:r>
        <w:rPr>
          <w:rFonts w:hint="eastAsia"/>
          <w:sz w:val="24"/>
        </w:rPr>
        <w:t xml:space="preserve"> increased RMB 536.5 billion from the beginning of 2018 and RMB 175.3 billion from end-June</w:t>
      </w:r>
      <w:r>
        <w:rPr>
          <w:sz w:val="24"/>
        </w:rPr>
        <w:t xml:space="preserve"> </w:t>
      </w:r>
      <w:r>
        <w:rPr>
          <w:rFonts w:hint="eastAsia"/>
          <w:sz w:val="24"/>
        </w:rPr>
        <w:t>respectively</w:t>
      </w:r>
      <w:r>
        <w:rPr>
          <w:sz w:val="24"/>
        </w:rPr>
        <w:t>. During</w:t>
      </w:r>
      <w:r>
        <w:rPr>
          <w:rFonts w:hint="eastAsia"/>
          <w:sz w:val="24"/>
        </w:rPr>
        <w:t xml:space="preserve"> the first three quarters, </w:t>
      </w:r>
      <w:r>
        <w:rPr>
          <w:sz w:val="24"/>
        </w:rPr>
        <w:t xml:space="preserve">commercial bills issued by enterprises </w:t>
      </w:r>
      <w:r>
        <w:rPr>
          <w:rFonts w:hint="eastAsia"/>
          <w:sz w:val="24"/>
        </w:rPr>
        <w:t>totaled</w:t>
      </w:r>
      <w:r>
        <w:rPr>
          <w:sz w:val="24"/>
        </w:rPr>
        <w:t xml:space="preserve"> RMB </w:t>
      </w:r>
      <w:r>
        <w:rPr>
          <w:rFonts w:hint="eastAsia"/>
          <w:sz w:val="24"/>
        </w:rPr>
        <w:t xml:space="preserve">11.8 </w:t>
      </w:r>
      <w:r>
        <w:rPr>
          <w:sz w:val="24"/>
        </w:rPr>
        <w:t xml:space="preserve">trillion, a decrease of </w:t>
      </w:r>
      <w:r>
        <w:rPr>
          <w:rFonts w:hint="eastAsia"/>
          <w:sz w:val="24"/>
        </w:rPr>
        <w:t xml:space="preserve">10.3 </w:t>
      </w:r>
      <w:r>
        <w:rPr>
          <w:sz w:val="24"/>
        </w:rPr>
        <w:t>percent year on year. Outstanding commercial bills posted RMB 8.</w:t>
      </w:r>
      <w:r>
        <w:rPr>
          <w:rFonts w:hint="eastAsia"/>
          <w:sz w:val="24"/>
        </w:rPr>
        <w:t>7</w:t>
      </w:r>
      <w:r>
        <w:rPr>
          <w:sz w:val="24"/>
        </w:rPr>
        <w:t xml:space="preserve"> trillion, a</w:t>
      </w:r>
      <w:r>
        <w:rPr>
          <w:rFonts w:hint="eastAsia"/>
          <w:sz w:val="24"/>
        </w:rPr>
        <w:t>n increase</w:t>
      </w:r>
      <w:r>
        <w:rPr>
          <w:sz w:val="24"/>
        </w:rPr>
        <w:t xml:space="preserve"> of </w:t>
      </w:r>
      <w:r>
        <w:rPr>
          <w:rFonts w:hint="eastAsia"/>
          <w:sz w:val="24"/>
        </w:rPr>
        <w:t>7</w:t>
      </w:r>
      <w:r>
        <w:rPr>
          <w:sz w:val="24"/>
        </w:rPr>
        <w:t>.</w:t>
      </w:r>
      <w:r>
        <w:rPr>
          <w:rFonts w:hint="eastAsia"/>
          <w:sz w:val="24"/>
        </w:rPr>
        <w:t xml:space="preserve">1 </w:t>
      </w:r>
      <w:r>
        <w:rPr>
          <w:sz w:val="24"/>
        </w:rPr>
        <w:t xml:space="preserve">percent year on year. In terms of </w:t>
      </w:r>
      <w:r>
        <w:rPr>
          <w:rFonts w:hint="eastAsia"/>
          <w:sz w:val="24"/>
        </w:rPr>
        <w:t>the issuing industries</w:t>
      </w:r>
      <w:r>
        <w:rPr>
          <w:sz w:val="24"/>
        </w:rPr>
        <w:t xml:space="preserve">, outstanding bankers’ </w:t>
      </w:r>
      <w:r>
        <w:rPr>
          <w:sz w:val="24"/>
        </w:rPr>
        <w:lastRenderedPageBreak/>
        <w:t>acceptances were mainly issued by enterprises in the manufacturing, wholesale, and retail industries</w:t>
      </w:r>
      <w:r>
        <w:rPr>
          <w:rFonts w:hint="eastAsia"/>
          <w:sz w:val="24"/>
        </w:rPr>
        <w:t xml:space="preserve">, with </w:t>
      </w:r>
      <w:r>
        <w:rPr>
          <w:sz w:val="24"/>
        </w:rPr>
        <w:t>small- and medium-sized enterprises issu</w:t>
      </w:r>
      <w:r>
        <w:rPr>
          <w:rFonts w:hint="eastAsia"/>
          <w:sz w:val="24"/>
        </w:rPr>
        <w:t>ing</w:t>
      </w:r>
      <w:r>
        <w:rPr>
          <w:sz w:val="24"/>
        </w:rPr>
        <w:t xml:space="preserve"> about two-thirds of the total.</w:t>
      </w:r>
    </w:p>
    <w:bookmarkEnd w:id="77"/>
    <w:bookmarkEnd w:id="78"/>
    <w:p w:rsidR="001031BB" w:rsidRDefault="001031BB" w:rsidP="001031BB">
      <w:pPr>
        <w:autoSpaceDE w:val="0"/>
        <w:autoSpaceDN w:val="0"/>
        <w:adjustRightInd w:val="0"/>
        <w:spacing w:line="360" w:lineRule="auto"/>
        <w:rPr>
          <w:sz w:val="24"/>
        </w:rPr>
      </w:pPr>
    </w:p>
    <w:p w:rsidR="001031BB" w:rsidRDefault="001031BB" w:rsidP="001031BB">
      <w:pPr>
        <w:autoSpaceDE w:val="0"/>
        <w:autoSpaceDN w:val="0"/>
        <w:adjustRightInd w:val="0"/>
        <w:spacing w:line="360" w:lineRule="auto"/>
        <w:rPr>
          <w:sz w:val="24"/>
        </w:rPr>
      </w:pPr>
      <w:r>
        <w:rPr>
          <w:b/>
          <w:sz w:val="24"/>
        </w:rPr>
        <w:t>The outstanding volume of bill financing</w:t>
      </w:r>
      <w:r>
        <w:rPr>
          <w:rFonts w:hint="eastAsia"/>
          <w:b/>
          <w:sz w:val="24"/>
        </w:rPr>
        <w:t xml:space="preserve"> </w:t>
      </w:r>
      <w:r>
        <w:rPr>
          <w:b/>
          <w:sz w:val="24"/>
        </w:rPr>
        <w:t>witnessed</w:t>
      </w:r>
      <w:r>
        <w:rPr>
          <w:rFonts w:hint="eastAsia"/>
          <w:b/>
          <w:sz w:val="24"/>
        </w:rPr>
        <w:t xml:space="preserve"> fast growth,</w:t>
      </w:r>
      <w:r>
        <w:rPr>
          <w:b/>
          <w:sz w:val="24"/>
        </w:rPr>
        <w:t xml:space="preserve"> </w:t>
      </w:r>
      <w:r>
        <w:rPr>
          <w:rFonts w:hint="eastAsia"/>
          <w:b/>
          <w:sz w:val="24"/>
        </w:rPr>
        <w:t>wh</w:t>
      </w:r>
      <w:r>
        <w:rPr>
          <w:b/>
          <w:sz w:val="24"/>
        </w:rPr>
        <w:t xml:space="preserve">ereas bill market interest rates </w:t>
      </w:r>
      <w:r>
        <w:rPr>
          <w:rFonts w:hint="eastAsia"/>
          <w:b/>
          <w:sz w:val="24"/>
        </w:rPr>
        <w:t>declined amidst fluctuations</w:t>
      </w:r>
      <w:r>
        <w:rPr>
          <w:b/>
          <w:sz w:val="24"/>
        </w:rPr>
        <w:t>.</w:t>
      </w:r>
      <w:r>
        <w:rPr>
          <w:sz w:val="24"/>
        </w:rPr>
        <w:t xml:space="preserve"> </w:t>
      </w:r>
      <w:r>
        <w:rPr>
          <w:rFonts w:hint="eastAsia"/>
          <w:sz w:val="24"/>
        </w:rPr>
        <w:t>The</w:t>
      </w:r>
      <w:r>
        <w:rPr>
          <w:sz w:val="24"/>
        </w:rPr>
        <w:t xml:space="preserve"> </w:t>
      </w:r>
      <w:r>
        <w:rPr>
          <w:rFonts w:hint="eastAsia"/>
          <w:sz w:val="24"/>
        </w:rPr>
        <w:t>increase in the balance of o</w:t>
      </w:r>
      <w:r>
        <w:rPr>
          <w:sz w:val="24"/>
        </w:rPr>
        <w:t>utstanding bill financing</w:t>
      </w:r>
      <w:r>
        <w:rPr>
          <w:rFonts w:hint="eastAsia"/>
          <w:sz w:val="24"/>
        </w:rPr>
        <w:t xml:space="preserve"> accelerated. At end-September, the balance</w:t>
      </w:r>
      <w:r>
        <w:rPr>
          <w:sz w:val="24"/>
        </w:rPr>
        <w:t xml:space="preserve"> had</w:t>
      </w:r>
      <w:r>
        <w:rPr>
          <w:rFonts w:hint="eastAsia"/>
          <w:sz w:val="24"/>
        </w:rPr>
        <w:t xml:space="preserve"> increased RMB 1.2114 trillion from the beginning of 2018 and RMB 825.7 billion from end-June.  </w:t>
      </w:r>
      <w:r>
        <w:rPr>
          <w:sz w:val="24"/>
        </w:rPr>
        <w:t xml:space="preserve">The share of outstanding bill financing </w:t>
      </w:r>
      <w:r>
        <w:rPr>
          <w:rFonts w:hint="eastAsia"/>
          <w:sz w:val="24"/>
        </w:rPr>
        <w:t>in</w:t>
      </w:r>
      <w:r>
        <w:rPr>
          <w:sz w:val="24"/>
        </w:rPr>
        <w:t xml:space="preserve"> the total outstanding loans was 3.</w:t>
      </w:r>
      <w:r>
        <w:rPr>
          <w:rFonts w:hint="eastAsia"/>
          <w:sz w:val="24"/>
        </w:rPr>
        <w:t>83</w:t>
      </w:r>
      <w:r>
        <w:rPr>
          <w:sz w:val="24"/>
        </w:rPr>
        <w:t xml:space="preserve"> percent, a</w:t>
      </w:r>
      <w:r>
        <w:rPr>
          <w:rFonts w:hint="eastAsia"/>
          <w:sz w:val="24"/>
        </w:rPr>
        <w:t xml:space="preserve"> year-on-year</w:t>
      </w:r>
      <w:r>
        <w:rPr>
          <w:sz w:val="24"/>
        </w:rPr>
        <w:t xml:space="preserve"> </w:t>
      </w:r>
      <w:r>
        <w:rPr>
          <w:rFonts w:hint="eastAsia"/>
          <w:sz w:val="24"/>
        </w:rPr>
        <w:t>in</w:t>
      </w:r>
      <w:r>
        <w:rPr>
          <w:sz w:val="24"/>
        </w:rPr>
        <w:t xml:space="preserve">crease of </w:t>
      </w:r>
      <w:r>
        <w:rPr>
          <w:rFonts w:hint="eastAsia"/>
          <w:sz w:val="24"/>
        </w:rPr>
        <w:t xml:space="preserve">0.6 </w:t>
      </w:r>
      <w:r>
        <w:rPr>
          <w:sz w:val="24"/>
        </w:rPr>
        <w:t>percentage point.</w:t>
      </w:r>
      <w:r>
        <w:rPr>
          <w:rFonts w:hint="eastAsia"/>
          <w:sz w:val="24"/>
        </w:rPr>
        <w:t xml:space="preserve"> </w:t>
      </w:r>
      <w:r>
        <w:rPr>
          <w:sz w:val="24"/>
        </w:rPr>
        <w:t>During</w:t>
      </w:r>
      <w:r>
        <w:rPr>
          <w:rFonts w:hint="eastAsia"/>
          <w:sz w:val="24"/>
        </w:rPr>
        <w:t xml:space="preserve"> the first three quarters</w:t>
      </w:r>
      <w:r>
        <w:rPr>
          <w:sz w:val="24"/>
        </w:rPr>
        <w:t xml:space="preserve">, financial institutions discounted a total of RMB </w:t>
      </w:r>
      <w:r>
        <w:rPr>
          <w:rFonts w:hint="eastAsia"/>
          <w:sz w:val="24"/>
        </w:rPr>
        <w:t>21.8</w:t>
      </w:r>
      <w:r>
        <w:rPr>
          <w:sz w:val="24"/>
        </w:rPr>
        <w:t xml:space="preserve"> trillion of commercial bills</w:t>
      </w:r>
      <w:r>
        <w:rPr>
          <w:rFonts w:hint="eastAsia"/>
          <w:sz w:val="24"/>
        </w:rPr>
        <w:t xml:space="preserve"> and registered </w:t>
      </w:r>
      <w:r>
        <w:rPr>
          <w:sz w:val="24"/>
        </w:rPr>
        <w:t xml:space="preserve">a decline of </w:t>
      </w:r>
      <w:r>
        <w:rPr>
          <w:rFonts w:hint="eastAsia"/>
          <w:sz w:val="24"/>
        </w:rPr>
        <w:t>30.2</w:t>
      </w:r>
      <w:r>
        <w:rPr>
          <w:sz w:val="24"/>
        </w:rPr>
        <w:t xml:space="preserve"> percent year on year</w:t>
      </w:r>
      <w:r>
        <w:rPr>
          <w:rFonts w:hint="eastAsia"/>
          <w:sz w:val="24"/>
        </w:rPr>
        <w:t xml:space="preserve">, which was mainly due to the large decrease </w:t>
      </w:r>
      <w:r>
        <w:rPr>
          <w:sz w:val="24"/>
        </w:rPr>
        <w:t>in</w:t>
      </w:r>
      <w:r>
        <w:rPr>
          <w:rFonts w:hint="eastAsia"/>
          <w:sz w:val="24"/>
        </w:rPr>
        <w:t xml:space="preserve"> bill-to-discount swaps. </w:t>
      </w:r>
      <w:r>
        <w:rPr>
          <w:sz w:val="24"/>
        </w:rPr>
        <w:t>In Q3</w:t>
      </w:r>
      <w:r>
        <w:rPr>
          <w:rFonts w:hint="eastAsia"/>
          <w:sz w:val="24"/>
        </w:rPr>
        <w:t xml:space="preserve">, </w:t>
      </w:r>
      <w:r>
        <w:rPr>
          <w:sz w:val="24"/>
        </w:rPr>
        <w:t xml:space="preserve">liquidity </w:t>
      </w:r>
      <w:r>
        <w:rPr>
          <w:rFonts w:hint="eastAsia"/>
          <w:sz w:val="24"/>
        </w:rPr>
        <w:t>in</w:t>
      </w:r>
      <w:r>
        <w:rPr>
          <w:sz w:val="24"/>
        </w:rPr>
        <w:t xml:space="preserve"> the banking system was</w:t>
      </w:r>
      <w:r>
        <w:rPr>
          <w:rFonts w:hint="eastAsia"/>
          <w:sz w:val="24"/>
        </w:rPr>
        <w:t xml:space="preserve"> reasonably adequate</w:t>
      </w:r>
      <w:r>
        <w:rPr>
          <w:sz w:val="24"/>
        </w:rPr>
        <w:t xml:space="preserve">. </w:t>
      </w:r>
      <w:r>
        <w:rPr>
          <w:rFonts w:hint="eastAsia"/>
          <w:sz w:val="24"/>
        </w:rPr>
        <w:t xml:space="preserve">As the fund supply </w:t>
      </w:r>
      <w:r>
        <w:rPr>
          <w:sz w:val="24"/>
        </w:rPr>
        <w:t>in</w:t>
      </w:r>
      <w:r>
        <w:rPr>
          <w:rFonts w:hint="eastAsia"/>
          <w:sz w:val="24"/>
        </w:rPr>
        <w:t xml:space="preserve"> the bill market increased</w:t>
      </w:r>
      <w:r w:rsidRPr="00024492">
        <w:rPr>
          <w:rFonts w:hint="eastAsia"/>
          <w:sz w:val="24"/>
        </w:rPr>
        <w:t xml:space="preserve"> </w:t>
      </w:r>
      <w:r>
        <w:rPr>
          <w:rFonts w:hint="eastAsia"/>
          <w:sz w:val="24"/>
        </w:rPr>
        <w:t>somewhat,</w:t>
      </w:r>
      <w:r>
        <w:rPr>
          <w:sz w:val="24"/>
        </w:rPr>
        <w:t xml:space="preserve"> bill interest rates </w:t>
      </w:r>
      <w:r>
        <w:rPr>
          <w:rFonts w:hint="eastAsia"/>
          <w:sz w:val="24"/>
        </w:rPr>
        <w:t xml:space="preserve">declined amidst fluctuations. </w:t>
      </w:r>
    </w:p>
    <w:p w:rsidR="001031BB" w:rsidRDefault="001031BB" w:rsidP="001031BB">
      <w:pPr>
        <w:tabs>
          <w:tab w:val="left" w:pos="5580"/>
        </w:tabs>
        <w:autoSpaceDN w:val="0"/>
        <w:spacing w:line="360" w:lineRule="auto"/>
        <w:rPr>
          <w:sz w:val="24"/>
        </w:rPr>
      </w:pPr>
    </w:p>
    <w:p w:rsidR="001031BB" w:rsidRDefault="001031BB" w:rsidP="001031BB">
      <w:pPr>
        <w:numPr>
          <w:ilvl w:val="0"/>
          <w:numId w:val="9"/>
        </w:numPr>
        <w:autoSpaceDE w:val="0"/>
        <w:autoSpaceDN w:val="0"/>
        <w:adjustRightInd w:val="0"/>
        <w:spacing w:after="160" w:line="360" w:lineRule="auto"/>
        <w:rPr>
          <w:b/>
          <w:sz w:val="24"/>
        </w:rPr>
      </w:pPr>
      <w:r>
        <w:rPr>
          <w:b/>
          <w:sz w:val="24"/>
        </w:rPr>
        <w:t xml:space="preserve">The stock indices fell, and the </w:t>
      </w:r>
      <w:r>
        <w:rPr>
          <w:rFonts w:hint="eastAsia"/>
          <w:b/>
          <w:sz w:val="24"/>
        </w:rPr>
        <w:t>trading volume</w:t>
      </w:r>
      <w:r>
        <w:rPr>
          <w:b/>
          <w:sz w:val="24"/>
        </w:rPr>
        <w:t xml:space="preserve"> and the amount of equity financing decreased year on year</w:t>
      </w:r>
    </w:p>
    <w:p w:rsidR="001031BB" w:rsidRDefault="001031BB" w:rsidP="001031BB">
      <w:pPr>
        <w:autoSpaceDE w:val="0"/>
        <w:autoSpaceDN w:val="0"/>
        <w:adjustRightInd w:val="0"/>
        <w:spacing w:line="360" w:lineRule="auto"/>
        <w:rPr>
          <w:sz w:val="24"/>
        </w:rPr>
      </w:pPr>
      <w:r>
        <w:rPr>
          <w:rFonts w:hint="eastAsia"/>
          <w:b/>
          <w:sz w:val="24"/>
        </w:rPr>
        <w:t xml:space="preserve">The </w:t>
      </w:r>
      <w:r>
        <w:rPr>
          <w:b/>
          <w:sz w:val="24"/>
        </w:rPr>
        <w:t xml:space="preserve">stock indices </w:t>
      </w:r>
      <w:r>
        <w:rPr>
          <w:rFonts w:hint="eastAsia"/>
          <w:b/>
          <w:sz w:val="24"/>
        </w:rPr>
        <w:t>fell.</w:t>
      </w:r>
      <w:r>
        <w:rPr>
          <w:rFonts w:hint="eastAsia"/>
          <w:sz w:val="24"/>
        </w:rPr>
        <w:t xml:space="preserve"> At end-September, t</w:t>
      </w:r>
      <w:r>
        <w:rPr>
          <w:sz w:val="24"/>
        </w:rPr>
        <w:t xml:space="preserve">he Shanghai Stock Exchange Composite Index closed at </w:t>
      </w:r>
      <w:r>
        <w:rPr>
          <w:rFonts w:hint="eastAsia"/>
          <w:sz w:val="24"/>
        </w:rPr>
        <w:t>2</w:t>
      </w:r>
      <w:r>
        <w:rPr>
          <w:sz w:val="24"/>
        </w:rPr>
        <w:t>,</w:t>
      </w:r>
      <w:r>
        <w:rPr>
          <w:rFonts w:hint="eastAsia"/>
          <w:sz w:val="24"/>
        </w:rPr>
        <w:t xml:space="preserve">821 </w:t>
      </w:r>
      <w:r>
        <w:rPr>
          <w:sz w:val="24"/>
        </w:rPr>
        <w:t>points</w:t>
      </w:r>
      <w:r>
        <w:rPr>
          <w:rFonts w:hint="eastAsia"/>
          <w:sz w:val="24"/>
        </w:rPr>
        <w:t>,</w:t>
      </w:r>
      <w:r>
        <w:rPr>
          <w:sz w:val="24"/>
        </w:rPr>
        <w:t xml:space="preserve"> down </w:t>
      </w:r>
      <w:r>
        <w:rPr>
          <w:rFonts w:hint="eastAsia"/>
          <w:sz w:val="24"/>
        </w:rPr>
        <w:t>0.9</w:t>
      </w:r>
      <w:r>
        <w:rPr>
          <w:sz w:val="24"/>
        </w:rPr>
        <w:t xml:space="preserve"> percent from end-June. The Shenzhen Stock Exchange Component Index closed at </w:t>
      </w:r>
      <w:r>
        <w:rPr>
          <w:rFonts w:hint="eastAsia"/>
          <w:sz w:val="24"/>
        </w:rPr>
        <w:t>8</w:t>
      </w:r>
      <w:r>
        <w:rPr>
          <w:sz w:val="24"/>
        </w:rPr>
        <w:t>,410 points, down 1</w:t>
      </w:r>
      <w:r>
        <w:rPr>
          <w:rFonts w:hint="eastAsia"/>
          <w:sz w:val="24"/>
        </w:rPr>
        <w:t>0.4</w:t>
      </w:r>
      <w:r>
        <w:rPr>
          <w:sz w:val="24"/>
        </w:rPr>
        <w:t xml:space="preserve"> percent from end-June. </w:t>
      </w:r>
      <w:r>
        <w:rPr>
          <w:rFonts w:hint="eastAsia"/>
          <w:sz w:val="24"/>
        </w:rPr>
        <w:t>T</w:t>
      </w:r>
      <w:r>
        <w:rPr>
          <w:sz w:val="24"/>
        </w:rPr>
        <w:t>he Growth Enterprise Board (GEM Board) Index (Chinext Price Index) closed at 1,411</w:t>
      </w:r>
      <w:r>
        <w:rPr>
          <w:rFonts w:hint="eastAsia"/>
          <w:sz w:val="24"/>
        </w:rPr>
        <w:t xml:space="preserve"> </w:t>
      </w:r>
      <w:r>
        <w:rPr>
          <w:sz w:val="24"/>
        </w:rPr>
        <w:t>points,</w:t>
      </w:r>
      <w:r>
        <w:rPr>
          <w:rFonts w:hint="eastAsia"/>
          <w:sz w:val="24"/>
        </w:rPr>
        <w:t xml:space="preserve"> down</w:t>
      </w:r>
      <w:r>
        <w:rPr>
          <w:sz w:val="24"/>
        </w:rPr>
        <w:t xml:space="preserve"> 12.2 percent from end-June</w:t>
      </w:r>
      <w:r>
        <w:rPr>
          <w:rFonts w:hint="eastAsia"/>
          <w:sz w:val="24"/>
        </w:rPr>
        <w:t>.</w:t>
      </w:r>
      <w:r>
        <w:rPr>
          <w:sz w:val="24"/>
        </w:rPr>
        <w:t xml:space="preserve"> At </w:t>
      </w:r>
      <w:r>
        <w:rPr>
          <w:rFonts w:hint="eastAsia"/>
          <w:sz w:val="24"/>
        </w:rPr>
        <w:t>end-Septembe</w:t>
      </w:r>
      <w:r>
        <w:rPr>
          <w:sz w:val="24"/>
        </w:rPr>
        <w:t>r</w:t>
      </w:r>
      <w:r>
        <w:rPr>
          <w:rFonts w:hint="eastAsia"/>
          <w:sz w:val="24"/>
        </w:rPr>
        <w:t>,</w:t>
      </w:r>
      <w:r>
        <w:rPr>
          <w:sz w:val="24"/>
        </w:rPr>
        <w:t xml:space="preserve"> the weighted average P/E ratio of A-share</w:t>
      </w:r>
      <w:r>
        <w:rPr>
          <w:rFonts w:hint="eastAsia"/>
          <w:sz w:val="24"/>
        </w:rPr>
        <w:t xml:space="preserve">s </w:t>
      </w:r>
      <w:r>
        <w:rPr>
          <w:sz w:val="24"/>
        </w:rPr>
        <w:t>on the Shanghai Stock Exchange was 1</w:t>
      </w:r>
      <w:r>
        <w:rPr>
          <w:rFonts w:hint="eastAsia"/>
          <w:sz w:val="24"/>
        </w:rPr>
        <w:t>4.1</w:t>
      </w:r>
      <w:r>
        <w:rPr>
          <w:sz w:val="24"/>
        </w:rPr>
        <w:t xml:space="preserve"> times, unchanged from that at end-June, </w:t>
      </w:r>
      <w:r>
        <w:rPr>
          <w:rFonts w:hint="eastAsia"/>
          <w:sz w:val="24"/>
        </w:rPr>
        <w:t xml:space="preserve">and </w:t>
      </w:r>
      <w:r>
        <w:rPr>
          <w:sz w:val="24"/>
        </w:rPr>
        <w:t>t</w:t>
      </w:r>
      <w:r>
        <w:rPr>
          <w:rFonts w:hint="eastAsia"/>
          <w:sz w:val="24"/>
        </w:rPr>
        <w:t xml:space="preserve">hat </w:t>
      </w:r>
      <w:r>
        <w:rPr>
          <w:sz w:val="24"/>
        </w:rPr>
        <w:t xml:space="preserve">on the Shenzhen Stock Exchange </w:t>
      </w:r>
      <w:r>
        <w:rPr>
          <w:rFonts w:hint="eastAsia"/>
          <w:sz w:val="24"/>
        </w:rPr>
        <w:t>de</w:t>
      </w:r>
      <w:r>
        <w:rPr>
          <w:sz w:val="24"/>
        </w:rPr>
        <w:t xml:space="preserve">creased from 25.3 times at end-June to </w:t>
      </w:r>
      <w:r>
        <w:rPr>
          <w:rFonts w:hint="eastAsia"/>
          <w:sz w:val="24"/>
        </w:rPr>
        <w:t>2</w:t>
      </w:r>
      <w:r>
        <w:rPr>
          <w:sz w:val="24"/>
        </w:rPr>
        <w:t xml:space="preserve">2.7 times at end-September. In October, </w:t>
      </w:r>
      <w:r>
        <w:rPr>
          <w:rFonts w:hint="eastAsia"/>
          <w:sz w:val="24"/>
        </w:rPr>
        <w:t>t</w:t>
      </w:r>
      <w:r>
        <w:rPr>
          <w:sz w:val="24"/>
        </w:rPr>
        <w:t>he Shanghai Stock Exchange Composite Index and the Shenzhen Stock Exchange Component Index decreased 7.7 percent and 10.9 percent respectively. The fluctuations in the stock market were due to numerous factors,</w:t>
      </w:r>
      <w:r>
        <w:rPr>
          <w:rFonts w:hint="eastAsia"/>
          <w:sz w:val="24"/>
        </w:rPr>
        <w:t xml:space="preserve"> including </w:t>
      </w:r>
      <w:r>
        <w:rPr>
          <w:sz w:val="24"/>
        </w:rPr>
        <w:t xml:space="preserve">volatility in </w:t>
      </w:r>
      <w:r>
        <w:rPr>
          <w:rFonts w:hint="eastAsia"/>
          <w:sz w:val="24"/>
        </w:rPr>
        <w:t xml:space="preserve">global stock </w:t>
      </w:r>
      <w:r>
        <w:rPr>
          <w:rFonts w:hint="eastAsia"/>
          <w:sz w:val="24"/>
        </w:rPr>
        <w:lastRenderedPageBreak/>
        <w:t>market</w:t>
      </w:r>
      <w:r>
        <w:rPr>
          <w:sz w:val="24"/>
        </w:rPr>
        <w:t>s</w:t>
      </w:r>
      <w:r>
        <w:rPr>
          <w:rFonts w:hint="eastAsia"/>
          <w:sz w:val="24"/>
        </w:rPr>
        <w:t xml:space="preserve"> </w:t>
      </w:r>
      <w:r>
        <w:rPr>
          <w:sz w:val="24"/>
        </w:rPr>
        <w:t>after the rise in interest rates in the major developed economies, trade</w:t>
      </w:r>
      <w:r>
        <w:rPr>
          <w:rFonts w:hint="eastAsia"/>
          <w:sz w:val="24"/>
        </w:rPr>
        <w:t xml:space="preserve"> tensions</w:t>
      </w:r>
      <w:r>
        <w:rPr>
          <w:sz w:val="24"/>
        </w:rPr>
        <w:t xml:space="preserve">, and fluctuations in investors’ expectations and </w:t>
      </w:r>
      <w:r>
        <w:rPr>
          <w:rFonts w:hint="eastAsia"/>
          <w:sz w:val="24"/>
        </w:rPr>
        <w:t>sentiment</w:t>
      </w:r>
      <w:r>
        <w:rPr>
          <w:sz w:val="24"/>
        </w:rPr>
        <w:t xml:space="preserve">s. </w:t>
      </w:r>
    </w:p>
    <w:p w:rsidR="001031BB" w:rsidRDefault="001031BB" w:rsidP="001031BB">
      <w:pPr>
        <w:autoSpaceDE w:val="0"/>
        <w:autoSpaceDN w:val="0"/>
        <w:spacing w:line="360" w:lineRule="auto"/>
        <w:ind w:firstLineChars="200" w:firstLine="480"/>
        <w:rPr>
          <w:sz w:val="24"/>
        </w:rPr>
      </w:pPr>
    </w:p>
    <w:p w:rsidR="001031BB" w:rsidRDefault="001031BB" w:rsidP="001031BB">
      <w:pPr>
        <w:autoSpaceDE w:val="0"/>
        <w:autoSpaceDN w:val="0"/>
        <w:adjustRightInd w:val="0"/>
        <w:spacing w:line="360" w:lineRule="auto"/>
        <w:rPr>
          <w:sz w:val="24"/>
        </w:rPr>
      </w:pPr>
      <w:r>
        <w:rPr>
          <w:b/>
          <w:sz w:val="24"/>
        </w:rPr>
        <w:t>Turnover on the stock markets declined.</w:t>
      </w:r>
      <w:r>
        <w:rPr>
          <w:rFonts w:hint="eastAsia"/>
          <w:b/>
          <w:sz w:val="24"/>
        </w:rPr>
        <w:t xml:space="preserve"> </w:t>
      </w:r>
      <w:r>
        <w:rPr>
          <w:sz w:val="24"/>
        </w:rPr>
        <w:t>During</w:t>
      </w:r>
      <w:r>
        <w:rPr>
          <w:rFonts w:hint="eastAsia"/>
          <w:sz w:val="24"/>
        </w:rPr>
        <w:t xml:space="preserve"> </w:t>
      </w:r>
      <w:r>
        <w:rPr>
          <w:sz w:val="24"/>
        </w:rPr>
        <w:t xml:space="preserve">the first three quarters, the combined turnover on the Shanghai and Shenzhen Stock Exchanges </w:t>
      </w:r>
      <w:r>
        <w:rPr>
          <w:rFonts w:hint="eastAsia"/>
          <w:sz w:val="24"/>
        </w:rPr>
        <w:t>reached</w:t>
      </w:r>
      <w:r>
        <w:rPr>
          <w:sz w:val="24"/>
        </w:rPr>
        <w:t xml:space="preserve"> RMB 71.8 trillion and the average daily turnover was RMB </w:t>
      </w:r>
      <w:r>
        <w:rPr>
          <w:rFonts w:hint="eastAsia"/>
          <w:sz w:val="24"/>
        </w:rPr>
        <w:t>3</w:t>
      </w:r>
      <w:r>
        <w:rPr>
          <w:sz w:val="24"/>
        </w:rPr>
        <w:t xml:space="preserve">92.4 billion, </w:t>
      </w:r>
      <w:r>
        <w:rPr>
          <w:rFonts w:hint="eastAsia"/>
          <w:sz w:val="24"/>
        </w:rPr>
        <w:t xml:space="preserve">down </w:t>
      </w:r>
      <w:r>
        <w:rPr>
          <w:sz w:val="24"/>
        </w:rPr>
        <w:t>15</w:t>
      </w:r>
      <w:r>
        <w:rPr>
          <w:rFonts w:hint="eastAsia"/>
          <w:sz w:val="24"/>
        </w:rPr>
        <w:t>.4</w:t>
      </w:r>
      <w:r>
        <w:rPr>
          <w:sz w:val="24"/>
        </w:rPr>
        <w:t xml:space="preserve"> percent year on year. In particular, the turnover posted RMB 19.3 trillion and the average daily turnover was RMB </w:t>
      </w:r>
      <w:r>
        <w:rPr>
          <w:rFonts w:hint="eastAsia"/>
          <w:sz w:val="24"/>
        </w:rPr>
        <w:t>3</w:t>
      </w:r>
      <w:r>
        <w:rPr>
          <w:sz w:val="24"/>
        </w:rPr>
        <w:t>02.1 billion in Q3, a decrease of 40.6 percent year on year. Turnover on the GEM Board totaled RMB 12.7</w:t>
      </w:r>
      <w:r>
        <w:rPr>
          <w:rFonts w:hint="eastAsia"/>
          <w:sz w:val="24"/>
        </w:rPr>
        <w:t xml:space="preserve"> </w:t>
      </w:r>
      <w:r>
        <w:rPr>
          <w:sz w:val="24"/>
        </w:rPr>
        <w:t xml:space="preserve">trillion, an increase of 2 percent year on year. Specifically, the turnover posted RMB 3.6 trillion in Q3, a decrease of 23.4 percent year on year. At </w:t>
      </w:r>
      <w:r>
        <w:rPr>
          <w:rFonts w:hint="eastAsia"/>
          <w:sz w:val="24"/>
        </w:rPr>
        <w:t>end-September</w:t>
      </w:r>
      <w:r>
        <w:rPr>
          <w:sz w:val="24"/>
        </w:rPr>
        <w:t>, the combined market capitalization of the Shanghai and Shenzhen Exchanges posted RMB 39.6 trillion, a</w:t>
      </w:r>
      <w:r>
        <w:rPr>
          <w:rFonts w:hint="eastAsia"/>
          <w:sz w:val="24"/>
        </w:rPr>
        <w:t xml:space="preserve"> fall</w:t>
      </w:r>
      <w:r>
        <w:rPr>
          <w:sz w:val="24"/>
        </w:rPr>
        <w:t xml:space="preserve"> of 11.2 percent year on year. The market capitalization of tradable</w:t>
      </w:r>
      <w:r>
        <w:rPr>
          <w:rFonts w:hint="eastAsia"/>
          <w:sz w:val="24"/>
        </w:rPr>
        <w:t xml:space="preserve"> shares on </w:t>
      </w:r>
      <w:r>
        <w:rPr>
          <w:sz w:val="24"/>
        </w:rPr>
        <w:t xml:space="preserve">the GEM Board posted RMB </w:t>
      </w:r>
      <w:r>
        <w:rPr>
          <w:rFonts w:hint="eastAsia"/>
          <w:sz w:val="24"/>
        </w:rPr>
        <w:t>2.7</w:t>
      </w:r>
      <w:r>
        <w:rPr>
          <w:sz w:val="24"/>
        </w:rPr>
        <w:t xml:space="preserve"> trillion, a</w:t>
      </w:r>
      <w:r>
        <w:rPr>
          <w:rFonts w:hint="eastAsia"/>
          <w:sz w:val="24"/>
        </w:rPr>
        <w:t xml:space="preserve"> de</w:t>
      </w:r>
      <w:r>
        <w:rPr>
          <w:sz w:val="24"/>
        </w:rPr>
        <w:t xml:space="preserve">crease of 16.9 percent year on year. </w:t>
      </w:r>
    </w:p>
    <w:p w:rsidR="001031BB" w:rsidRDefault="001031BB" w:rsidP="001031BB">
      <w:pPr>
        <w:autoSpaceDE w:val="0"/>
        <w:autoSpaceDN w:val="0"/>
        <w:adjustRightInd w:val="0"/>
        <w:spacing w:line="360" w:lineRule="auto"/>
        <w:rPr>
          <w:sz w:val="24"/>
        </w:rPr>
      </w:pPr>
    </w:p>
    <w:p w:rsidR="001031BB" w:rsidRDefault="001031BB" w:rsidP="001031BB">
      <w:pPr>
        <w:autoSpaceDE w:val="0"/>
        <w:autoSpaceDN w:val="0"/>
        <w:adjustRightInd w:val="0"/>
        <w:spacing w:line="360" w:lineRule="auto"/>
        <w:rPr>
          <w:sz w:val="24"/>
        </w:rPr>
      </w:pPr>
      <w:r>
        <w:rPr>
          <w:b/>
          <w:sz w:val="24"/>
        </w:rPr>
        <w:t xml:space="preserve">The amount of equity financing </w:t>
      </w:r>
      <w:r>
        <w:rPr>
          <w:rFonts w:hint="eastAsia"/>
          <w:b/>
          <w:sz w:val="24"/>
        </w:rPr>
        <w:t>declin</w:t>
      </w:r>
      <w:r>
        <w:rPr>
          <w:b/>
          <w:sz w:val="24"/>
        </w:rPr>
        <w:t>ed year on year.</w:t>
      </w:r>
      <w:r>
        <w:rPr>
          <w:sz w:val="24"/>
        </w:rPr>
        <w:t xml:space="preserve"> During</w:t>
      </w:r>
      <w:r>
        <w:rPr>
          <w:rFonts w:hint="eastAsia"/>
          <w:sz w:val="24"/>
        </w:rPr>
        <w:t xml:space="preserve"> the first three quarters of 2018</w:t>
      </w:r>
      <w:r>
        <w:rPr>
          <w:sz w:val="24"/>
        </w:rPr>
        <w:t xml:space="preserve">, domestic enterprises and financial institutions raised a total of RMB </w:t>
      </w:r>
      <w:r>
        <w:rPr>
          <w:rFonts w:hint="eastAsia"/>
          <w:sz w:val="24"/>
        </w:rPr>
        <w:t xml:space="preserve">588.9 </w:t>
      </w:r>
      <w:r>
        <w:rPr>
          <w:sz w:val="24"/>
        </w:rPr>
        <w:t>tr</w:t>
      </w:r>
      <w:r>
        <w:rPr>
          <w:rFonts w:hint="eastAsia"/>
          <w:sz w:val="24"/>
        </w:rPr>
        <w:t>i</w:t>
      </w:r>
      <w:r>
        <w:rPr>
          <w:sz w:val="24"/>
        </w:rPr>
        <w:t xml:space="preserve">llion by way of IPOs, additional offerings, rights issuances, and warrant exercises on the domestic and overseas stock markets, a decrease of </w:t>
      </w:r>
      <w:r>
        <w:rPr>
          <w:rFonts w:hint="eastAsia"/>
          <w:sz w:val="24"/>
        </w:rPr>
        <w:t xml:space="preserve">28.4 </w:t>
      </w:r>
      <w:r>
        <w:rPr>
          <w:sz w:val="24"/>
        </w:rPr>
        <w:t>percent year on year</w:t>
      </w:r>
      <w:r>
        <w:rPr>
          <w:rFonts w:hint="eastAsia"/>
          <w:sz w:val="24"/>
        </w:rPr>
        <w:t>, 0.9 percentage point less than the reduction in</w:t>
      </w:r>
      <w:r>
        <w:rPr>
          <w:sz w:val="24"/>
        </w:rPr>
        <w:t xml:space="preserve"> the first half of the year.  Among this total, RMB </w:t>
      </w:r>
      <w:r>
        <w:rPr>
          <w:rFonts w:hint="eastAsia"/>
          <w:sz w:val="24"/>
        </w:rPr>
        <w:t>491.8 bil</w:t>
      </w:r>
      <w:r>
        <w:rPr>
          <w:sz w:val="24"/>
        </w:rPr>
        <w:t xml:space="preserve">lion was raised on the A-share market, </w:t>
      </w:r>
      <w:r>
        <w:rPr>
          <w:rFonts w:hint="eastAsia"/>
          <w:sz w:val="24"/>
        </w:rPr>
        <w:t xml:space="preserve">down </w:t>
      </w:r>
      <w:r>
        <w:rPr>
          <w:sz w:val="24"/>
        </w:rPr>
        <w:t>3</w:t>
      </w:r>
      <w:r>
        <w:rPr>
          <w:rFonts w:hint="eastAsia"/>
          <w:sz w:val="24"/>
        </w:rPr>
        <w:t>0</w:t>
      </w:r>
      <w:r>
        <w:rPr>
          <w:sz w:val="24"/>
        </w:rPr>
        <w:t>.7</w:t>
      </w:r>
      <w:r>
        <w:rPr>
          <w:rFonts w:hint="eastAsia"/>
          <w:sz w:val="24"/>
        </w:rPr>
        <w:t xml:space="preserve"> </w:t>
      </w:r>
      <w:r>
        <w:rPr>
          <w:sz w:val="24"/>
        </w:rPr>
        <w:t>percent year on year and 10 percentage points lower than the decrease in the first half of the year.</w:t>
      </w:r>
    </w:p>
    <w:p w:rsidR="001031BB" w:rsidRDefault="001031BB" w:rsidP="001031BB">
      <w:pPr>
        <w:autoSpaceDE w:val="0"/>
        <w:autoSpaceDN w:val="0"/>
        <w:adjustRightInd w:val="0"/>
        <w:spacing w:line="360" w:lineRule="auto"/>
        <w:rPr>
          <w:sz w:val="24"/>
        </w:rPr>
      </w:pPr>
    </w:p>
    <w:p w:rsidR="001031BB" w:rsidRDefault="001031BB" w:rsidP="001031BB">
      <w:pPr>
        <w:numPr>
          <w:ilvl w:val="0"/>
          <w:numId w:val="9"/>
        </w:numPr>
        <w:autoSpaceDE w:val="0"/>
        <w:autoSpaceDN w:val="0"/>
        <w:adjustRightInd w:val="0"/>
        <w:spacing w:after="160" w:line="360" w:lineRule="auto"/>
        <w:rPr>
          <w:b/>
          <w:sz w:val="24"/>
        </w:rPr>
      </w:pPr>
      <w:r>
        <w:rPr>
          <w:rFonts w:hint="eastAsia"/>
          <w:b/>
          <w:sz w:val="24"/>
        </w:rPr>
        <w:t xml:space="preserve">Growth </w:t>
      </w:r>
      <w:r>
        <w:rPr>
          <w:b/>
          <w:sz w:val="24"/>
        </w:rPr>
        <w:t xml:space="preserve">of </w:t>
      </w:r>
      <w:r>
        <w:rPr>
          <w:rFonts w:hint="eastAsia"/>
          <w:b/>
          <w:sz w:val="24"/>
        </w:rPr>
        <w:t xml:space="preserve">assets </w:t>
      </w:r>
      <w:r>
        <w:rPr>
          <w:b/>
          <w:sz w:val="24"/>
        </w:rPr>
        <w:t>in the insurance sector</w:t>
      </w:r>
      <w:r>
        <w:rPr>
          <w:rFonts w:hint="eastAsia"/>
          <w:b/>
          <w:sz w:val="24"/>
        </w:rPr>
        <w:t xml:space="preserve"> </w:t>
      </w:r>
      <w:r>
        <w:rPr>
          <w:b/>
          <w:sz w:val="24"/>
        </w:rPr>
        <w:t>picked up</w:t>
      </w:r>
    </w:p>
    <w:p w:rsidR="001031BB" w:rsidRDefault="001031BB" w:rsidP="001031BB">
      <w:pPr>
        <w:autoSpaceDE w:val="0"/>
        <w:autoSpaceDN w:val="0"/>
        <w:adjustRightInd w:val="0"/>
        <w:spacing w:line="360" w:lineRule="auto"/>
        <w:rPr>
          <w:sz w:val="24"/>
        </w:rPr>
      </w:pPr>
      <w:r>
        <w:rPr>
          <w:sz w:val="24"/>
        </w:rPr>
        <w:t xml:space="preserve">From January to August of 2018, total premium income in the insurance sector totaled RMB </w:t>
      </w:r>
      <w:r>
        <w:rPr>
          <w:rFonts w:hint="eastAsia"/>
          <w:sz w:val="24"/>
        </w:rPr>
        <w:t>2.7</w:t>
      </w:r>
      <w:r>
        <w:rPr>
          <w:sz w:val="24"/>
        </w:rPr>
        <w:t xml:space="preserve"> trillion, a year-on-year decrease of </w:t>
      </w:r>
      <w:r>
        <w:rPr>
          <w:rFonts w:hint="eastAsia"/>
          <w:sz w:val="24"/>
        </w:rPr>
        <w:t>0.7</w:t>
      </w:r>
      <w:r>
        <w:rPr>
          <w:sz w:val="24"/>
        </w:rPr>
        <w:t xml:space="preserve"> percent. Claim and benefit payments posted RMB 796.</w:t>
      </w:r>
      <w:r>
        <w:rPr>
          <w:rFonts w:hint="eastAsia"/>
          <w:sz w:val="24"/>
        </w:rPr>
        <w:t>5</w:t>
      </w:r>
      <w:r>
        <w:rPr>
          <w:sz w:val="24"/>
        </w:rPr>
        <w:t xml:space="preserve"> b</w:t>
      </w:r>
      <w:r>
        <w:rPr>
          <w:rFonts w:hint="eastAsia"/>
          <w:sz w:val="24"/>
        </w:rPr>
        <w:t>i</w:t>
      </w:r>
      <w:r>
        <w:rPr>
          <w:sz w:val="24"/>
        </w:rPr>
        <w:t xml:space="preserve">llion, a year-on-year </w:t>
      </w:r>
      <w:r>
        <w:rPr>
          <w:rFonts w:hint="eastAsia"/>
          <w:sz w:val="24"/>
        </w:rPr>
        <w:t>increase</w:t>
      </w:r>
      <w:r>
        <w:rPr>
          <w:sz w:val="24"/>
        </w:rPr>
        <w:t xml:space="preserve"> of </w:t>
      </w:r>
      <w:r>
        <w:rPr>
          <w:rFonts w:hint="eastAsia"/>
          <w:sz w:val="24"/>
        </w:rPr>
        <w:t xml:space="preserve">7.1 </w:t>
      </w:r>
      <w:r>
        <w:rPr>
          <w:sz w:val="24"/>
        </w:rPr>
        <w:t xml:space="preserve">percent. Specifically, total </w:t>
      </w:r>
      <w:r>
        <w:rPr>
          <w:rFonts w:hint="eastAsia"/>
          <w:sz w:val="24"/>
        </w:rPr>
        <w:t xml:space="preserve">property insurance </w:t>
      </w:r>
      <w:r>
        <w:rPr>
          <w:sz w:val="24"/>
        </w:rPr>
        <w:t>claims and benefit payments increased 1</w:t>
      </w:r>
      <w:r>
        <w:rPr>
          <w:rFonts w:hint="eastAsia"/>
          <w:sz w:val="24"/>
        </w:rPr>
        <w:t>6</w:t>
      </w:r>
      <w:r>
        <w:rPr>
          <w:sz w:val="24"/>
        </w:rPr>
        <w:t xml:space="preserve"> percent year on year, </w:t>
      </w:r>
      <w:r>
        <w:rPr>
          <w:sz w:val="24"/>
        </w:rPr>
        <w:lastRenderedPageBreak/>
        <w:t xml:space="preserve">and total life-insurance claims and benefit payments </w:t>
      </w:r>
      <w:r>
        <w:rPr>
          <w:rFonts w:hint="eastAsia"/>
          <w:sz w:val="24"/>
        </w:rPr>
        <w:t>grew 0.6</w:t>
      </w:r>
      <w:r>
        <w:rPr>
          <w:sz w:val="24"/>
        </w:rPr>
        <w:t xml:space="preserve"> percent.</w:t>
      </w:r>
    </w:p>
    <w:p w:rsidR="001031BB" w:rsidRDefault="002E3175" w:rsidP="002E3175">
      <w:pPr>
        <w:keepNext/>
        <w:spacing w:line="360" w:lineRule="auto"/>
        <w:jc w:val="center"/>
        <w:rPr>
          <w:b/>
          <w:sz w:val="24"/>
        </w:rPr>
      </w:pPr>
      <w:bookmarkStart w:id="85" w:name="_Toc532203074"/>
      <w:r w:rsidRPr="002E3175">
        <w:rPr>
          <w:b/>
          <w:sz w:val="24"/>
        </w:rPr>
        <w:t xml:space="preserve">Table </w:t>
      </w:r>
      <w:r w:rsidR="002447A7" w:rsidRPr="002E3175">
        <w:rPr>
          <w:b/>
          <w:sz w:val="24"/>
        </w:rPr>
        <w:fldChar w:fldCharType="begin"/>
      </w:r>
      <w:r w:rsidRPr="002E3175">
        <w:rPr>
          <w:b/>
          <w:sz w:val="24"/>
        </w:rPr>
        <w:instrText xml:space="preserve"> SEQ Table \* ARABIC </w:instrText>
      </w:r>
      <w:r w:rsidR="002447A7" w:rsidRPr="002E3175">
        <w:rPr>
          <w:b/>
          <w:sz w:val="24"/>
        </w:rPr>
        <w:fldChar w:fldCharType="separate"/>
      </w:r>
      <w:r w:rsidR="00EC1136">
        <w:rPr>
          <w:b/>
          <w:noProof/>
          <w:sz w:val="24"/>
        </w:rPr>
        <w:t>11</w:t>
      </w:r>
      <w:r w:rsidR="002447A7" w:rsidRPr="002E3175">
        <w:rPr>
          <w:b/>
          <w:sz w:val="24"/>
        </w:rPr>
        <w:fldChar w:fldCharType="end"/>
      </w:r>
      <w:r w:rsidRPr="002E3175">
        <w:rPr>
          <w:b/>
          <w:sz w:val="24"/>
        </w:rPr>
        <w:t xml:space="preserve"> </w:t>
      </w:r>
      <w:r>
        <w:rPr>
          <w:b/>
          <w:sz w:val="24"/>
        </w:rPr>
        <w:t>Use of Insurance Funds, End-August 2018</w:t>
      </w:r>
      <w:bookmarkEnd w:id="85"/>
    </w:p>
    <w:p w:rsidR="001031BB" w:rsidRDefault="001031BB" w:rsidP="001031BB">
      <w:pPr>
        <w:keepNext/>
        <w:autoSpaceDE w:val="0"/>
        <w:autoSpaceDN w:val="0"/>
        <w:adjustRightInd w:val="0"/>
        <w:spacing w:line="360" w:lineRule="auto"/>
        <w:jc w:val="right"/>
        <w:rPr>
          <w:sz w:val="24"/>
        </w:rPr>
      </w:pPr>
      <w:r>
        <w:rPr>
          <w:rFonts w:hint="eastAsia"/>
          <w:sz w:val="24"/>
        </w:rPr>
        <w:t xml:space="preserve"> Unit: RMB100 million, %</w:t>
      </w:r>
    </w:p>
    <w:tbl>
      <w:tblPr>
        <w:tblW w:w="8583" w:type="dxa"/>
        <w:jc w:val="center"/>
        <w:tblLayout w:type="fixed"/>
        <w:tblCellMar>
          <w:left w:w="0" w:type="dxa"/>
          <w:right w:w="0" w:type="dxa"/>
        </w:tblCellMar>
        <w:tblLook w:val="04A0"/>
      </w:tblPr>
      <w:tblGrid>
        <w:gridCol w:w="2372"/>
        <w:gridCol w:w="1682"/>
        <w:gridCol w:w="1490"/>
        <w:gridCol w:w="1535"/>
        <w:gridCol w:w="1504"/>
      </w:tblGrid>
      <w:tr w:rsidR="001031BB" w:rsidTr="001031BB">
        <w:trPr>
          <w:trHeight w:val="402"/>
          <w:jc w:val="center"/>
        </w:trPr>
        <w:tc>
          <w:tcPr>
            <w:tcW w:w="2372" w:type="dxa"/>
            <w:tcBorders>
              <w:top w:val="single" w:sz="12" w:space="0" w:color="339966"/>
              <w:left w:val="nil"/>
              <w:bottom w:val="nil"/>
              <w:right w:val="single" w:sz="4" w:space="0" w:color="339966"/>
            </w:tcBorders>
            <w:shd w:val="clear" w:color="auto" w:fill="CCFFCC"/>
            <w:vAlign w:val="center"/>
          </w:tcPr>
          <w:p w:rsidR="001031BB" w:rsidRDefault="001031BB" w:rsidP="001031BB">
            <w:pPr>
              <w:spacing w:line="360" w:lineRule="auto"/>
              <w:rPr>
                <w:sz w:val="24"/>
              </w:rPr>
            </w:pPr>
          </w:p>
        </w:tc>
        <w:tc>
          <w:tcPr>
            <w:tcW w:w="3172" w:type="dxa"/>
            <w:gridSpan w:val="2"/>
            <w:tcBorders>
              <w:top w:val="single" w:sz="12" w:space="0" w:color="008000"/>
              <w:left w:val="nil"/>
              <w:bottom w:val="single" w:sz="4" w:space="0" w:color="008000"/>
              <w:right w:val="single" w:sz="4" w:space="0" w:color="008000"/>
            </w:tcBorders>
            <w:shd w:val="clear" w:color="auto" w:fill="CCFFCC"/>
            <w:vAlign w:val="center"/>
          </w:tcPr>
          <w:p w:rsidR="001031BB" w:rsidRDefault="001031BB" w:rsidP="001031BB">
            <w:pPr>
              <w:spacing w:line="360" w:lineRule="auto"/>
              <w:jc w:val="center"/>
              <w:rPr>
                <w:sz w:val="24"/>
              </w:rPr>
            </w:pPr>
            <w:r>
              <w:rPr>
                <w:sz w:val="24"/>
              </w:rPr>
              <w:t xml:space="preserve">Outstanding balance </w:t>
            </w:r>
          </w:p>
        </w:tc>
        <w:tc>
          <w:tcPr>
            <w:tcW w:w="3039" w:type="dxa"/>
            <w:gridSpan w:val="2"/>
            <w:tcBorders>
              <w:top w:val="single" w:sz="12" w:space="0" w:color="008000"/>
              <w:left w:val="nil"/>
              <w:bottom w:val="single" w:sz="4" w:space="0" w:color="008000"/>
              <w:right w:val="nil"/>
            </w:tcBorders>
            <w:shd w:val="clear" w:color="auto" w:fill="CCFFCC"/>
            <w:vAlign w:val="center"/>
          </w:tcPr>
          <w:p w:rsidR="001031BB" w:rsidRDefault="001031BB" w:rsidP="001031BB">
            <w:pPr>
              <w:spacing w:line="360" w:lineRule="auto"/>
              <w:jc w:val="center"/>
              <w:rPr>
                <w:sz w:val="24"/>
              </w:rPr>
            </w:pPr>
            <w:r>
              <w:rPr>
                <w:sz w:val="24"/>
              </w:rPr>
              <w:t xml:space="preserve">As a share of total assets </w:t>
            </w:r>
          </w:p>
        </w:tc>
      </w:tr>
      <w:tr w:rsidR="001031BB" w:rsidTr="001031BB">
        <w:trPr>
          <w:trHeight w:val="258"/>
          <w:jc w:val="center"/>
        </w:trPr>
        <w:tc>
          <w:tcPr>
            <w:tcW w:w="2372" w:type="dxa"/>
            <w:tcBorders>
              <w:top w:val="nil"/>
              <w:left w:val="nil"/>
              <w:bottom w:val="single" w:sz="6" w:space="0" w:color="339966"/>
              <w:right w:val="single" w:sz="4" w:space="0" w:color="339966"/>
            </w:tcBorders>
            <w:vAlign w:val="center"/>
          </w:tcPr>
          <w:p w:rsidR="001031BB" w:rsidRDefault="001031BB" w:rsidP="002E7312">
            <w:pPr>
              <w:keepNext/>
              <w:keepLines/>
              <w:spacing w:beforeLines="200" w:afterLines="100" w:line="360" w:lineRule="auto"/>
              <w:outlineLvl w:val="0"/>
              <w:rPr>
                <w:sz w:val="24"/>
              </w:rPr>
            </w:pPr>
          </w:p>
        </w:tc>
        <w:tc>
          <w:tcPr>
            <w:tcW w:w="1682" w:type="dxa"/>
            <w:tcBorders>
              <w:top w:val="single" w:sz="4" w:space="0" w:color="008000"/>
              <w:left w:val="nil"/>
              <w:bottom w:val="single" w:sz="6" w:space="0" w:color="339966"/>
              <w:right w:val="single" w:sz="4" w:space="0" w:color="008000"/>
            </w:tcBorders>
            <w:vAlign w:val="center"/>
          </w:tcPr>
          <w:p w:rsidR="001031BB" w:rsidRDefault="001031BB" w:rsidP="001031BB">
            <w:pPr>
              <w:spacing w:line="360" w:lineRule="auto"/>
              <w:jc w:val="center"/>
              <w:rPr>
                <w:sz w:val="24"/>
              </w:rPr>
            </w:pPr>
            <w:r>
              <w:rPr>
                <w:sz w:val="24"/>
              </w:rPr>
              <w:t>End-August</w:t>
            </w:r>
          </w:p>
          <w:p w:rsidR="001031BB" w:rsidRDefault="001031BB" w:rsidP="001031BB">
            <w:pPr>
              <w:spacing w:line="360" w:lineRule="auto"/>
              <w:jc w:val="center"/>
              <w:rPr>
                <w:sz w:val="24"/>
              </w:rPr>
            </w:pPr>
            <w:r>
              <w:rPr>
                <w:sz w:val="24"/>
              </w:rPr>
              <w:t>201</w:t>
            </w:r>
            <w:r>
              <w:rPr>
                <w:rFonts w:hint="eastAsia"/>
                <w:sz w:val="24"/>
              </w:rPr>
              <w:t>8</w:t>
            </w:r>
          </w:p>
        </w:tc>
        <w:tc>
          <w:tcPr>
            <w:tcW w:w="1490" w:type="dxa"/>
            <w:tcBorders>
              <w:top w:val="single" w:sz="4" w:space="0" w:color="008000"/>
              <w:left w:val="nil"/>
              <w:bottom w:val="single" w:sz="6" w:space="0" w:color="339966"/>
              <w:right w:val="single" w:sz="4" w:space="0" w:color="008000"/>
            </w:tcBorders>
            <w:vAlign w:val="center"/>
          </w:tcPr>
          <w:p w:rsidR="001031BB" w:rsidRDefault="001031BB" w:rsidP="001031BB">
            <w:pPr>
              <w:spacing w:line="360" w:lineRule="auto"/>
              <w:jc w:val="center"/>
              <w:rPr>
                <w:sz w:val="24"/>
              </w:rPr>
            </w:pPr>
            <w:r>
              <w:rPr>
                <w:sz w:val="24"/>
              </w:rPr>
              <w:t>End-August</w:t>
            </w:r>
            <w:r>
              <w:rPr>
                <w:rFonts w:hint="eastAsia"/>
                <w:sz w:val="24"/>
              </w:rPr>
              <w:t xml:space="preserve"> </w:t>
            </w:r>
            <w:r>
              <w:rPr>
                <w:sz w:val="24"/>
              </w:rPr>
              <w:t>2017</w:t>
            </w:r>
          </w:p>
        </w:tc>
        <w:tc>
          <w:tcPr>
            <w:tcW w:w="1535" w:type="dxa"/>
            <w:tcBorders>
              <w:top w:val="single" w:sz="4" w:space="0" w:color="008000"/>
              <w:left w:val="nil"/>
              <w:bottom w:val="single" w:sz="6" w:space="0" w:color="339966"/>
              <w:right w:val="single" w:sz="4" w:space="0" w:color="008000"/>
            </w:tcBorders>
            <w:vAlign w:val="center"/>
          </w:tcPr>
          <w:p w:rsidR="001031BB" w:rsidRDefault="001031BB" w:rsidP="001031BB">
            <w:pPr>
              <w:spacing w:line="360" w:lineRule="auto"/>
              <w:jc w:val="center"/>
              <w:rPr>
                <w:sz w:val="24"/>
              </w:rPr>
            </w:pPr>
            <w:r>
              <w:rPr>
                <w:sz w:val="24"/>
              </w:rPr>
              <w:t>End-August</w:t>
            </w:r>
            <w:r>
              <w:rPr>
                <w:rFonts w:hint="eastAsia"/>
                <w:sz w:val="24"/>
              </w:rPr>
              <w:t xml:space="preserve"> </w:t>
            </w:r>
            <w:r>
              <w:rPr>
                <w:sz w:val="24"/>
              </w:rPr>
              <w:t>201</w:t>
            </w:r>
            <w:r>
              <w:rPr>
                <w:rFonts w:hint="eastAsia"/>
                <w:sz w:val="24"/>
              </w:rPr>
              <w:t>8</w:t>
            </w:r>
          </w:p>
        </w:tc>
        <w:tc>
          <w:tcPr>
            <w:tcW w:w="1504" w:type="dxa"/>
            <w:tcBorders>
              <w:top w:val="single" w:sz="4" w:space="0" w:color="008000"/>
              <w:left w:val="nil"/>
              <w:bottom w:val="single" w:sz="6" w:space="0" w:color="339966"/>
              <w:right w:val="nil"/>
            </w:tcBorders>
            <w:vAlign w:val="center"/>
          </w:tcPr>
          <w:p w:rsidR="001031BB" w:rsidRDefault="001031BB" w:rsidP="001031BB">
            <w:pPr>
              <w:spacing w:line="360" w:lineRule="auto"/>
              <w:jc w:val="center"/>
              <w:rPr>
                <w:sz w:val="24"/>
              </w:rPr>
            </w:pPr>
            <w:r>
              <w:rPr>
                <w:sz w:val="24"/>
              </w:rPr>
              <w:t>End-August</w:t>
            </w:r>
            <w:r>
              <w:rPr>
                <w:rFonts w:hint="eastAsia"/>
                <w:sz w:val="24"/>
              </w:rPr>
              <w:t xml:space="preserve"> </w:t>
            </w:r>
            <w:r>
              <w:rPr>
                <w:sz w:val="24"/>
              </w:rPr>
              <w:t>2017</w:t>
            </w:r>
          </w:p>
        </w:tc>
      </w:tr>
      <w:tr w:rsidR="001031BB" w:rsidTr="001031BB">
        <w:trPr>
          <w:trHeight w:val="402"/>
          <w:jc w:val="center"/>
        </w:trPr>
        <w:tc>
          <w:tcPr>
            <w:tcW w:w="2372" w:type="dxa"/>
            <w:tcBorders>
              <w:top w:val="single" w:sz="6" w:space="0" w:color="339966"/>
              <w:left w:val="nil"/>
              <w:bottom w:val="nil"/>
              <w:right w:val="single" w:sz="4" w:space="0" w:color="339966"/>
            </w:tcBorders>
            <w:shd w:val="clear" w:color="auto" w:fill="CCFFCC"/>
            <w:vAlign w:val="center"/>
          </w:tcPr>
          <w:p w:rsidR="001031BB" w:rsidRDefault="001031BB" w:rsidP="001031BB">
            <w:pPr>
              <w:spacing w:line="360" w:lineRule="auto"/>
              <w:rPr>
                <w:sz w:val="24"/>
              </w:rPr>
            </w:pPr>
            <w:r>
              <w:rPr>
                <w:sz w:val="24"/>
              </w:rPr>
              <w:t xml:space="preserve">Total assets </w:t>
            </w:r>
          </w:p>
        </w:tc>
        <w:tc>
          <w:tcPr>
            <w:tcW w:w="1682" w:type="dxa"/>
            <w:tcBorders>
              <w:top w:val="single" w:sz="6" w:space="0" w:color="339966"/>
              <w:left w:val="nil"/>
              <w:bottom w:val="nil"/>
              <w:right w:val="single" w:sz="4" w:space="0" w:color="008000"/>
            </w:tcBorders>
            <w:shd w:val="clear" w:color="auto" w:fill="CCFFCC"/>
            <w:vAlign w:val="center"/>
          </w:tcPr>
          <w:p w:rsidR="001031BB" w:rsidRDefault="001031BB" w:rsidP="001031BB">
            <w:pPr>
              <w:spacing w:line="360" w:lineRule="auto"/>
              <w:ind w:leftChars="-20" w:left="-42" w:rightChars="130" w:right="273"/>
              <w:jc w:val="right"/>
              <w:rPr>
                <w:sz w:val="24"/>
              </w:rPr>
            </w:pPr>
            <w:r>
              <w:rPr>
                <w:sz w:val="24"/>
              </w:rPr>
              <w:t>17</w:t>
            </w:r>
            <w:r>
              <w:rPr>
                <w:rFonts w:hint="eastAsia"/>
                <w:sz w:val="24"/>
              </w:rPr>
              <w:t>6</w:t>
            </w:r>
            <w:r>
              <w:rPr>
                <w:sz w:val="24"/>
              </w:rPr>
              <w:t>,555</w:t>
            </w:r>
          </w:p>
        </w:tc>
        <w:tc>
          <w:tcPr>
            <w:tcW w:w="1490" w:type="dxa"/>
            <w:tcBorders>
              <w:top w:val="single" w:sz="6" w:space="0" w:color="339966"/>
              <w:left w:val="single" w:sz="4" w:space="0" w:color="008000"/>
              <w:bottom w:val="nil"/>
              <w:right w:val="single" w:sz="4" w:space="0" w:color="008000"/>
            </w:tcBorders>
            <w:shd w:val="clear" w:color="auto" w:fill="CCFFCC"/>
            <w:vAlign w:val="center"/>
          </w:tcPr>
          <w:p w:rsidR="001031BB" w:rsidRDefault="001031BB" w:rsidP="001031BB">
            <w:pPr>
              <w:spacing w:line="360" w:lineRule="auto"/>
              <w:ind w:leftChars="-20" w:left="-42" w:rightChars="130" w:right="273"/>
              <w:jc w:val="right"/>
              <w:rPr>
                <w:sz w:val="24"/>
              </w:rPr>
            </w:pPr>
            <w:r>
              <w:rPr>
                <w:sz w:val="24"/>
              </w:rPr>
              <w:t>163,614</w:t>
            </w:r>
          </w:p>
        </w:tc>
        <w:tc>
          <w:tcPr>
            <w:tcW w:w="1535" w:type="dxa"/>
            <w:tcBorders>
              <w:top w:val="single" w:sz="6" w:space="0" w:color="339966"/>
              <w:left w:val="single" w:sz="4" w:space="0" w:color="008000"/>
              <w:bottom w:val="nil"/>
              <w:right w:val="single" w:sz="4" w:space="0" w:color="008000"/>
            </w:tcBorders>
            <w:shd w:val="clear" w:color="auto" w:fill="CCFFCC"/>
            <w:vAlign w:val="center"/>
          </w:tcPr>
          <w:p w:rsidR="001031BB" w:rsidRDefault="001031BB" w:rsidP="001031BB">
            <w:pPr>
              <w:spacing w:line="360" w:lineRule="auto"/>
              <w:ind w:leftChars="-20" w:left="-42" w:rightChars="130" w:right="273"/>
              <w:jc w:val="right"/>
              <w:rPr>
                <w:sz w:val="24"/>
              </w:rPr>
            </w:pPr>
            <w:r>
              <w:rPr>
                <w:sz w:val="24"/>
              </w:rPr>
              <w:t>100</w:t>
            </w:r>
          </w:p>
        </w:tc>
        <w:tc>
          <w:tcPr>
            <w:tcW w:w="1504" w:type="dxa"/>
            <w:tcBorders>
              <w:top w:val="single" w:sz="6" w:space="0" w:color="339966"/>
              <w:left w:val="single" w:sz="4" w:space="0" w:color="008000"/>
              <w:bottom w:val="nil"/>
              <w:right w:val="nil"/>
            </w:tcBorders>
            <w:shd w:val="clear" w:color="auto" w:fill="CCFFCC"/>
            <w:vAlign w:val="center"/>
          </w:tcPr>
          <w:p w:rsidR="001031BB" w:rsidRDefault="001031BB" w:rsidP="001031BB">
            <w:pPr>
              <w:spacing w:line="360" w:lineRule="auto"/>
              <w:ind w:leftChars="-20" w:left="-42" w:rightChars="130" w:right="273"/>
              <w:jc w:val="right"/>
              <w:rPr>
                <w:sz w:val="24"/>
              </w:rPr>
            </w:pPr>
            <w:r>
              <w:rPr>
                <w:sz w:val="24"/>
              </w:rPr>
              <w:t>100</w:t>
            </w:r>
          </w:p>
        </w:tc>
      </w:tr>
      <w:tr w:rsidR="001031BB" w:rsidTr="001031BB">
        <w:trPr>
          <w:trHeight w:val="402"/>
          <w:jc w:val="center"/>
        </w:trPr>
        <w:tc>
          <w:tcPr>
            <w:tcW w:w="2372" w:type="dxa"/>
            <w:tcBorders>
              <w:top w:val="nil"/>
              <w:left w:val="nil"/>
              <w:bottom w:val="nil"/>
              <w:right w:val="single" w:sz="4" w:space="0" w:color="339966"/>
            </w:tcBorders>
            <w:vAlign w:val="center"/>
          </w:tcPr>
          <w:p w:rsidR="001031BB" w:rsidRDefault="001031BB" w:rsidP="001031BB">
            <w:pPr>
              <w:spacing w:line="360" w:lineRule="auto"/>
              <w:ind w:firstLineChars="50" w:firstLine="120"/>
              <w:rPr>
                <w:sz w:val="24"/>
              </w:rPr>
            </w:pPr>
            <w:r>
              <w:rPr>
                <w:sz w:val="24"/>
              </w:rPr>
              <w:t>Of which: Bank deposits</w:t>
            </w:r>
          </w:p>
        </w:tc>
        <w:tc>
          <w:tcPr>
            <w:tcW w:w="1682" w:type="dxa"/>
            <w:tcBorders>
              <w:top w:val="nil"/>
              <w:left w:val="nil"/>
              <w:bottom w:val="nil"/>
              <w:right w:val="single" w:sz="4" w:space="0" w:color="008000"/>
            </w:tcBorders>
            <w:vAlign w:val="center"/>
          </w:tcPr>
          <w:p w:rsidR="001031BB" w:rsidRDefault="001031BB" w:rsidP="001031BB">
            <w:pPr>
              <w:spacing w:line="360" w:lineRule="auto"/>
              <w:ind w:leftChars="-20" w:left="-42" w:rightChars="130" w:right="273"/>
              <w:jc w:val="right"/>
              <w:rPr>
                <w:sz w:val="24"/>
              </w:rPr>
            </w:pPr>
            <w:r>
              <w:rPr>
                <w:sz w:val="24"/>
              </w:rPr>
              <w:t>2</w:t>
            </w:r>
            <w:r>
              <w:rPr>
                <w:rFonts w:hint="eastAsia"/>
                <w:sz w:val="24"/>
              </w:rPr>
              <w:t>1</w:t>
            </w:r>
            <w:r>
              <w:rPr>
                <w:sz w:val="24"/>
              </w:rPr>
              <w:t>,</w:t>
            </w:r>
            <w:r>
              <w:rPr>
                <w:rFonts w:hint="eastAsia"/>
                <w:sz w:val="24"/>
              </w:rPr>
              <w:t>605</w:t>
            </w:r>
          </w:p>
        </w:tc>
        <w:tc>
          <w:tcPr>
            <w:tcW w:w="1490" w:type="dxa"/>
            <w:tcBorders>
              <w:top w:val="nil"/>
              <w:left w:val="single" w:sz="4" w:space="0" w:color="008000"/>
              <w:bottom w:val="nil"/>
              <w:right w:val="single" w:sz="4" w:space="0" w:color="008000"/>
            </w:tcBorders>
            <w:vAlign w:val="center"/>
          </w:tcPr>
          <w:p w:rsidR="001031BB" w:rsidRDefault="001031BB" w:rsidP="001031BB">
            <w:pPr>
              <w:spacing w:line="360" w:lineRule="auto"/>
              <w:ind w:leftChars="-20" w:left="-42" w:rightChars="130" w:right="273"/>
              <w:jc w:val="right"/>
              <w:rPr>
                <w:sz w:val="24"/>
              </w:rPr>
            </w:pPr>
            <w:r>
              <w:rPr>
                <w:sz w:val="24"/>
              </w:rPr>
              <w:t>19,618</w:t>
            </w:r>
          </w:p>
        </w:tc>
        <w:tc>
          <w:tcPr>
            <w:tcW w:w="1535" w:type="dxa"/>
            <w:tcBorders>
              <w:top w:val="nil"/>
              <w:left w:val="single" w:sz="4" w:space="0" w:color="008000"/>
              <w:bottom w:val="nil"/>
              <w:right w:val="single" w:sz="4" w:space="0" w:color="008000"/>
            </w:tcBorders>
            <w:vAlign w:val="center"/>
          </w:tcPr>
          <w:p w:rsidR="001031BB" w:rsidRDefault="001031BB" w:rsidP="001031BB">
            <w:pPr>
              <w:spacing w:line="360" w:lineRule="auto"/>
              <w:ind w:leftChars="-20" w:left="-42" w:rightChars="130" w:right="273"/>
              <w:jc w:val="right"/>
              <w:rPr>
                <w:sz w:val="24"/>
              </w:rPr>
            </w:pPr>
            <w:r>
              <w:rPr>
                <w:sz w:val="24"/>
              </w:rPr>
              <w:t>1</w:t>
            </w:r>
            <w:r>
              <w:rPr>
                <w:rFonts w:hint="eastAsia"/>
                <w:sz w:val="24"/>
              </w:rPr>
              <w:t>2</w:t>
            </w:r>
            <w:r>
              <w:rPr>
                <w:sz w:val="24"/>
              </w:rPr>
              <w:t>.</w:t>
            </w:r>
            <w:r>
              <w:rPr>
                <w:rFonts w:hint="eastAsia"/>
                <w:sz w:val="24"/>
              </w:rPr>
              <w:t>2</w:t>
            </w:r>
          </w:p>
        </w:tc>
        <w:tc>
          <w:tcPr>
            <w:tcW w:w="1504" w:type="dxa"/>
            <w:tcBorders>
              <w:top w:val="nil"/>
              <w:left w:val="single" w:sz="4" w:space="0" w:color="008000"/>
              <w:bottom w:val="nil"/>
              <w:right w:val="nil"/>
            </w:tcBorders>
            <w:vAlign w:val="center"/>
          </w:tcPr>
          <w:p w:rsidR="001031BB" w:rsidRDefault="001031BB" w:rsidP="001031BB">
            <w:pPr>
              <w:spacing w:line="360" w:lineRule="auto"/>
              <w:ind w:leftChars="-20" w:left="-42" w:rightChars="130" w:right="273"/>
              <w:jc w:val="right"/>
              <w:rPr>
                <w:sz w:val="24"/>
              </w:rPr>
            </w:pPr>
            <w:r>
              <w:rPr>
                <w:rFonts w:hint="eastAsia"/>
                <w:sz w:val="24"/>
              </w:rPr>
              <w:t>12.0</w:t>
            </w:r>
          </w:p>
        </w:tc>
      </w:tr>
      <w:tr w:rsidR="001031BB" w:rsidTr="001031BB">
        <w:trPr>
          <w:trHeight w:hRule="exact" w:val="374"/>
          <w:jc w:val="center"/>
        </w:trPr>
        <w:tc>
          <w:tcPr>
            <w:tcW w:w="2372" w:type="dxa"/>
            <w:tcBorders>
              <w:top w:val="nil"/>
              <w:left w:val="nil"/>
              <w:bottom w:val="single" w:sz="12" w:space="0" w:color="339966"/>
              <w:right w:val="single" w:sz="4" w:space="0" w:color="339966"/>
            </w:tcBorders>
            <w:shd w:val="clear" w:color="auto" w:fill="CCFFCC"/>
            <w:vAlign w:val="center"/>
          </w:tcPr>
          <w:p w:rsidR="001031BB" w:rsidRDefault="001031BB" w:rsidP="001031BB">
            <w:pPr>
              <w:spacing w:line="360" w:lineRule="auto"/>
              <w:ind w:leftChars="100" w:left="1650" w:hangingChars="600" w:hanging="1440"/>
              <w:rPr>
                <w:sz w:val="24"/>
              </w:rPr>
            </w:pPr>
            <w:r>
              <w:rPr>
                <w:sz w:val="24"/>
              </w:rPr>
              <w:t xml:space="preserve">        Investments </w:t>
            </w:r>
          </w:p>
        </w:tc>
        <w:tc>
          <w:tcPr>
            <w:tcW w:w="1682" w:type="dxa"/>
            <w:tcBorders>
              <w:top w:val="nil"/>
              <w:left w:val="nil"/>
              <w:bottom w:val="single" w:sz="12" w:space="0" w:color="339966"/>
              <w:right w:val="single" w:sz="4" w:space="0" w:color="008000"/>
            </w:tcBorders>
            <w:shd w:val="clear" w:color="auto" w:fill="CCFFCC"/>
            <w:vAlign w:val="center"/>
          </w:tcPr>
          <w:p w:rsidR="001031BB" w:rsidRDefault="001031BB" w:rsidP="001031BB">
            <w:pPr>
              <w:spacing w:line="360" w:lineRule="auto"/>
              <w:ind w:leftChars="-20" w:left="-42" w:rightChars="130" w:right="273"/>
              <w:jc w:val="right"/>
              <w:rPr>
                <w:sz w:val="24"/>
              </w:rPr>
            </w:pPr>
            <w:r>
              <w:rPr>
                <w:sz w:val="24"/>
              </w:rPr>
              <w:t>13</w:t>
            </w:r>
            <w:r>
              <w:rPr>
                <w:rFonts w:hint="eastAsia"/>
                <w:sz w:val="24"/>
              </w:rPr>
              <w:t>5</w:t>
            </w:r>
            <w:r>
              <w:rPr>
                <w:sz w:val="24"/>
              </w:rPr>
              <w:t>,492</w:t>
            </w:r>
          </w:p>
        </w:tc>
        <w:tc>
          <w:tcPr>
            <w:tcW w:w="1490" w:type="dxa"/>
            <w:tcBorders>
              <w:top w:val="nil"/>
              <w:left w:val="single" w:sz="4" w:space="0" w:color="008000"/>
              <w:bottom w:val="single" w:sz="12" w:space="0" w:color="339966"/>
              <w:right w:val="single" w:sz="4" w:space="0" w:color="008000"/>
            </w:tcBorders>
            <w:shd w:val="clear" w:color="auto" w:fill="CCFFCC"/>
            <w:vAlign w:val="center"/>
          </w:tcPr>
          <w:p w:rsidR="001031BB" w:rsidRDefault="001031BB" w:rsidP="001031BB">
            <w:pPr>
              <w:spacing w:line="360" w:lineRule="auto"/>
              <w:ind w:leftChars="-20" w:left="-42" w:rightChars="130" w:right="273"/>
              <w:jc w:val="right"/>
              <w:rPr>
                <w:sz w:val="24"/>
              </w:rPr>
            </w:pPr>
            <w:r>
              <w:rPr>
                <w:sz w:val="24"/>
              </w:rPr>
              <w:t>1</w:t>
            </w:r>
            <w:r>
              <w:rPr>
                <w:rFonts w:hint="eastAsia"/>
                <w:sz w:val="24"/>
              </w:rPr>
              <w:t>25</w:t>
            </w:r>
            <w:r>
              <w:rPr>
                <w:sz w:val="24"/>
              </w:rPr>
              <w:t>,</w:t>
            </w:r>
            <w:r>
              <w:rPr>
                <w:rFonts w:hint="eastAsia"/>
                <w:sz w:val="24"/>
              </w:rPr>
              <w:t>00</w:t>
            </w:r>
            <w:r>
              <w:rPr>
                <w:sz w:val="24"/>
              </w:rPr>
              <w:t>8</w:t>
            </w:r>
          </w:p>
        </w:tc>
        <w:tc>
          <w:tcPr>
            <w:tcW w:w="1535" w:type="dxa"/>
            <w:tcBorders>
              <w:top w:val="nil"/>
              <w:left w:val="single" w:sz="4" w:space="0" w:color="008000"/>
              <w:bottom w:val="single" w:sz="12" w:space="0" w:color="339966"/>
              <w:right w:val="single" w:sz="4" w:space="0" w:color="008000"/>
            </w:tcBorders>
            <w:shd w:val="clear" w:color="auto" w:fill="CCFFCC"/>
            <w:vAlign w:val="center"/>
          </w:tcPr>
          <w:p w:rsidR="001031BB" w:rsidRDefault="001031BB" w:rsidP="001031BB">
            <w:pPr>
              <w:spacing w:line="360" w:lineRule="auto"/>
              <w:ind w:leftChars="-20" w:left="-42" w:rightChars="130" w:right="273"/>
              <w:jc w:val="right"/>
              <w:rPr>
                <w:sz w:val="24"/>
              </w:rPr>
            </w:pPr>
            <w:r>
              <w:rPr>
                <w:sz w:val="24"/>
              </w:rPr>
              <w:t>76.</w:t>
            </w:r>
            <w:r>
              <w:rPr>
                <w:rFonts w:hint="eastAsia"/>
                <w:sz w:val="24"/>
              </w:rPr>
              <w:t>7</w:t>
            </w:r>
          </w:p>
        </w:tc>
        <w:tc>
          <w:tcPr>
            <w:tcW w:w="1504" w:type="dxa"/>
            <w:tcBorders>
              <w:top w:val="nil"/>
              <w:left w:val="single" w:sz="4" w:space="0" w:color="008000"/>
              <w:bottom w:val="single" w:sz="12" w:space="0" w:color="339966"/>
              <w:right w:val="nil"/>
            </w:tcBorders>
            <w:shd w:val="clear" w:color="auto" w:fill="CCFFCC"/>
            <w:vAlign w:val="center"/>
          </w:tcPr>
          <w:p w:rsidR="001031BB" w:rsidRDefault="001031BB" w:rsidP="001031BB">
            <w:pPr>
              <w:spacing w:line="360" w:lineRule="auto"/>
              <w:ind w:leftChars="-20" w:left="-42" w:rightChars="130" w:right="273"/>
              <w:jc w:val="right"/>
              <w:rPr>
                <w:sz w:val="24"/>
              </w:rPr>
            </w:pPr>
            <w:r>
              <w:rPr>
                <w:rFonts w:hint="eastAsia"/>
                <w:sz w:val="24"/>
              </w:rPr>
              <w:t>76.4</w:t>
            </w:r>
          </w:p>
        </w:tc>
      </w:tr>
    </w:tbl>
    <w:p w:rsidR="001031BB" w:rsidRDefault="001031BB" w:rsidP="001031BB">
      <w:pPr>
        <w:spacing w:line="360" w:lineRule="auto"/>
        <w:rPr>
          <w:sz w:val="24"/>
        </w:rPr>
      </w:pPr>
      <w:r>
        <w:rPr>
          <w:sz w:val="24"/>
        </w:rPr>
        <w:t xml:space="preserve">Source: China </w:t>
      </w:r>
      <w:r>
        <w:rPr>
          <w:rFonts w:hint="eastAsia"/>
          <w:sz w:val="24"/>
        </w:rPr>
        <w:t xml:space="preserve">Banking and </w:t>
      </w:r>
      <w:r>
        <w:rPr>
          <w:sz w:val="24"/>
        </w:rPr>
        <w:t xml:space="preserve">Insurance Regulatory Commission. </w:t>
      </w:r>
    </w:p>
    <w:p w:rsidR="001031BB" w:rsidRDefault="001031BB" w:rsidP="001031BB">
      <w:pPr>
        <w:autoSpaceDE w:val="0"/>
        <w:autoSpaceDN w:val="0"/>
        <w:adjustRightInd w:val="0"/>
        <w:spacing w:line="360" w:lineRule="auto"/>
        <w:ind w:firstLineChars="200" w:firstLine="480"/>
        <w:rPr>
          <w:sz w:val="24"/>
        </w:rPr>
      </w:pPr>
    </w:p>
    <w:p w:rsidR="001031BB" w:rsidRDefault="001031BB" w:rsidP="001031BB">
      <w:pPr>
        <w:autoSpaceDE w:val="0"/>
        <w:autoSpaceDN w:val="0"/>
        <w:adjustRightInd w:val="0"/>
        <w:spacing w:line="360" w:lineRule="auto"/>
        <w:rPr>
          <w:sz w:val="24"/>
        </w:rPr>
      </w:pPr>
      <w:r>
        <w:rPr>
          <w:sz w:val="24"/>
        </w:rPr>
        <w:t>The growth of insurance assets picked up</w:t>
      </w:r>
      <w:r>
        <w:rPr>
          <w:rFonts w:hint="eastAsia"/>
          <w:sz w:val="24"/>
        </w:rPr>
        <w:t>.</w:t>
      </w:r>
      <w:r>
        <w:rPr>
          <w:sz w:val="24"/>
        </w:rPr>
        <w:t xml:space="preserve"> At end-August, total assets in the insurance industry posted RMB 1</w:t>
      </w:r>
      <w:r>
        <w:rPr>
          <w:rFonts w:hint="eastAsia"/>
          <w:sz w:val="24"/>
        </w:rPr>
        <w:t>7</w:t>
      </w:r>
      <w:r>
        <w:rPr>
          <w:sz w:val="24"/>
        </w:rPr>
        <w:t>.</w:t>
      </w:r>
      <w:r>
        <w:rPr>
          <w:rFonts w:hint="eastAsia"/>
          <w:sz w:val="24"/>
        </w:rPr>
        <w:t>7</w:t>
      </w:r>
      <w:r>
        <w:rPr>
          <w:sz w:val="24"/>
        </w:rPr>
        <w:t xml:space="preserve"> trillion, </w:t>
      </w:r>
      <w:r>
        <w:rPr>
          <w:rFonts w:hint="eastAsia"/>
          <w:sz w:val="24"/>
        </w:rPr>
        <w:t>up</w:t>
      </w:r>
      <w:r>
        <w:rPr>
          <w:sz w:val="24"/>
        </w:rPr>
        <w:t xml:space="preserve"> </w:t>
      </w:r>
      <w:r>
        <w:rPr>
          <w:rFonts w:hint="eastAsia"/>
          <w:sz w:val="24"/>
        </w:rPr>
        <w:t>7</w:t>
      </w:r>
      <w:r>
        <w:rPr>
          <w:sz w:val="24"/>
        </w:rPr>
        <w:t xml:space="preserve">.9 percent </w:t>
      </w:r>
      <w:r>
        <w:rPr>
          <w:rFonts w:hint="eastAsia"/>
          <w:sz w:val="24"/>
        </w:rPr>
        <w:t xml:space="preserve">year on year </w:t>
      </w:r>
      <w:r>
        <w:rPr>
          <w:sz w:val="24"/>
        </w:rPr>
        <w:t xml:space="preserve">and an acceleration of </w:t>
      </w:r>
      <w:r>
        <w:rPr>
          <w:rFonts w:hint="eastAsia"/>
          <w:sz w:val="24"/>
        </w:rPr>
        <w:t>7.9</w:t>
      </w:r>
      <w:r>
        <w:rPr>
          <w:sz w:val="24"/>
        </w:rPr>
        <w:t xml:space="preserve"> percentage points from</w:t>
      </w:r>
      <w:r>
        <w:rPr>
          <w:rFonts w:hint="eastAsia"/>
          <w:sz w:val="24"/>
        </w:rPr>
        <w:t xml:space="preserve"> </w:t>
      </w:r>
      <w:r>
        <w:rPr>
          <w:sz w:val="24"/>
        </w:rPr>
        <w:t xml:space="preserve">end-June. Among this, outstanding bank deposits increased </w:t>
      </w:r>
      <w:r>
        <w:rPr>
          <w:rFonts w:hint="eastAsia"/>
          <w:sz w:val="24"/>
        </w:rPr>
        <w:t xml:space="preserve">10.1 </w:t>
      </w:r>
      <w:r>
        <w:rPr>
          <w:sz w:val="24"/>
        </w:rPr>
        <w:t xml:space="preserve">percent year on year, whereas investment-linked assets increased </w:t>
      </w:r>
      <w:r>
        <w:rPr>
          <w:rFonts w:hint="eastAsia"/>
          <w:sz w:val="24"/>
        </w:rPr>
        <w:t>8</w:t>
      </w:r>
      <w:r>
        <w:rPr>
          <w:sz w:val="24"/>
        </w:rPr>
        <w:t>.4</w:t>
      </w:r>
      <w:r>
        <w:rPr>
          <w:rFonts w:hint="eastAsia"/>
          <w:sz w:val="24"/>
        </w:rPr>
        <w:t xml:space="preserve"> </w:t>
      </w:r>
      <w:r>
        <w:rPr>
          <w:sz w:val="24"/>
        </w:rPr>
        <w:t>percent year on year.</w:t>
      </w:r>
    </w:p>
    <w:bookmarkEnd w:id="79"/>
    <w:bookmarkEnd w:id="80"/>
    <w:bookmarkEnd w:id="81"/>
    <w:bookmarkEnd w:id="82"/>
    <w:bookmarkEnd w:id="83"/>
    <w:bookmarkEnd w:id="84"/>
    <w:p w:rsidR="001031BB" w:rsidRDefault="001031BB" w:rsidP="001031BB">
      <w:pPr>
        <w:spacing w:line="360" w:lineRule="auto"/>
        <w:rPr>
          <w:b/>
          <w:sz w:val="24"/>
        </w:rPr>
      </w:pPr>
    </w:p>
    <w:p w:rsidR="001031BB" w:rsidRDefault="001031BB" w:rsidP="001031BB">
      <w:pPr>
        <w:spacing w:line="360" w:lineRule="auto"/>
        <w:rPr>
          <w:b/>
          <w:sz w:val="24"/>
        </w:rPr>
      </w:pPr>
      <w:r>
        <w:rPr>
          <w:b/>
          <w:sz w:val="24"/>
        </w:rPr>
        <w:t xml:space="preserve">6. </w:t>
      </w:r>
      <w:r>
        <w:rPr>
          <w:rFonts w:hint="eastAsia"/>
          <w:b/>
          <w:sz w:val="24"/>
        </w:rPr>
        <w:t>Swap t</w:t>
      </w:r>
      <w:r>
        <w:rPr>
          <w:b/>
          <w:sz w:val="24"/>
        </w:rPr>
        <w:t xml:space="preserve">ransactions on the </w:t>
      </w:r>
      <w:bookmarkStart w:id="86" w:name="OLE_LINK14"/>
      <w:r>
        <w:rPr>
          <w:b/>
          <w:sz w:val="24"/>
        </w:rPr>
        <w:t>foreign-exchange market</w:t>
      </w:r>
      <w:bookmarkEnd w:id="86"/>
      <w:r>
        <w:rPr>
          <w:rFonts w:hint="eastAsia"/>
          <w:b/>
          <w:sz w:val="24"/>
        </w:rPr>
        <w:t xml:space="preserve"> </w:t>
      </w:r>
      <w:r>
        <w:rPr>
          <w:b/>
          <w:sz w:val="24"/>
        </w:rPr>
        <w:t>witnessed rapid growth.</w:t>
      </w:r>
      <w:r>
        <w:rPr>
          <w:rFonts w:hint="eastAsia"/>
          <w:b/>
          <w:sz w:val="24"/>
        </w:rPr>
        <w:t xml:space="preserve"> </w:t>
      </w:r>
    </w:p>
    <w:p w:rsidR="001031BB" w:rsidRDefault="001031BB" w:rsidP="001031BB">
      <w:pPr>
        <w:autoSpaceDE w:val="0"/>
        <w:autoSpaceDN w:val="0"/>
        <w:adjustRightInd w:val="0"/>
        <w:spacing w:line="360" w:lineRule="auto"/>
        <w:rPr>
          <w:sz w:val="24"/>
        </w:rPr>
      </w:pPr>
      <w:r>
        <w:rPr>
          <w:b/>
          <w:sz w:val="24"/>
        </w:rPr>
        <w:t>T</w:t>
      </w:r>
      <w:r>
        <w:rPr>
          <w:rFonts w:hint="eastAsia"/>
          <w:b/>
          <w:sz w:val="24"/>
        </w:rPr>
        <w:t>rading on the</w:t>
      </w:r>
      <w:r>
        <w:rPr>
          <w:b/>
          <w:sz w:val="24"/>
        </w:rPr>
        <w:t xml:space="preserve"> foreign-exchange market </w:t>
      </w:r>
      <w:r>
        <w:rPr>
          <w:rFonts w:hint="eastAsia"/>
          <w:b/>
          <w:sz w:val="24"/>
        </w:rPr>
        <w:t>was</w:t>
      </w:r>
      <w:r>
        <w:rPr>
          <w:b/>
          <w:sz w:val="24"/>
        </w:rPr>
        <w:t xml:space="preserve"> brisk. </w:t>
      </w:r>
      <w:r>
        <w:rPr>
          <w:sz w:val="24"/>
        </w:rPr>
        <w:t xml:space="preserve">In Q3, turnover of spot RMB/foreign-exchange transactions totaled USD </w:t>
      </w:r>
      <w:r>
        <w:rPr>
          <w:rFonts w:hint="eastAsia"/>
          <w:sz w:val="24"/>
        </w:rPr>
        <w:t xml:space="preserve">5.3 </w:t>
      </w:r>
      <w:r>
        <w:rPr>
          <w:sz w:val="24"/>
        </w:rPr>
        <w:t>trillion, an increase of 1</w:t>
      </w:r>
      <w:r>
        <w:rPr>
          <w:rFonts w:hint="eastAsia"/>
          <w:sz w:val="24"/>
        </w:rPr>
        <w:t>3.6</w:t>
      </w:r>
      <w:r>
        <w:rPr>
          <w:sz w:val="24"/>
        </w:rPr>
        <w:t xml:space="preserve"> percent year on year and an acceleration of 1.5 percentage point from the first half of the year. Turnover of RMB/foreign-exchange swap transactions totaled USD</w:t>
      </w:r>
      <w:r>
        <w:rPr>
          <w:rFonts w:hint="eastAsia"/>
          <w:sz w:val="24"/>
        </w:rPr>
        <w:t xml:space="preserve"> </w:t>
      </w:r>
      <w:r>
        <w:rPr>
          <w:sz w:val="24"/>
        </w:rPr>
        <w:t>11</w:t>
      </w:r>
      <w:r>
        <w:rPr>
          <w:rFonts w:hint="eastAsia"/>
          <w:sz w:val="24"/>
        </w:rPr>
        <w:t>.</w:t>
      </w:r>
      <w:r>
        <w:rPr>
          <w:sz w:val="24"/>
        </w:rPr>
        <w:t xml:space="preserve">5 trillion, an increase of </w:t>
      </w:r>
      <w:r>
        <w:rPr>
          <w:rFonts w:hint="eastAsia"/>
          <w:sz w:val="24"/>
        </w:rPr>
        <w:t>25.</w:t>
      </w:r>
      <w:r>
        <w:rPr>
          <w:sz w:val="24"/>
        </w:rPr>
        <w:t xml:space="preserve">5 percent year on year and a deceleration of 10.3 percentage points from the first half of the year. Specifically, overnight RMB/USD swap transactions posted USD </w:t>
      </w:r>
      <w:r>
        <w:rPr>
          <w:rFonts w:hint="eastAsia"/>
          <w:sz w:val="24"/>
        </w:rPr>
        <w:t>6.7</w:t>
      </w:r>
      <w:r>
        <w:rPr>
          <w:sz w:val="24"/>
        </w:rPr>
        <w:t xml:space="preserve"> trillion, accounting for 5</w:t>
      </w:r>
      <w:r>
        <w:rPr>
          <w:rFonts w:hint="eastAsia"/>
          <w:sz w:val="24"/>
        </w:rPr>
        <w:t>8</w:t>
      </w:r>
      <w:r>
        <w:rPr>
          <w:sz w:val="24"/>
        </w:rPr>
        <w:t xml:space="preserve">.5 percent of the total swap turnovers. Turnovers on the RMB/foreign-exchange forward market totaled USD 67.6 </w:t>
      </w:r>
      <w:r>
        <w:rPr>
          <w:rFonts w:hint="eastAsia"/>
          <w:sz w:val="24"/>
        </w:rPr>
        <w:t>b</w:t>
      </w:r>
      <w:r>
        <w:rPr>
          <w:sz w:val="24"/>
        </w:rPr>
        <w:t xml:space="preserve">illion, an increase of </w:t>
      </w:r>
      <w:r>
        <w:rPr>
          <w:rFonts w:hint="eastAsia"/>
          <w:sz w:val="24"/>
        </w:rPr>
        <w:t>12.8</w:t>
      </w:r>
      <w:r>
        <w:rPr>
          <w:sz w:val="24"/>
        </w:rPr>
        <w:t xml:space="preserve"> percent year on year. Turnovers of foreign-currency pair transactions totaled</w:t>
      </w:r>
      <w:r>
        <w:rPr>
          <w:rFonts w:hint="eastAsia"/>
          <w:sz w:val="24"/>
        </w:rPr>
        <w:t xml:space="preserve"> </w:t>
      </w:r>
      <w:r>
        <w:rPr>
          <w:sz w:val="24"/>
        </w:rPr>
        <w:t xml:space="preserve">USD 144.3 </w:t>
      </w:r>
      <w:r>
        <w:rPr>
          <w:rFonts w:hint="eastAsia"/>
          <w:sz w:val="24"/>
        </w:rPr>
        <w:t>b</w:t>
      </w:r>
      <w:r>
        <w:rPr>
          <w:sz w:val="24"/>
        </w:rPr>
        <w:t>illion, a</w:t>
      </w:r>
      <w:r>
        <w:rPr>
          <w:rFonts w:hint="eastAsia"/>
          <w:sz w:val="24"/>
        </w:rPr>
        <w:t>n</w:t>
      </w:r>
      <w:r>
        <w:rPr>
          <w:sz w:val="24"/>
        </w:rPr>
        <w:t xml:space="preserve"> </w:t>
      </w:r>
      <w:r>
        <w:rPr>
          <w:rFonts w:hint="eastAsia"/>
          <w:sz w:val="24"/>
        </w:rPr>
        <w:t>in</w:t>
      </w:r>
      <w:r>
        <w:rPr>
          <w:sz w:val="24"/>
        </w:rPr>
        <w:t xml:space="preserve">crease of </w:t>
      </w:r>
      <w:r>
        <w:rPr>
          <w:rFonts w:hint="eastAsia"/>
          <w:sz w:val="24"/>
        </w:rPr>
        <w:t>62.</w:t>
      </w:r>
      <w:r>
        <w:rPr>
          <w:sz w:val="24"/>
        </w:rPr>
        <w:t>2</w:t>
      </w:r>
      <w:r>
        <w:rPr>
          <w:rFonts w:hint="eastAsia"/>
          <w:sz w:val="24"/>
        </w:rPr>
        <w:t xml:space="preserve"> </w:t>
      </w:r>
      <w:r>
        <w:rPr>
          <w:sz w:val="24"/>
        </w:rPr>
        <w:t xml:space="preserve">percent year on year. In </w:t>
      </w:r>
      <w:r>
        <w:rPr>
          <w:sz w:val="24"/>
        </w:rPr>
        <w:lastRenderedPageBreak/>
        <w:t>particular, the EUR/USD pair registered the largest trading volume, accounting for 42.6 percent of the total.</w:t>
      </w:r>
    </w:p>
    <w:p w:rsidR="001031BB" w:rsidRDefault="001031BB" w:rsidP="001031BB">
      <w:pPr>
        <w:autoSpaceDE w:val="0"/>
        <w:autoSpaceDN w:val="0"/>
        <w:adjustRightInd w:val="0"/>
        <w:spacing w:line="360" w:lineRule="auto"/>
        <w:rPr>
          <w:sz w:val="24"/>
        </w:rPr>
      </w:pPr>
    </w:p>
    <w:p w:rsidR="001031BB" w:rsidRDefault="001031BB" w:rsidP="001031BB">
      <w:pPr>
        <w:autoSpaceDE w:val="0"/>
        <w:autoSpaceDN w:val="0"/>
        <w:adjustRightInd w:val="0"/>
        <w:spacing w:line="360" w:lineRule="auto"/>
        <w:rPr>
          <w:sz w:val="24"/>
        </w:rPr>
      </w:pPr>
      <w:r>
        <w:rPr>
          <w:rFonts w:hint="eastAsia"/>
          <w:b/>
          <w:sz w:val="24"/>
        </w:rPr>
        <w:t>P</w:t>
      </w:r>
      <w:r>
        <w:rPr>
          <w:b/>
          <w:sz w:val="24"/>
        </w:rPr>
        <w:t>articipants on the foreign-exchange market expanded</w:t>
      </w:r>
      <w:r w:rsidRPr="006E2A81">
        <w:rPr>
          <w:b/>
          <w:sz w:val="24"/>
        </w:rPr>
        <w:t xml:space="preserve"> </w:t>
      </w:r>
      <w:r>
        <w:rPr>
          <w:b/>
          <w:sz w:val="24"/>
        </w:rPr>
        <w:t>f</w:t>
      </w:r>
      <w:r>
        <w:rPr>
          <w:rFonts w:hint="eastAsia"/>
          <w:b/>
          <w:sz w:val="24"/>
        </w:rPr>
        <w:t>urther</w:t>
      </w:r>
      <w:r>
        <w:rPr>
          <w:b/>
          <w:sz w:val="24"/>
        </w:rPr>
        <w:t>.</w:t>
      </w:r>
      <w:r>
        <w:rPr>
          <w:sz w:val="24"/>
        </w:rPr>
        <w:t xml:space="preserve"> At end-</w:t>
      </w:r>
      <w:r>
        <w:rPr>
          <w:rFonts w:hint="eastAsia"/>
          <w:sz w:val="24"/>
        </w:rPr>
        <w:t>Se</w:t>
      </w:r>
      <w:r>
        <w:rPr>
          <w:sz w:val="24"/>
        </w:rPr>
        <w:t>ptember, there were 6</w:t>
      </w:r>
      <w:r>
        <w:rPr>
          <w:rFonts w:hint="eastAsia"/>
          <w:sz w:val="24"/>
        </w:rPr>
        <w:t>7</w:t>
      </w:r>
      <w:r>
        <w:rPr>
          <w:sz w:val="24"/>
        </w:rPr>
        <w:t>3 members on the foreign-exchange spot market, 209 members on the foreign-exchange forward market, 204 members on the foreign-exchange swap market, 172 members on the currency-swap market, and 122 members on the foreign-exchange options market. There were 32 market-makers on the spot market and 27 market-makers on the forward and swap markets.</w:t>
      </w:r>
    </w:p>
    <w:p w:rsidR="001031BB" w:rsidRDefault="001031BB" w:rsidP="001031BB">
      <w:pPr>
        <w:spacing w:line="360" w:lineRule="auto"/>
        <w:rPr>
          <w:sz w:val="24"/>
        </w:rPr>
      </w:pPr>
    </w:p>
    <w:p w:rsidR="001031BB" w:rsidRDefault="001031BB" w:rsidP="001031BB">
      <w:pPr>
        <w:spacing w:line="360" w:lineRule="auto"/>
        <w:rPr>
          <w:b/>
          <w:sz w:val="24"/>
        </w:rPr>
      </w:pPr>
      <w:r>
        <w:rPr>
          <w:b/>
          <w:sz w:val="24"/>
        </w:rPr>
        <w:t xml:space="preserve">7. Gold prices </w:t>
      </w:r>
      <w:r>
        <w:rPr>
          <w:rFonts w:hint="eastAsia"/>
          <w:b/>
          <w:sz w:val="24"/>
        </w:rPr>
        <w:t xml:space="preserve">declined amidst </w:t>
      </w:r>
      <w:r>
        <w:rPr>
          <w:b/>
          <w:sz w:val="24"/>
        </w:rPr>
        <w:t>fluctuations</w:t>
      </w:r>
      <w:r>
        <w:rPr>
          <w:rFonts w:hint="eastAsia"/>
          <w:b/>
          <w:sz w:val="24"/>
        </w:rPr>
        <w:t xml:space="preserve"> and </w:t>
      </w:r>
      <w:r>
        <w:rPr>
          <w:b/>
          <w:sz w:val="24"/>
        </w:rPr>
        <w:t>the trading volume of gold maintained its growth</w:t>
      </w:r>
      <w:r>
        <w:rPr>
          <w:rFonts w:hint="eastAsia"/>
          <w:b/>
          <w:sz w:val="24"/>
        </w:rPr>
        <w:t xml:space="preserve"> </w:t>
      </w:r>
    </w:p>
    <w:p w:rsidR="001031BB" w:rsidRDefault="001031BB" w:rsidP="001031BB">
      <w:pPr>
        <w:autoSpaceDE w:val="0"/>
        <w:autoSpaceDN w:val="0"/>
        <w:adjustRightInd w:val="0"/>
        <w:spacing w:line="360" w:lineRule="auto"/>
        <w:rPr>
          <w:rFonts w:ascii="仿宋_GB2312" w:eastAsia="仿宋_GB2312" w:cs="宋体"/>
          <w:color w:val="000000"/>
          <w:sz w:val="28"/>
          <w:szCs w:val="28"/>
        </w:rPr>
      </w:pPr>
      <w:r>
        <w:rPr>
          <w:b/>
          <w:sz w:val="24"/>
        </w:rPr>
        <w:t xml:space="preserve">Gold prices </w:t>
      </w:r>
      <w:r>
        <w:rPr>
          <w:rFonts w:hint="eastAsia"/>
          <w:b/>
          <w:sz w:val="24"/>
        </w:rPr>
        <w:t>fell amidst fluctuations</w:t>
      </w:r>
      <w:r>
        <w:rPr>
          <w:b/>
          <w:sz w:val="24"/>
        </w:rPr>
        <w:t>.</w:t>
      </w:r>
      <w:r>
        <w:rPr>
          <w:sz w:val="24"/>
        </w:rPr>
        <w:t xml:space="preserve"> In Q3, international gold prices peaked at USD 1,2</w:t>
      </w:r>
      <w:r>
        <w:rPr>
          <w:rFonts w:hint="eastAsia"/>
          <w:sz w:val="24"/>
        </w:rPr>
        <w:t>60</w:t>
      </w:r>
      <w:r>
        <w:rPr>
          <w:sz w:val="24"/>
        </w:rPr>
        <w:t xml:space="preserve">.11 per ounce and </w:t>
      </w:r>
      <w:r>
        <w:rPr>
          <w:rFonts w:hint="eastAsia"/>
          <w:sz w:val="24"/>
        </w:rPr>
        <w:t>hit</w:t>
      </w:r>
      <w:r>
        <w:rPr>
          <w:sz w:val="24"/>
        </w:rPr>
        <w:t xml:space="preserve"> a trough of USD 1,</w:t>
      </w:r>
      <w:r>
        <w:rPr>
          <w:rFonts w:hint="eastAsia"/>
          <w:sz w:val="24"/>
        </w:rPr>
        <w:t>174</w:t>
      </w:r>
      <w:r>
        <w:rPr>
          <w:sz w:val="24"/>
        </w:rPr>
        <w:t>.</w:t>
      </w:r>
      <w:r>
        <w:rPr>
          <w:rFonts w:hint="eastAsia"/>
          <w:sz w:val="24"/>
        </w:rPr>
        <w:t>6</w:t>
      </w:r>
      <w:r>
        <w:rPr>
          <w:sz w:val="24"/>
        </w:rPr>
        <w:t>6 per ounce, closing at USD 1,</w:t>
      </w:r>
      <w:r>
        <w:rPr>
          <w:rFonts w:hint="eastAsia"/>
          <w:sz w:val="24"/>
        </w:rPr>
        <w:t>187.</w:t>
      </w:r>
      <w:r>
        <w:rPr>
          <w:sz w:val="24"/>
        </w:rPr>
        <w:t>2</w:t>
      </w:r>
      <w:r>
        <w:rPr>
          <w:rFonts w:hint="eastAsia"/>
          <w:sz w:val="24"/>
        </w:rPr>
        <w:t>5</w:t>
      </w:r>
      <w:r>
        <w:rPr>
          <w:sz w:val="24"/>
        </w:rPr>
        <w:t xml:space="preserve"> per ounce at end-</w:t>
      </w:r>
      <w:r>
        <w:rPr>
          <w:rFonts w:hint="eastAsia"/>
          <w:sz w:val="24"/>
        </w:rPr>
        <w:t>Se</w:t>
      </w:r>
      <w:r>
        <w:rPr>
          <w:sz w:val="24"/>
        </w:rPr>
        <w:t>ptember and representing a</w:t>
      </w:r>
      <w:r>
        <w:rPr>
          <w:rFonts w:hint="eastAsia"/>
          <w:sz w:val="24"/>
        </w:rPr>
        <w:t xml:space="preserve"> decrease</w:t>
      </w:r>
      <w:r>
        <w:rPr>
          <w:sz w:val="24"/>
        </w:rPr>
        <w:t xml:space="preserve"> of </w:t>
      </w:r>
      <w:r>
        <w:rPr>
          <w:rFonts w:hint="eastAsia"/>
          <w:sz w:val="24"/>
        </w:rPr>
        <w:t>5.</w:t>
      </w:r>
      <w:r>
        <w:rPr>
          <w:sz w:val="24"/>
        </w:rPr>
        <w:t>0</w:t>
      </w:r>
      <w:r>
        <w:rPr>
          <w:rFonts w:hint="eastAsia"/>
          <w:sz w:val="24"/>
        </w:rPr>
        <w:t>5</w:t>
      </w:r>
      <w:r>
        <w:rPr>
          <w:sz w:val="24"/>
        </w:rPr>
        <w:t xml:space="preserve"> percent from end-June</w:t>
      </w:r>
      <w:r>
        <w:rPr>
          <w:rFonts w:hint="eastAsia"/>
          <w:sz w:val="24"/>
        </w:rPr>
        <w:t>.</w:t>
      </w:r>
      <w:r>
        <w:rPr>
          <w:sz w:val="24"/>
        </w:rPr>
        <w:t xml:space="preserve"> The peak and trough price of gold (AU9999) on the Shanghai Gold Exchange were RMB 270.</w:t>
      </w:r>
      <w:r>
        <w:rPr>
          <w:rFonts w:hint="eastAsia"/>
          <w:sz w:val="24"/>
        </w:rPr>
        <w:t xml:space="preserve">00 </w:t>
      </w:r>
      <w:r>
        <w:rPr>
          <w:sz w:val="24"/>
        </w:rPr>
        <w:t>per gram and RMB 26</w:t>
      </w:r>
      <w:r>
        <w:rPr>
          <w:rFonts w:hint="eastAsia"/>
          <w:sz w:val="24"/>
        </w:rPr>
        <w:t>0</w:t>
      </w:r>
      <w:r>
        <w:rPr>
          <w:sz w:val="24"/>
        </w:rPr>
        <w:t>.75 per gram respectively. At end-September, the AU9999</w:t>
      </w:r>
      <w:r>
        <w:rPr>
          <w:rFonts w:hint="eastAsia"/>
          <w:sz w:val="24"/>
        </w:rPr>
        <w:t xml:space="preserve"> </w:t>
      </w:r>
      <w:r>
        <w:rPr>
          <w:sz w:val="24"/>
        </w:rPr>
        <w:t>closed at RMB 2</w:t>
      </w:r>
      <w:r>
        <w:rPr>
          <w:rFonts w:hint="eastAsia"/>
          <w:sz w:val="24"/>
        </w:rPr>
        <w:t xml:space="preserve">64.06 </w:t>
      </w:r>
      <w:r>
        <w:rPr>
          <w:sz w:val="24"/>
        </w:rPr>
        <w:t>per gram</w:t>
      </w:r>
      <w:r>
        <w:rPr>
          <w:rFonts w:hint="eastAsia"/>
          <w:sz w:val="24"/>
        </w:rPr>
        <w:t xml:space="preserve"> on the </w:t>
      </w:r>
      <w:r>
        <w:rPr>
          <w:sz w:val="24"/>
        </w:rPr>
        <w:t>Shanghai Gold Exchange, a fall of 1.</w:t>
      </w:r>
      <w:r>
        <w:rPr>
          <w:rFonts w:hint="eastAsia"/>
          <w:sz w:val="24"/>
        </w:rPr>
        <w:t>2</w:t>
      </w:r>
      <w:r>
        <w:rPr>
          <w:sz w:val="24"/>
        </w:rPr>
        <w:t>4 percent from end-June.</w:t>
      </w:r>
    </w:p>
    <w:p w:rsidR="001031BB" w:rsidRDefault="001031BB" w:rsidP="001031BB">
      <w:pPr>
        <w:spacing w:line="360" w:lineRule="auto"/>
        <w:ind w:firstLineChars="200" w:firstLine="480"/>
        <w:rPr>
          <w:sz w:val="24"/>
        </w:rPr>
      </w:pPr>
    </w:p>
    <w:p w:rsidR="001031BB" w:rsidRDefault="001031BB" w:rsidP="001031BB">
      <w:pPr>
        <w:autoSpaceDE w:val="0"/>
        <w:autoSpaceDN w:val="0"/>
        <w:adjustRightInd w:val="0"/>
        <w:spacing w:line="360" w:lineRule="auto"/>
        <w:rPr>
          <w:sz w:val="24"/>
        </w:rPr>
      </w:pPr>
      <w:r>
        <w:rPr>
          <w:rFonts w:hint="eastAsia"/>
          <w:b/>
          <w:sz w:val="24"/>
        </w:rPr>
        <w:t>T</w:t>
      </w:r>
      <w:r>
        <w:rPr>
          <w:b/>
          <w:sz w:val="24"/>
        </w:rPr>
        <w:t>rading volume on the Shanghai Gold Exchange</w:t>
      </w:r>
      <w:r>
        <w:rPr>
          <w:rFonts w:hint="eastAsia"/>
          <w:b/>
          <w:sz w:val="24"/>
        </w:rPr>
        <w:t xml:space="preserve"> </w:t>
      </w:r>
      <w:r>
        <w:rPr>
          <w:b/>
          <w:sz w:val="24"/>
        </w:rPr>
        <w:t>continued to grow</w:t>
      </w:r>
      <w:r>
        <w:rPr>
          <w:rFonts w:hint="eastAsia"/>
          <w:b/>
          <w:sz w:val="24"/>
        </w:rPr>
        <w:t>.</w:t>
      </w:r>
      <w:r>
        <w:rPr>
          <w:rFonts w:hint="eastAsia"/>
          <w:sz w:val="24"/>
        </w:rPr>
        <w:t xml:space="preserve"> In</w:t>
      </w:r>
      <w:r>
        <w:rPr>
          <w:sz w:val="24"/>
        </w:rPr>
        <w:t xml:space="preserve"> Q3, turnover on the Shanghai Gold Exchange posted RMB 15.4</w:t>
      </w:r>
      <w:r>
        <w:rPr>
          <w:rFonts w:hint="eastAsia"/>
          <w:sz w:val="24"/>
        </w:rPr>
        <w:t>7</w:t>
      </w:r>
      <w:r>
        <w:rPr>
          <w:sz w:val="24"/>
        </w:rPr>
        <w:t xml:space="preserve"> trillion, an increase of </w:t>
      </w:r>
      <w:r>
        <w:rPr>
          <w:rFonts w:hint="eastAsia"/>
          <w:sz w:val="24"/>
        </w:rPr>
        <w:t>1</w:t>
      </w:r>
      <w:r>
        <w:rPr>
          <w:sz w:val="24"/>
        </w:rPr>
        <w:t xml:space="preserve">2.6 percent year on year. Among this, the trading volume of gold was </w:t>
      </w:r>
      <w:r>
        <w:rPr>
          <w:rFonts w:hint="eastAsia"/>
          <w:sz w:val="24"/>
        </w:rPr>
        <w:t>48</w:t>
      </w:r>
      <w:r>
        <w:rPr>
          <w:sz w:val="24"/>
        </w:rPr>
        <w:t>,800 tons, a</w:t>
      </w:r>
      <w:r>
        <w:rPr>
          <w:rFonts w:hint="eastAsia"/>
          <w:sz w:val="24"/>
        </w:rPr>
        <w:t>n</w:t>
      </w:r>
      <w:r>
        <w:rPr>
          <w:sz w:val="24"/>
        </w:rPr>
        <w:t xml:space="preserve"> </w:t>
      </w:r>
      <w:r>
        <w:rPr>
          <w:rFonts w:hint="eastAsia"/>
          <w:sz w:val="24"/>
        </w:rPr>
        <w:t>in</w:t>
      </w:r>
      <w:r>
        <w:rPr>
          <w:sz w:val="24"/>
        </w:rPr>
        <w:t xml:space="preserve">crease of </w:t>
      </w:r>
      <w:r>
        <w:rPr>
          <w:rFonts w:hint="eastAsia"/>
          <w:sz w:val="24"/>
        </w:rPr>
        <w:t>35</w:t>
      </w:r>
      <w:r>
        <w:rPr>
          <w:sz w:val="24"/>
        </w:rPr>
        <w:t xml:space="preserve"> percent year on year, and the turnover posted RMB </w:t>
      </w:r>
      <w:r>
        <w:rPr>
          <w:rFonts w:hint="eastAsia"/>
          <w:sz w:val="24"/>
        </w:rPr>
        <w:t>1</w:t>
      </w:r>
      <w:r>
        <w:rPr>
          <w:sz w:val="24"/>
        </w:rPr>
        <w:t>3.17</w:t>
      </w:r>
      <w:r>
        <w:rPr>
          <w:rFonts w:hint="eastAsia"/>
          <w:sz w:val="24"/>
        </w:rPr>
        <w:t xml:space="preserve"> tr</w:t>
      </w:r>
      <w:r>
        <w:rPr>
          <w:sz w:val="24"/>
        </w:rPr>
        <w:t xml:space="preserve">illion, a growth of 31.75 percent year on year. The trading volume of </w:t>
      </w:r>
      <w:r>
        <w:rPr>
          <w:rFonts w:hint="eastAsia"/>
          <w:sz w:val="24"/>
        </w:rPr>
        <w:t>silver</w:t>
      </w:r>
      <w:r>
        <w:rPr>
          <w:sz w:val="24"/>
        </w:rPr>
        <w:t xml:space="preserve"> was 630,000 tons, a decrease of 32 percent year on year, and the turnover posted RMB 2.29</w:t>
      </w:r>
      <w:r>
        <w:rPr>
          <w:rFonts w:hint="eastAsia"/>
          <w:sz w:val="24"/>
        </w:rPr>
        <w:t xml:space="preserve"> tr</w:t>
      </w:r>
      <w:r>
        <w:rPr>
          <w:sz w:val="24"/>
        </w:rPr>
        <w:t xml:space="preserve">illion, a fall of 37.85 percent year on year. </w:t>
      </w:r>
      <w:r>
        <w:rPr>
          <w:rFonts w:hint="eastAsia"/>
          <w:sz w:val="24"/>
        </w:rPr>
        <w:t>T</w:t>
      </w:r>
      <w:r>
        <w:rPr>
          <w:sz w:val="24"/>
        </w:rPr>
        <w:t xml:space="preserve">he trading volume of </w:t>
      </w:r>
      <w:r>
        <w:rPr>
          <w:rFonts w:hint="eastAsia"/>
          <w:sz w:val="24"/>
        </w:rPr>
        <w:t>platinum</w:t>
      </w:r>
      <w:r>
        <w:rPr>
          <w:sz w:val="24"/>
        </w:rPr>
        <w:t xml:space="preserve"> was </w:t>
      </w:r>
      <w:r>
        <w:rPr>
          <w:rFonts w:hint="eastAsia"/>
          <w:sz w:val="24"/>
        </w:rPr>
        <w:t>30.5</w:t>
      </w:r>
      <w:r>
        <w:rPr>
          <w:sz w:val="24"/>
        </w:rPr>
        <w:t xml:space="preserve">4 tons, a decline of </w:t>
      </w:r>
      <w:r>
        <w:rPr>
          <w:rFonts w:hint="eastAsia"/>
          <w:sz w:val="24"/>
        </w:rPr>
        <w:t>1.99</w:t>
      </w:r>
      <w:r>
        <w:rPr>
          <w:sz w:val="24"/>
        </w:rPr>
        <w:t xml:space="preserve"> percent year on year</w:t>
      </w:r>
      <w:r>
        <w:rPr>
          <w:rFonts w:hint="eastAsia"/>
          <w:sz w:val="24"/>
        </w:rPr>
        <w:t xml:space="preserve">, </w:t>
      </w:r>
      <w:r>
        <w:rPr>
          <w:sz w:val="24"/>
        </w:rPr>
        <w:t>and the turnover posted RMB</w:t>
      </w:r>
      <w:r>
        <w:rPr>
          <w:rFonts w:hint="eastAsia"/>
          <w:sz w:val="24"/>
        </w:rPr>
        <w:t xml:space="preserve"> </w:t>
      </w:r>
      <w:r>
        <w:rPr>
          <w:sz w:val="24"/>
        </w:rPr>
        <w:t xml:space="preserve">6.177 </w:t>
      </w:r>
      <w:r>
        <w:rPr>
          <w:rFonts w:hint="eastAsia"/>
          <w:sz w:val="24"/>
        </w:rPr>
        <w:t>b</w:t>
      </w:r>
      <w:r>
        <w:rPr>
          <w:sz w:val="24"/>
        </w:rPr>
        <w:t>illion, a fall</w:t>
      </w:r>
      <w:r>
        <w:rPr>
          <w:rFonts w:hint="eastAsia"/>
          <w:sz w:val="24"/>
        </w:rPr>
        <w:t xml:space="preserve"> </w:t>
      </w:r>
      <w:r>
        <w:rPr>
          <w:sz w:val="24"/>
        </w:rPr>
        <w:t>of 11.</w:t>
      </w:r>
      <w:r>
        <w:rPr>
          <w:rFonts w:hint="eastAsia"/>
          <w:sz w:val="24"/>
        </w:rPr>
        <w:t>8</w:t>
      </w:r>
      <w:r>
        <w:rPr>
          <w:sz w:val="24"/>
        </w:rPr>
        <w:t>0 percent year on year.</w:t>
      </w:r>
    </w:p>
    <w:p w:rsidR="001031BB" w:rsidRDefault="001031BB" w:rsidP="001031BB">
      <w:pPr>
        <w:autoSpaceDE w:val="0"/>
        <w:autoSpaceDN w:val="0"/>
        <w:adjustRightInd w:val="0"/>
        <w:spacing w:line="360" w:lineRule="auto"/>
        <w:rPr>
          <w:sz w:val="24"/>
        </w:rPr>
      </w:pPr>
    </w:p>
    <w:p w:rsidR="001031BB" w:rsidRPr="006C05F2" w:rsidRDefault="001031BB" w:rsidP="006C05F2">
      <w:pPr>
        <w:pStyle w:val="2"/>
        <w:spacing w:line="360" w:lineRule="auto"/>
        <w:ind w:firstLineChars="0" w:firstLine="0"/>
        <w:rPr>
          <w:rFonts w:ascii="Times New Roman" w:eastAsia="宋体" w:hAnsi="Times New Roman"/>
          <w:bCs w:val="0"/>
          <w:sz w:val="24"/>
          <w:szCs w:val="24"/>
        </w:rPr>
      </w:pPr>
      <w:bookmarkStart w:id="87" w:name="_Toc532201093"/>
      <w:r w:rsidRPr="006C05F2">
        <w:rPr>
          <w:rFonts w:ascii="Times New Roman" w:eastAsia="宋体" w:hAnsi="Times New Roman"/>
          <w:bCs w:val="0"/>
          <w:sz w:val="24"/>
          <w:szCs w:val="24"/>
        </w:rPr>
        <w:lastRenderedPageBreak/>
        <w:t>II. The development of institutional arrangements in the financial markets</w:t>
      </w:r>
      <w:bookmarkEnd w:id="87"/>
    </w:p>
    <w:p w:rsidR="001031BB" w:rsidRDefault="001031BB" w:rsidP="001031BB">
      <w:pPr>
        <w:numPr>
          <w:ilvl w:val="0"/>
          <w:numId w:val="8"/>
        </w:numPr>
        <w:spacing w:before="60" w:after="60" w:line="360" w:lineRule="auto"/>
        <w:ind w:left="360" w:hanging="360"/>
        <w:outlineLvl w:val="2"/>
        <w:rPr>
          <w:sz w:val="24"/>
        </w:rPr>
      </w:pPr>
      <w:r>
        <w:rPr>
          <w:rFonts w:hint="eastAsia"/>
          <w:b/>
          <w:sz w:val="24"/>
        </w:rPr>
        <w:t>Regulation o</w:t>
      </w:r>
      <w:r>
        <w:rPr>
          <w:b/>
          <w:sz w:val="24"/>
        </w:rPr>
        <w:t>f</w:t>
      </w:r>
      <w:r>
        <w:rPr>
          <w:rFonts w:hint="eastAsia"/>
          <w:b/>
          <w:sz w:val="24"/>
        </w:rPr>
        <w:t xml:space="preserve"> </w:t>
      </w:r>
      <w:r>
        <w:rPr>
          <w:b/>
          <w:sz w:val="24"/>
        </w:rPr>
        <w:t>credit-rating agencies was strengthened</w:t>
      </w:r>
    </w:p>
    <w:p w:rsidR="001031BB" w:rsidRDefault="001031BB" w:rsidP="001031BB">
      <w:pPr>
        <w:spacing w:line="360" w:lineRule="auto"/>
        <w:rPr>
          <w:sz w:val="24"/>
        </w:rPr>
      </w:pPr>
      <w:r>
        <w:rPr>
          <w:rFonts w:hint="eastAsia"/>
          <w:sz w:val="24"/>
        </w:rPr>
        <w:t xml:space="preserve">On </w:t>
      </w:r>
      <w:r>
        <w:rPr>
          <w:sz w:val="24"/>
        </w:rPr>
        <w:t>September 4</w:t>
      </w:r>
      <w:r>
        <w:rPr>
          <w:rFonts w:hint="eastAsia"/>
          <w:sz w:val="24"/>
        </w:rPr>
        <w:t xml:space="preserve">, 2018, </w:t>
      </w:r>
      <w:r>
        <w:rPr>
          <w:sz w:val="24"/>
        </w:rPr>
        <w:t>the</w:t>
      </w:r>
      <w:r>
        <w:rPr>
          <w:rFonts w:hint="eastAsia"/>
          <w:sz w:val="24"/>
        </w:rPr>
        <w:t xml:space="preserve"> PBC </w:t>
      </w:r>
      <w:r>
        <w:rPr>
          <w:sz w:val="24"/>
        </w:rPr>
        <w:t xml:space="preserve">and the </w:t>
      </w:r>
      <w:r>
        <w:rPr>
          <w:rFonts w:hint="eastAsia"/>
          <w:sz w:val="24"/>
        </w:rPr>
        <w:t>China Securities Regulatory Commission (CSRC) jointly released Notice</w:t>
      </w:r>
      <w:r>
        <w:rPr>
          <w:sz w:val="24"/>
        </w:rPr>
        <w:t xml:space="preserve"> No. 14 [2018]</w:t>
      </w:r>
      <w:r>
        <w:rPr>
          <w:rFonts w:hint="eastAsia"/>
          <w:sz w:val="24"/>
        </w:rPr>
        <w:t xml:space="preserve"> to gradually unify the </w:t>
      </w:r>
      <w:r>
        <w:rPr>
          <w:sz w:val="24"/>
        </w:rPr>
        <w:t>qualifications for providing rating services on the interbank and stock exchange bond market</w:t>
      </w:r>
      <w:r>
        <w:rPr>
          <w:rFonts w:hint="eastAsia"/>
          <w:sz w:val="24"/>
        </w:rPr>
        <w:t>s</w:t>
      </w:r>
      <w:r>
        <w:rPr>
          <w:sz w:val="24"/>
        </w:rPr>
        <w:t xml:space="preserve"> </w:t>
      </w:r>
      <w:r>
        <w:rPr>
          <w:rFonts w:hint="eastAsia"/>
          <w:sz w:val="24"/>
        </w:rPr>
        <w:t xml:space="preserve">to </w:t>
      </w:r>
      <w:r>
        <w:rPr>
          <w:sz w:val="24"/>
        </w:rPr>
        <w:t xml:space="preserve">strengthen the regulation of credit-rating agencies, </w:t>
      </w:r>
      <w:r>
        <w:rPr>
          <w:rFonts w:hint="eastAsia"/>
          <w:sz w:val="24"/>
        </w:rPr>
        <w:t xml:space="preserve">to </w:t>
      </w:r>
      <w:r>
        <w:rPr>
          <w:sz w:val="24"/>
        </w:rPr>
        <w:t xml:space="preserve">promote improvements in the internal mechanism of the credit-rating agencies, </w:t>
      </w:r>
      <w:r>
        <w:rPr>
          <w:rFonts w:hint="eastAsia"/>
          <w:sz w:val="24"/>
        </w:rPr>
        <w:t xml:space="preserve">to </w:t>
      </w:r>
      <w:r>
        <w:rPr>
          <w:sz w:val="24"/>
        </w:rPr>
        <w:t xml:space="preserve">unify rating standards, and, </w:t>
      </w:r>
      <w:r>
        <w:rPr>
          <w:rFonts w:hint="eastAsia"/>
          <w:sz w:val="24"/>
        </w:rPr>
        <w:t xml:space="preserve">ultimately, to </w:t>
      </w:r>
      <w:r>
        <w:rPr>
          <w:sz w:val="24"/>
        </w:rPr>
        <w:t>improv</w:t>
      </w:r>
      <w:r>
        <w:rPr>
          <w:rFonts w:hint="eastAsia"/>
          <w:sz w:val="24"/>
        </w:rPr>
        <w:t>e</w:t>
      </w:r>
      <w:r>
        <w:rPr>
          <w:sz w:val="24"/>
        </w:rPr>
        <w:t xml:space="preserve"> the quality of rating. </w:t>
      </w:r>
    </w:p>
    <w:p w:rsidR="001031BB" w:rsidRDefault="001031BB" w:rsidP="001031BB">
      <w:pPr>
        <w:spacing w:line="360" w:lineRule="auto"/>
        <w:rPr>
          <w:sz w:val="24"/>
        </w:rPr>
      </w:pPr>
    </w:p>
    <w:p w:rsidR="001031BB" w:rsidRDefault="001031BB" w:rsidP="001031BB">
      <w:pPr>
        <w:spacing w:line="360" w:lineRule="auto"/>
        <w:rPr>
          <w:sz w:val="24"/>
        </w:rPr>
      </w:pPr>
      <w:r>
        <w:rPr>
          <w:b/>
          <w:sz w:val="24"/>
        </w:rPr>
        <w:t xml:space="preserve">2. Institutional arrangements for the issuance of bonds by overseas institutions on the interbank bond market improved </w:t>
      </w:r>
    </w:p>
    <w:p w:rsidR="001031BB" w:rsidRDefault="001031BB" w:rsidP="001031BB">
      <w:pPr>
        <w:spacing w:before="240" w:line="360" w:lineRule="auto"/>
        <w:rPr>
          <w:sz w:val="24"/>
        </w:rPr>
      </w:pPr>
      <w:r>
        <w:rPr>
          <w:sz w:val="24"/>
        </w:rPr>
        <w:t xml:space="preserve"> On September 8, 2018, </w:t>
      </w:r>
      <w:r>
        <w:rPr>
          <w:rFonts w:hint="eastAsia"/>
          <w:sz w:val="24"/>
        </w:rPr>
        <w:t>in Notice</w:t>
      </w:r>
      <w:r>
        <w:rPr>
          <w:sz w:val="24"/>
        </w:rPr>
        <w:t xml:space="preserve"> No. 16 [2018]</w:t>
      </w:r>
      <w:r>
        <w:rPr>
          <w:rFonts w:hint="eastAsia"/>
          <w:sz w:val="24"/>
        </w:rPr>
        <w:t xml:space="preserve">, the PBC and the </w:t>
      </w:r>
      <w:r>
        <w:rPr>
          <w:sz w:val="24"/>
        </w:rPr>
        <w:t>Ministry of Finance</w:t>
      </w:r>
      <w:r>
        <w:rPr>
          <w:rFonts w:hint="eastAsia"/>
          <w:sz w:val="24"/>
        </w:rPr>
        <w:t xml:space="preserve"> jointly released</w:t>
      </w:r>
      <w:r>
        <w:rPr>
          <w:sz w:val="24"/>
        </w:rPr>
        <w:t xml:space="preserve"> the</w:t>
      </w:r>
      <w:r>
        <w:rPr>
          <w:rFonts w:hint="eastAsia"/>
          <w:sz w:val="24"/>
        </w:rPr>
        <w:t xml:space="preserve"> </w:t>
      </w:r>
      <w:r>
        <w:rPr>
          <w:i/>
          <w:sz w:val="24"/>
        </w:rPr>
        <w:t>Interim Measures for the Administration of Bond Issuances by Overseas Institutions on the National Interbank Bond Marke</w:t>
      </w:r>
      <w:r>
        <w:rPr>
          <w:rFonts w:hint="eastAsia"/>
          <w:i/>
          <w:sz w:val="24"/>
        </w:rPr>
        <w:t xml:space="preserve">t </w:t>
      </w:r>
      <w:r>
        <w:rPr>
          <w:rFonts w:hint="eastAsia"/>
          <w:sz w:val="24"/>
        </w:rPr>
        <w:t>to</w:t>
      </w:r>
      <w:r>
        <w:rPr>
          <w:sz w:val="24"/>
        </w:rPr>
        <w:t xml:space="preserve"> improve the institutional arrangements for</w:t>
      </w:r>
      <w:r>
        <w:rPr>
          <w:rFonts w:hint="eastAsia"/>
          <w:sz w:val="24"/>
        </w:rPr>
        <w:t xml:space="preserve"> </w:t>
      </w:r>
      <w:r>
        <w:rPr>
          <w:sz w:val="24"/>
        </w:rPr>
        <w:t xml:space="preserve">issuances  by overseas institutions on the interbank bond market, </w:t>
      </w:r>
      <w:r>
        <w:rPr>
          <w:rFonts w:hint="eastAsia"/>
          <w:sz w:val="24"/>
        </w:rPr>
        <w:t xml:space="preserve">to </w:t>
      </w:r>
      <w:r>
        <w:rPr>
          <w:sz w:val="24"/>
        </w:rPr>
        <w:t xml:space="preserve">promote the </w:t>
      </w:r>
      <w:r>
        <w:rPr>
          <w:rFonts w:hint="eastAsia"/>
          <w:sz w:val="24"/>
        </w:rPr>
        <w:t>convergence</w:t>
      </w:r>
      <w:r>
        <w:rPr>
          <w:sz w:val="24"/>
        </w:rPr>
        <w:t xml:space="preserve"> of relevant rules and regulations with global practices, </w:t>
      </w:r>
      <w:r>
        <w:rPr>
          <w:rFonts w:hint="eastAsia"/>
          <w:sz w:val="24"/>
        </w:rPr>
        <w:t>to</w:t>
      </w:r>
      <w:r>
        <w:rPr>
          <w:sz w:val="24"/>
        </w:rPr>
        <w:t xml:space="preserve"> enhance </w:t>
      </w:r>
      <w:r>
        <w:rPr>
          <w:rFonts w:hint="eastAsia"/>
          <w:sz w:val="24"/>
        </w:rPr>
        <w:t>bond market</w:t>
      </w:r>
      <w:r>
        <w:rPr>
          <w:sz w:val="24"/>
        </w:rPr>
        <w:t xml:space="preserve"> internationaliz</w:t>
      </w:r>
      <w:r>
        <w:rPr>
          <w:rFonts w:hint="eastAsia"/>
          <w:sz w:val="24"/>
        </w:rPr>
        <w:t>ation</w:t>
      </w:r>
      <w:r>
        <w:rPr>
          <w:sz w:val="24"/>
        </w:rPr>
        <w:t xml:space="preserve">, and </w:t>
      </w:r>
      <w:r>
        <w:rPr>
          <w:rFonts w:hint="eastAsia"/>
          <w:sz w:val="24"/>
        </w:rPr>
        <w:t xml:space="preserve">to </w:t>
      </w:r>
      <w:r>
        <w:rPr>
          <w:sz w:val="24"/>
        </w:rPr>
        <w:t xml:space="preserve">promote an opening of the </w:t>
      </w:r>
      <w:r>
        <w:rPr>
          <w:rFonts w:hint="eastAsia"/>
          <w:sz w:val="24"/>
        </w:rPr>
        <w:t>financial market</w:t>
      </w:r>
      <w:r>
        <w:rPr>
          <w:sz w:val="24"/>
        </w:rPr>
        <w:t>.</w:t>
      </w:r>
      <w:r>
        <w:rPr>
          <w:rFonts w:hint="eastAsia"/>
          <w:sz w:val="24"/>
        </w:rPr>
        <w:t xml:space="preserve"> At the same time</w:t>
      </w:r>
      <w:r>
        <w:rPr>
          <w:sz w:val="24"/>
        </w:rPr>
        <w:t xml:space="preserve">, </w:t>
      </w:r>
      <w:r>
        <w:rPr>
          <w:rFonts w:hint="eastAsia"/>
          <w:sz w:val="24"/>
        </w:rPr>
        <w:t>the</w:t>
      </w:r>
      <w:r>
        <w:rPr>
          <w:i/>
          <w:sz w:val="24"/>
        </w:rPr>
        <w:t xml:space="preserve"> </w:t>
      </w:r>
      <w:r>
        <w:rPr>
          <w:rFonts w:hint="eastAsia"/>
          <w:i/>
          <w:sz w:val="24"/>
        </w:rPr>
        <w:t>I</w:t>
      </w:r>
      <w:r>
        <w:rPr>
          <w:i/>
          <w:sz w:val="24"/>
        </w:rPr>
        <w:t>nterim Measures for the Administration of the Issuance of RMB Bonds by International Development Institution</w:t>
      </w:r>
      <w:r>
        <w:rPr>
          <w:sz w:val="24"/>
        </w:rPr>
        <w:t>s</w:t>
      </w:r>
      <w:r>
        <w:rPr>
          <w:rFonts w:hint="eastAsia"/>
          <w:sz w:val="24"/>
        </w:rPr>
        <w:t xml:space="preserve"> w</w:t>
      </w:r>
      <w:r>
        <w:rPr>
          <w:sz w:val="24"/>
        </w:rPr>
        <w:t>ere</w:t>
      </w:r>
      <w:r>
        <w:rPr>
          <w:rFonts w:hint="eastAsia"/>
          <w:sz w:val="24"/>
        </w:rPr>
        <w:t xml:space="preserve"> abolished</w:t>
      </w:r>
      <w:r>
        <w:rPr>
          <w:sz w:val="24"/>
        </w:rPr>
        <w:t xml:space="preserve">, as </w:t>
      </w:r>
      <w:r>
        <w:rPr>
          <w:rFonts w:hint="eastAsia"/>
          <w:sz w:val="24"/>
        </w:rPr>
        <w:t xml:space="preserve">the newly released </w:t>
      </w:r>
      <w:r>
        <w:rPr>
          <w:rFonts w:hint="eastAsia"/>
          <w:i/>
          <w:sz w:val="24"/>
        </w:rPr>
        <w:t>Interim Measures</w:t>
      </w:r>
      <w:r>
        <w:rPr>
          <w:rFonts w:hint="eastAsia"/>
          <w:sz w:val="24"/>
        </w:rPr>
        <w:t xml:space="preserve"> </w:t>
      </w:r>
      <w:r>
        <w:rPr>
          <w:sz w:val="24"/>
        </w:rPr>
        <w:t xml:space="preserve">include international development institutions in the scope of their overseas institutions. </w:t>
      </w:r>
    </w:p>
    <w:p w:rsidR="001031BB" w:rsidRDefault="001031BB" w:rsidP="001031BB">
      <w:pPr>
        <w:spacing w:line="360" w:lineRule="auto"/>
        <w:rPr>
          <w:sz w:val="24"/>
        </w:rPr>
      </w:pPr>
    </w:p>
    <w:p w:rsidR="001031BB" w:rsidRDefault="001031BB" w:rsidP="001031BB">
      <w:pPr>
        <w:spacing w:line="360" w:lineRule="auto"/>
        <w:rPr>
          <w:b/>
          <w:bCs/>
          <w:sz w:val="24"/>
        </w:rPr>
      </w:pPr>
      <w:r>
        <w:rPr>
          <w:b/>
          <w:sz w:val="24"/>
        </w:rPr>
        <w:t xml:space="preserve">3. </w:t>
      </w:r>
      <w:r>
        <w:rPr>
          <w:rFonts w:hint="eastAsia"/>
          <w:b/>
          <w:sz w:val="24"/>
        </w:rPr>
        <w:t xml:space="preserve">Regulatory </w:t>
      </w:r>
      <w:r>
        <w:rPr>
          <w:b/>
          <w:sz w:val="24"/>
        </w:rPr>
        <w:t>arrangements for the securities and futures industry were strengthened</w:t>
      </w:r>
      <w:r>
        <w:rPr>
          <w:b/>
          <w:bCs/>
          <w:sz w:val="24"/>
        </w:rPr>
        <w:t xml:space="preserve">. </w:t>
      </w:r>
    </w:p>
    <w:p w:rsidR="001031BB" w:rsidRDefault="001031BB" w:rsidP="001031BB">
      <w:pPr>
        <w:spacing w:line="360" w:lineRule="auto"/>
        <w:rPr>
          <w:rStyle w:val="a8"/>
          <w:rFonts w:ascii="Arial" w:hAnsi="Arial" w:cs="Arial"/>
          <w:b w:val="0"/>
          <w:color w:val="000000"/>
          <w:sz w:val="23"/>
          <w:szCs w:val="23"/>
          <w:shd w:val="clear" w:color="auto" w:fill="FFFFFF"/>
        </w:rPr>
      </w:pPr>
      <w:r>
        <w:rPr>
          <w:b/>
          <w:bCs/>
          <w:sz w:val="24"/>
        </w:rPr>
        <w:t>The p</w:t>
      </w:r>
      <w:r>
        <w:rPr>
          <w:rFonts w:hint="eastAsia"/>
          <w:b/>
          <w:bCs/>
          <w:sz w:val="24"/>
        </w:rPr>
        <w:t xml:space="preserve">ublic company regulatory framework was </w:t>
      </w:r>
      <w:r>
        <w:rPr>
          <w:b/>
          <w:bCs/>
          <w:sz w:val="24"/>
        </w:rPr>
        <w:t>further</w:t>
      </w:r>
      <w:r>
        <w:rPr>
          <w:rFonts w:hint="eastAsia"/>
          <w:b/>
          <w:bCs/>
          <w:sz w:val="24"/>
        </w:rPr>
        <w:t xml:space="preserve"> </w:t>
      </w:r>
      <w:r>
        <w:rPr>
          <w:b/>
          <w:bCs/>
          <w:sz w:val="24"/>
        </w:rPr>
        <w:t>improved.</w:t>
      </w:r>
      <w:r>
        <w:rPr>
          <w:bCs/>
          <w:sz w:val="24"/>
        </w:rPr>
        <w:t xml:space="preserve"> First, in July the CSRC issued </w:t>
      </w:r>
      <w:r w:rsidRPr="00C30443">
        <w:rPr>
          <w:bCs/>
          <w:sz w:val="24"/>
        </w:rPr>
        <w:t>the</w:t>
      </w:r>
      <w:r>
        <w:rPr>
          <w:bCs/>
          <w:i/>
          <w:sz w:val="24"/>
        </w:rPr>
        <w:t xml:space="preserve"> Decision to Amend the Several Opinions on Reforming, Improving, and Strictly Implementing the Rules</w:t>
      </w:r>
      <w:r>
        <w:rPr>
          <w:rFonts w:hint="eastAsia"/>
          <w:bCs/>
          <w:i/>
          <w:sz w:val="24"/>
        </w:rPr>
        <w:t xml:space="preserve"> </w:t>
      </w:r>
      <w:r>
        <w:rPr>
          <w:bCs/>
          <w:i/>
          <w:sz w:val="24"/>
        </w:rPr>
        <w:t xml:space="preserve">for the Delisting of </w:t>
      </w:r>
      <w:r>
        <w:rPr>
          <w:rFonts w:hint="eastAsia"/>
          <w:bCs/>
          <w:i/>
          <w:sz w:val="24"/>
        </w:rPr>
        <w:t xml:space="preserve">Public </w:t>
      </w:r>
      <w:r>
        <w:rPr>
          <w:bCs/>
          <w:i/>
          <w:sz w:val="24"/>
        </w:rPr>
        <w:t>Companies</w:t>
      </w:r>
      <w:r>
        <w:rPr>
          <w:rFonts w:hint="eastAsia"/>
          <w:bCs/>
          <w:sz w:val="24"/>
        </w:rPr>
        <w:t xml:space="preserve"> to</w:t>
      </w:r>
      <w:r>
        <w:rPr>
          <w:bCs/>
          <w:sz w:val="24"/>
        </w:rPr>
        <w:t xml:space="preserve"> clarif</w:t>
      </w:r>
      <w:r>
        <w:rPr>
          <w:rFonts w:hint="eastAsia"/>
          <w:bCs/>
          <w:sz w:val="24"/>
        </w:rPr>
        <w:t>y</w:t>
      </w:r>
      <w:r>
        <w:rPr>
          <w:bCs/>
          <w:sz w:val="24"/>
        </w:rPr>
        <w:t xml:space="preserve"> that the securities exchanges shall </w:t>
      </w:r>
      <w:r>
        <w:rPr>
          <w:rFonts w:hint="eastAsia"/>
          <w:bCs/>
          <w:sz w:val="24"/>
        </w:rPr>
        <w:t xml:space="preserve">fulfill their </w:t>
      </w:r>
      <w:r>
        <w:rPr>
          <w:bCs/>
          <w:sz w:val="24"/>
        </w:rPr>
        <w:t>responsibilit</w:t>
      </w:r>
      <w:r>
        <w:rPr>
          <w:rFonts w:hint="eastAsia"/>
          <w:bCs/>
          <w:sz w:val="24"/>
        </w:rPr>
        <w:t>ies</w:t>
      </w:r>
      <w:r>
        <w:rPr>
          <w:bCs/>
          <w:sz w:val="24"/>
        </w:rPr>
        <w:t xml:space="preserve"> in accordance with the law, </w:t>
      </w:r>
      <w:r>
        <w:rPr>
          <w:rFonts w:hint="eastAsia"/>
          <w:bCs/>
          <w:sz w:val="24"/>
        </w:rPr>
        <w:t>to suspend or</w:t>
      </w:r>
      <w:r>
        <w:rPr>
          <w:bCs/>
          <w:sz w:val="24"/>
        </w:rPr>
        <w:t xml:space="preserve"> terminate the trading of stocks of </w:t>
      </w:r>
      <w:r>
        <w:rPr>
          <w:rFonts w:hint="eastAsia"/>
          <w:bCs/>
          <w:sz w:val="24"/>
        </w:rPr>
        <w:t xml:space="preserve">those </w:t>
      </w:r>
      <w:r>
        <w:rPr>
          <w:bCs/>
          <w:sz w:val="24"/>
        </w:rPr>
        <w:t xml:space="preserve">companies </w:t>
      </w:r>
      <w:r>
        <w:rPr>
          <w:rFonts w:hint="eastAsia"/>
          <w:bCs/>
          <w:sz w:val="24"/>
        </w:rPr>
        <w:t xml:space="preserve">that </w:t>
      </w:r>
      <w:r>
        <w:rPr>
          <w:rFonts w:hint="eastAsia"/>
          <w:bCs/>
          <w:sz w:val="24"/>
        </w:rPr>
        <w:lastRenderedPageBreak/>
        <w:t>have major breaches of laws</w:t>
      </w:r>
      <w:r>
        <w:rPr>
          <w:bCs/>
          <w:sz w:val="24"/>
        </w:rPr>
        <w:t>,</w:t>
      </w:r>
      <w:r>
        <w:rPr>
          <w:rFonts w:hint="eastAsia"/>
          <w:bCs/>
          <w:sz w:val="24"/>
        </w:rPr>
        <w:t xml:space="preserve"> </w:t>
      </w:r>
      <w:r>
        <w:rPr>
          <w:bCs/>
          <w:sz w:val="24"/>
        </w:rPr>
        <w:t xml:space="preserve">such as fraudulent issuances, major violations of information disclosure, or other illegal behavior involving national security, public security, ecological security, production security, and public health security. In addition, the Amendment Decision requires that the controlling shareholder, actual controller, </w:t>
      </w:r>
      <w:r>
        <w:rPr>
          <w:rFonts w:hint="eastAsia"/>
          <w:bCs/>
          <w:sz w:val="24"/>
        </w:rPr>
        <w:t xml:space="preserve">directors, </w:t>
      </w:r>
      <w:r>
        <w:rPr>
          <w:bCs/>
          <w:sz w:val="24"/>
        </w:rPr>
        <w:t>supervisor</w:t>
      </w:r>
      <w:r>
        <w:rPr>
          <w:rFonts w:hint="eastAsia"/>
          <w:bCs/>
          <w:sz w:val="24"/>
        </w:rPr>
        <w:t>s</w:t>
      </w:r>
      <w:r>
        <w:rPr>
          <w:bCs/>
          <w:sz w:val="24"/>
        </w:rPr>
        <w:t>, and the senior manage</w:t>
      </w:r>
      <w:r>
        <w:rPr>
          <w:rFonts w:hint="eastAsia"/>
          <w:bCs/>
          <w:sz w:val="24"/>
        </w:rPr>
        <w:t>ment</w:t>
      </w:r>
      <w:r>
        <w:rPr>
          <w:bCs/>
          <w:sz w:val="24"/>
        </w:rPr>
        <w:t xml:space="preserve"> of the company who is delisted for serious violations of law should, in accordance with the law, coo</w:t>
      </w:r>
      <w:r>
        <w:rPr>
          <w:sz w:val="24"/>
        </w:rPr>
        <w:t xml:space="preserve">perate in the delisting of the company and perform their relevant duties. </w:t>
      </w:r>
      <w:r>
        <w:rPr>
          <w:bCs/>
          <w:sz w:val="24"/>
        </w:rPr>
        <w:t xml:space="preserve">Second, in August the CSRC issued the </w:t>
      </w:r>
      <w:r>
        <w:rPr>
          <w:bCs/>
          <w:i/>
          <w:sz w:val="24"/>
        </w:rPr>
        <w:t>Decision to Amend the Measures for the Administration of Equity Incentives of Listed Companies</w:t>
      </w:r>
      <w:r>
        <w:rPr>
          <w:bCs/>
          <w:sz w:val="24"/>
        </w:rPr>
        <w:t xml:space="preserve">, expanding the scope of </w:t>
      </w:r>
      <w:r>
        <w:rPr>
          <w:rFonts w:hint="eastAsia"/>
          <w:bCs/>
          <w:sz w:val="24"/>
        </w:rPr>
        <w:t>staff eligible for</w:t>
      </w:r>
      <w:r>
        <w:rPr>
          <w:bCs/>
          <w:sz w:val="24"/>
        </w:rPr>
        <w:t xml:space="preserve"> equity incentives in domestic listed companies from those working </w:t>
      </w:r>
      <w:r>
        <w:rPr>
          <w:rFonts w:hint="eastAsia"/>
          <w:bCs/>
          <w:sz w:val="24"/>
        </w:rPr>
        <w:t>from the</w:t>
      </w:r>
      <w:r>
        <w:rPr>
          <w:bCs/>
          <w:sz w:val="24"/>
        </w:rPr>
        <w:t xml:space="preserve"> home</w:t>
      </w:r>
      <w:r>
        <w:rPr>
          <w:rFonts w:hint="eastAsia"/>
          <w:bCs/>
          <w:sz w:val="24"/>
        </w:rPr>
        <w:t xml:space="preserve"> country</w:t>
      </w:r>
      <w:r>
        <w:rPr>
          <w:bCs/>
          <w:sz w:val="24"/>
        </w:rPr>
        <w:t xml:space="preserve"> to include all expatriate staff. Third, in September, the CSRC </w:t>
      </w:r>
      <w:r>
        <w:rPr>
          <w:rFonts w:hint="eastAsia"/>
          <w:bCs/>
          <w:sz w:val="24"/>
        </w:rPr>
        <w:t xml:space="preserve">released </w:t>
      </w:r>
      <w:r>
        <w:rPr>
          <w:bCs/>
          <w:sz w:val="24"/>
        </w:rPr>
        <w:t xml:space="preserve">the amended </w:t>
      </w:r>
      <w:r>
        <w:rPr>
          <w:bCs/>
          <w:i/>
          <w:sz w:val="24"/>
        </w:rPr>
        <w:t>Code of Corporate Governance of Listed Companie</w:t>
      </w:r>
      <w:r>
        <w:rPr>
          <w:sz w:val="24"/>
        </w:rPr>
        <w:t>s</w:t>
      </w:r>
      <w:r>
        <w:rPr>
          <w:i/>
          <w:sz w:val="24"/>
        </w:rPr>
        <w:t>.</w:t>
      </w:r>
      <w:r>
        <w:rPr>
          <w:sz w:val="24"/>
        </w:rPr>
        <w:t xml:space="preserve"> There are revisions in many aspects of the previous version, such as strengthening the constraints on the controlling shareholder, the actual controller, and the </w:t>
      </w:r>
      <w:r>
        <w:rPr>
          <w:rFonts w:hint="eastAsia"/>
          <w:sz w:val="24"/>
        </w:rPr>
        <w:t>connected parties</w:t>
      </w:r>
      <w:r>
        <w:rPr>
          <w:sz w:val="24"/>
        </w:rPr>
        <w:t>, reinforcing the leading role of listed companies in environmental protection and the fulfillment of social responsibilities, and promoting participation by institutional investors in corporate governance in order to further encourage listed companies to enhance their</w:t>
      </w:r>
      <w:r>
        <w:rPr>
          <w:rFonts w:hint="eastAsia"/>
          <w:sz w:val="24"/>
        </w:rPr>
        <w:t xml:space="preserve"> governance</w:t>
      </w:r>
      <w:r>
        <w:rPr>
          <w:sz w:val="24"/>
        </w:rPr>
        <w:t xml:space="preserve"> capacity and to protect the legitimate rights</w:t>
      </w:r>
      <w:r>
        <w:rPr>
          <w:rFonts w:hint="eastAsia"/>
          <w:sz w:val="24"/>
        </w:rPr>
        <w:t xml:space="preserve"> and interests </w:t>
      </w:r>
      <w:r>
        <w:rPr>
          <w:sz w:val="24"/>
        </w:rPr>
        <w:t xml:space="preserve">of their investors. </w:t>
      </w:r>
    </w:p>
    <w:p w:rsidR="001031BB" w:rsidRDefault="001031BB" w:rsidP="001031BB">
      <w:pPr>
        <w:spacing w:line="480" w:lineRule="auto"/>
        <w:rPr>
          <w:rStyle w:val="a8"/>
          <w:rFonts w:ascii="Arial" w:hAnsi="Arial" w:cs="Arial"/>
          <w:b w:val="0"/>
          <w:color w:val="000000"/>
          <w:sz w:val="23"/>
          <w:szCs w:val="23"/>
          <w:shd w:val="clear" w:color="auto" w:fill="FFFFFF"/>
        </w:rPr>
      </w:pPr>
    </w:p>
    <w:p w:rsidR="001031BB" w:rsidRDefault="001031BB" w:rsidP="001031BB">
      <w:pPr>
        <w:spacing w:line="360" w:lineRule="auto"/>
        <w:rPr>
          <w:bCs/>
          <w:sz w:val="24"/>
        </w:rPr>
      </w:pPr>
      <w:r>
        <w:rPr>
          <w:b/>
          <w:sz w:val="24"/>
        </w:rPr>
        <w:t xml:space="preserve">Regulation of the equity of securities and futures business institutions </w:t>
      </w:r>
      <w:r>
        <w:rPr>
          <w:rFonts w:hint="eastAsia"/>
          <w:b/>
          <w:sz w:val="24"/>
        </w:rPr>
        <w:t xml:space="preserve">was </w:t>
      </w:r>
      <w:r>
        <w:rPr>
          <w:b/>
          <w:sz w:val="24"/>
        </w:rPr>
        <w:t xml:space="preserve">further optimized. </w:t>
      </w:r>
      <w:r>
        <w:rPr>
          <w:bCs/>
          <w:sz w:val="24"/>
        </w:rPr>
        <w:t xml:space="preserve">First, in August the CSRC issued the </w:t>
      </w:r>
      <w:r>
        <w:rPr>
          <w:rFonts w:hint="eastAsia"/>
          <w:bCs/>
          <w:i/>
          <w:sz w:val="24"/>
        </w:rPr>
        <w:t xml:space="preserve">Administrative </w:t>
      </w:r>
      <w:r>
        <w:rPr>
          <w:bCs/>
          <w:i/>
          <w:sz w:val="24"/>
        </w:rPr>
        <w:t>Measures for Foreign-Funded Futures Companies</w:t>
      </w:r>
      <w:r>
        <w:rPr>
          <w:bCs/>
          <w:sz w:val="24"/>
        </w:rPr>
        <w:t>. The Measures requires that overseas shareholders investing in domestic futures companies should have a good international reputation and sound business performance</w:t>
      </w:r>
      <w:r>
        <w:rPr>
          <w:rFonts w:hint="eastAsia"/>
          <w:bCs/>
          <w:sz w:val="24"/>
        </w:rPr>
        <w:t>. Specifically,</w:t>
      </w:r>
      <w:r>
        <w:rPr>
          <w:bCs/>
          <w:sz w:val="24"/>
        </w:rPr>
        <w:t xml:space="preserve"> their business scale, revenue, and profits </w:t>
      </w:r>
      <w:r>
        <w:rPr>
          <w:rFonts w:hint="eastAsia"/>
          <w:bCs/>
          <w:sz w:val="24"/>
        </w:rPr>
        <w:t xml:space="preserve">in the three previous years </w:t>
      </w:r>
      <w:r>
        <w:rPr>
          <w:bCs/>
          <w:sz w:val="24"/>
        </w:rPr>
        <w:t>should</w:t>
      </w:r>
      <w:r>
        <w:rPr>
          <w:rFonts w:hint="eastAsia"/>
          <w:bCs/>
          <w:sz w:val="24"/>
        </w:rPr>
        <w:t xml:space="preserve"> rank</w:t>
      </w:r>
      <w:r>
        <w:rPr>
          <w:bCs/>
          <w:sz w:val="24"/>
        </w:rPr>
        <w:t xml:space="preserve"> </w:t>
      </w:r>
      <w:r>
        <w:rPr>
          <w:rFonts w:hint="eastAsia"/>
          <w:bCs/>
          <w:sz w:val="24"/>
        </w:rPr>
        <w:t xml:space="preserve">among the top </w:t>
      </w:r>
      <w:r>
        <w:rPr>
          <w:bCs/>
          <w:sz w:val="24"/>
        </w:rPr>
        <w:t xml:space="preserve">global </w:t>
      </w:r>
      <w:r>
        <w:rPr>
          <w:rFonts w:hint="eastAsia"/>
          <w:bCs/>
          <w:sz w:val="24"/>
        </w:rPr>
        <w:t xml:space="preserve">level </w:t>
      </w:r>
      <w:r>
        <w:rPr>
          <w:bCs/>
          <w:sz w:val="24"/>
        </w:rPr>
        <w:t xml:space="preserve">and their long-term credit should be of high standard. In addition, </w:t>
      </w:r>
      <w:r>
        <w:rPr>
          <w:rFonts w:hint="eastAsia"/>
          <w:bCs/>
          <w:sz w:val="24"/>
        </w:rPr>
        <w:t xml:space="preserve">the </w:t>
      </w:r>
      <w:r w:rsidRPr="00C30443">
        <w:rPr>
          <w:bCs/>
          <w:sz w:val="24"/>
        </w:rPr>
        <w:t>Administrative Measures</w:t>
      </w:r>
      <w:r>
        <w:rPr>
          <w:bCs/>
          <w:sz w:val="24"/>
        </w:rPr>
        <w:t xml:space="preserve"> regulate indirect shareholding by foreign investors and clarify the provisions on the performance of the duty of senior managerial personnel </w:t>
      </w:r>
      <w:r>
        <w:rPr>
          <w:bCs/>
          <w:sz w:val="24"/>
        </w:rPr>
        <w:lastRenderedPageBreak/>
        <w:t xml:space="preserve">so as to orderly introduce premium overseas financial institutions to </w:t>
      </w:r>
      <w:r>
        <w:rPr>
          <w:rFonts w:hint="eastAsia"/>
          <w:bCs/>
          <w:sz w:val="24"/>
        </w:rPr>
        <w:t xml:space="preserve">make </w:t>
      </w:r>
      <w:r>
        <w:rPr>
          <w:bCs/>
          <w:sz w:val="24"/>
        </w:rPr>
        <w:t>invest</w:t>
      </w:r>
      <w:r>
        <w:rPr>
          <w:rFonts w:hint="eastAsia"/>
          <w:bCs/>
          <w:sz w:val="24"/>
        </w:rPr>
        <w:t>ments</w:t>
      </w:r>
      <w:r>
        <w:rPr>
          <w:bCs/>
          <w:sz w:val="24"/>
        </w:rPr>
        <w:t xml:space="preserve"> in futures companies. Second, in September the CSRC issued the</w:t>
      </w:r>
      <w:r>
        <w:rPr>
          <w:rFonts w:hint="eastAsia"/>
          <w:bCs/>
          <w:sz w:val="24"/>
        </w:rPr>
        <w:t xml:space="preserve"> </w:t>
      </w:r>
      <w:r>
        <w:rPr>
          <w:rFonts w:hint="eastAsia"/>
          <w:bCs/>
          <w:i/>
          <w:sz w:val="24"/>
        </w:rPr>
        <w:t>Administrative</w:t>
      </w:r>
      <w:r>
        <w:rPr>
          <w:bCs/>
          <w:sz w:val="24"/>
        </w:rPr>
        <w:t xml:space="preserve"> </w:t>
      </w:r>
      <w:r>
        <w:rPr>
          <w:bCs/>
          <w:i/>
          <w:sz w:val="24"/>
        </w:rPr>
        <w:t xml:space="preserve">Measures </w:t>
      </w:r>
      <w:r>
        <w:rPr>
          <w:rFonts w:hint="eastAsia"/>
          <w:bCs/>
          <w:i/>
          <w:sz w:val="24"/>
        </w:rPr>
        <w:t>on the</w:t>
      </w:r>
      <w:r>
        <w:rPr>
          <w:bCs/>
          <w:i/>
          <w:sz w:val="24"/>
        </w:rPr>
        <w:t xml:space="preserve"> </w:t>
      </w:r>
      <w:r>
        <w:rPr>
          <w:rFonts w:hint="eastAsia"/>
          <w:bCs/>
          <w:i/>
          <w:sz w:val="24"/>
        </w:rPr>
        <w:t>Establishment of</w:t>
      </w:r>
      <w:r>
        <w:rPr>
          <w:bCs/>
          <w:i/>
          <w:sz w:val="24"/>
        </w:rPr>
        <w:t xml:space="preserve">, Acquisition </w:t>
      </w:r>
      <w:r>
        <w:rPr>
          <w:rFonts w:hint="eastAsia"/>
          <w:bCs/>
          <w:i/>
          <w:sz w:val="24"/>
        </w:rPr>
        <w:t>of</w:t>
      </w:r>
      <w:r>
        <w:rPr>
          <w:bCs/>
          <w:i/>
          <w:sz w:val="24"/>
        </w:rPr>
        <w:t>,</w:t>
      </w:r>
      <w:r>
        <w:rPr>
          <w:rFonts w:hint="eastAsia"/>
          <w:bCs/>
          <w:i/>
          <w:sz w:val="24"/>
        </w:rPr>
        <w:t xml:space="preserve"> </w:t>
      </w:r>
      <w:r>
        <w:rPr>
          <w:bCs/>
          <w:i/>
          <w:sz w:val="24"/>
        </w:rPr>
        <w:t xml:space="preserve">and </w:t>
      </w:r>
      <w:r>
        <w:rPr>
          <w:rFonts w:hint="eastAsia"/>
          <w:bCs/>
          <w:i/>
          <w:sz w:val="24"/>
        </w:rPr>
        <w:t xml:space="preserve">Equity </w:t>
      </w:r>
      <w:r>
        <w:rPr>
          <w:bCs/>
          <w:i/>
          <w:sz w:val="24"/>
        </w:rPr>
        <w:t>Purcha</w:t>
      </w:r>
      <w:r>
        <w:rPr>
          <w:rFonts w:hint="eastAsia"/>
          <w:bCs/>
          <w:i/>
          <w:sz w:val="24"/>
        </w:rPr>
        <w:t>se</w:t>
      </w:r>
      <w:r>
        <w:rPr>
          <w:bCs/>
          <w:i/>
          <w:sz w:val="24"/>
        </w:rPr>
        <w:t xml:space="preserve"> of Overseas </w:t>
      </w:r>
      <w:r>
        <w:rPr>
          <w:rFonts w:hint="eastAsia"/>
          <w:bCs/>
          <w:i/>
          <w:sz w:val="24"/>
        </w:rPr>
        <w:t>Companies</w:t>
      </w:r>
      <w:r>
        <w:rPr>
          <w:bCs/>
          <w:i/>
          <w:sz w:val="24"/>
        </w:rPr>
        <w:t xml:space="preserve"> by Securities Companies and Securities Investment Fund Management Companies.</w:t>
      </w:r>
      <w:r>
        <w:rPr>
          <w:bCs/>
          <w:sz w:val="24"/>
        </w:rPr>
        <w:t xml:space="preserve"> The Measures require that securities </w:t>
      </w:r>
      <w:r>
        <w:rPr>
          <w:rFonts w:hint="eastAsia"/>
          <w:bCs/>
          <w:sz w:val="24"/>
        </w:rPr>
        <w:t>fund management</w:t>
      </w:r>
      <w:r>
        <w:rPr>
          <w:bCs/>
          <w:sz w:val="24"/>
        </w:rPr>
        <w:t xml:space="preserve"> institutions</w:t>
      </w:r>
      <w:r>
        <w:rPr>
          <w:rFonts w:hint="eastAsia"/>
          <w:bCs/>
          <w:sz w:val="24"/>
        </w:rPr>
        <w:t xml:space="preserve"> sh</w:t>
      </w:r>
      <w:r>
        <w:rPr>
          <w:bCs/>
          <w:sz w:val="24"/>
        </w:rPr>
        <w:t>all comprehensively consider factors such as their own business operations and the overseas market environment and so forth, conduct an overall evaluation and demonstration, and reasonably and prudentially make policy decisions wh</w:t>
      </w:r>
      <w:r>
        <w:rPr>
          <w:rFonts w:hint="eastAsia"/>
          <w:bCs/>
          <w:sz w:val="24"/>
        </w:rPr>
        <w:t>en</w:t>
      </w:r>
      <w:r>
        <w:rPr>
          <w:bCs/>
          <w:sz w:val="24"/>
        </w:rPr>
        <w:t xml:space="preserve"> establishing, acquiring, or purchasing non-controlling shares of overseas business institutions. The parent companies should strengthen oversight over overseas subsidiaries, regulate their organizational structure and focus on the main business of their subsidiaries. </w:t>
      </w:r>
    </w:p>
    <w:p w:rsidR="001031BB" w:rsidRDefault="001031BB" w:rsidP="001031BB">
      <w:pPr>
        <w:spacing w:line="360" w:lineRule="auto"/>
        <w:rPr>
          <w:sz w:val="24"/>
        </w:rPr>
      </w:pPr>
    </w:p>
    <w:p w:rsidR="001031BB" w:rsidRDefault="001031BB" w:rsidP="001031BB">
      <w:pPr>
        <w:spacing w:before="60" w:after="60" w:line="360" w:lineRule="auto"/>
        <w:outlineLvl w:val="2"/>
        <w:rPr>
          <w:b/>
          <w:sz w:val="24"/>
        </w:rPr>
      </w:pPr>
      <w:r>
        <w:rPr>
          <w:b/>
          <w:sz w:val="24"/>
        </w:rPr>
        <w:t xml:space="preserve">Investors in the capital market </w:t>
      </w:r>
      <w:r>
        <w:rPr>
          <w:rFonts w:hint="eastAsia"/>
          <w:b/>
          <w:sz w:val="24"/>
        </w:rPr>
        <w:t>were</w:t>
      </w:r>
      <w:r>
        <w:rPr>
          <w:b/>
          <w:sz w:val="24"/>
        </w:rPr>
        <w:t xml:space="preserve"> further</w:t>
      </w:r>
      <w:r>
        <w:rPr>
          <w:rFonts w:hint="eastAsia"/>
          <w:b/>
          <w:sz w:val="24"/>
        </w:rPr>
        <w:t xml:space="preserve"> diversified</w:t>
      </w:r>
      <w:r>
        <w:rPr>
          <w:b/>
          <w:sz w:val="24"/>
        </w:rPr>
        <w:t>.</w:t>
      </w:r>
      <w:r>
        <w:rPr>
          <w:sz w:val="24"/>
        </w:rPr>
        <w:t xml:space="preserve">  In August, the CSRC issued the </w:t>
      </w:r>
      <w:r>
        <w:rPr>
          <w:i/>
          <w:sz w:val="24"/>
        </w:rPr>
        <w:t xml:space="preserve">Decision to Amend the </w:t>
      </w:r>
      <w:r>
        <w:rPr>
          <w:rFonts w:hint="eastAsia"/>
          <w:i/>
          <w:sz w:val="24"/>
        </w:rPr>
        <w:t xml:space="preserve">Administrative </w:t>
      </w:r>
      <w:r>
        <w:rPr>
          <w:i/>
          <w:sz w:val="24"/>
        </w:rPr>
        <w:t>Measures for Securities Registration and Clearing</w:t>
      </w:r>
      <w:r>
        <w:rPr>
          <w:rFonts w:hint="eastAsia"/>
          <w:sz w:val="24"/>
        </w:rPr>
        <w:t>, a</w:t>
      </w:r>
      <w:r>
        <w:rPr>
          <w:sz w:val="24"/>
        </w:rPr>
        <w:t>dd</w:t>
      </w:r>
      <w:r>
        <w:rPr>
          <w:rFonts w:hint="eastAsia"/>
          <w:sz w:val="24"/>
        </w:rPr>
        <w:t xml:space="preserve">ing a new category of </w:t>
      </w:r>
      <w:r>
        <w:rPr>
          <w:sz w:val="24"/>
        </w:rPr>
        <w:t>“qualified foreigner</w:t>
      </w:r>
      <w:r>
        <w:rPr>
          <w:rFonts w:hint="eastAsia"/>
          <w:sz w:val="24"/>
        </w:rPr>
        <w:t>s</w:t>
      </w:r>
      <w:r>
        <w:rPr>
          <w:sz w:val="24"/>
        </w:rPr>
        <w:t xml:space="preserve">” to the scope of the previously stipulated investors, such as Chinese citizens, Chinese legal </w:t>
      </w:r>
      <w:r>
        <w:rPr>
          <w:rFonts w:hint="eastAsia"/>
          <w:sz w:val="24"/>
        </w:rPr>
        <w:t>persons</w:t>
      </w:r>
      <w:r>
        <w:rPr>
          <w:sz w:val="24"/>
        </w:rPr>
        <w:t xml:space="preserve">, and Chinese </w:t>
      </w:r>
      <w:r>
        <w:rPr>
          <w:rFonts w:hint="eastAsia"/>
          <w:sz w:val="24"/>
        </w:rPr>
        <w:t>partnership businesses, and providing that the specific procedures for foreigners to apply for and open securities</w:t>
      </w:r>
      <w:r>
        <w:rPr>
          <w:sz w:val="24"/>
        </w:rPr>
        <w:t xml:space="preserve"> accounts will be formulated by the securities registration and clearing institutions and shall be filed with the CSRC for approval.</w:t>
      </w:r>
    </w:p>
    <w:p w:rsidR="001031BB" w:rsidRDefault="001031BB" w:rsidP="001031BB">
      <w:pPr>
        <w:spacing w:before="60" w:after="60" w:line="360" w:lineRule="auto"/>
        <w:outlineLvl w:val="2"/>
        <w:rPr>
          <w:b/>
          <w:sz w:val="24"/>
        </w:rPr>
      </w:pPr>
      <w:r>
        <w:rPr>
          <w:b/>
          <w:sz w:val="24"/>
        </w:rPr>
        <w:t xml:space="preserve">4. </w:t>
      </w:r>
      <w:r>
        <w:rPr>
          <w:rFonts w:hint="eastAsia"/>
          <w:b/>
          <w:sz w:val="24"/>
        </w:rPr>
        <w:t xml:space="preserve">Basic institutional </w:t>
      </w:r>
      <w:r>
        <w:rPr>
          <w:b/>
          <w:sz w:val="24"/>
        </w:rPr>
        <w:t>arrangements</w:t>
      </w:r>
      <w:r>
        <w:rPr>
          <w:rFonts w:hint="eastAsia"/>
          <w:b/>
          <w:sz w:val="24"/>
        </w:rPr>
        <w:t xml:space="preserve"> o</w:t>
      </w:r>
      <w:r>
        <w:rPr>
          <w:b/>
          <w:sz w:val="24"/>
        </w:rPr>
        <w:t>f</w:t>
      </w:r>
      <w:r>
        <w:rPr>
          <w:rFonts w:hint="eastAsia"/>
          <w:b/>
          <w:sz w:val="24"/>
        </w:rPr>
        <w:t xml:space="preserve"> the insurance market were improved</w:t>
      </w:r>
    </w:p>
    <w:p w:rsidR="001031BB" w:rsidRDefault="001031BB" w:rsidP="001031BB">
      <w:pPr>
        <w:spacing w:line="360" w:lineRule="auto"/>
        <w:rPr>
          <w:sz w:val="24"/>
        </w:rPr>
      </w:pPr>
      <w:r>
        <w:rPr>
          <w:b/>
          <w:sz w:val="24"/>
        </w:rPr>
        <w:t xml:space="preserve">The operational system of independent directors of insurance institutions </w:t>
      </w:r>
      <w:r>
        <w:rPr>
          <w:rFonts w:hint="eastAsia"/>
          <w:b/>
          <w:sz w:val="24"/>
        </w:rPr>
        <w:t xml:space="preserve">was </w:t>
      </w:r>
      <w:r>
        <w:rPr>
          <w:b/>
          <w:sz w:val="24"/>
        </w:rPr>
        <w:t>established and improved.</w:t>
      </w:r>
      <w:r>
        <w:rPr>
          <w:sz w:val="24"/>
        </w:rPr>
        <w:t xml:space="preserve"> In July 2018, </w:t>
      </w:r>
      <w:r>
        <w:rPr>
          <w:rFonts w:hint="eastAsia"/>
          <w:sz w:val="24"/>
        </w:rPr>
        <w:t>the CBIRC issued</w:t>
      </w:r>
      <w:r>
        <w:rPr>
          <w:sz w:val="24"/>
        </w:rPr>
        <w:t xml:space="preserve"> the</w:t>
      </w:r>
      <w:r>
        <w:rPr>
          <w:rFonts w:hint="eastAsia"/>
          <w:i/>
          <w:sz w:val="24"/>
        </w:rPr>
        <w:t xml:space="preserve"> </w:t>
      </w:r>
      <w:r>
        <w:rPr>
          <w:i/>
          <w:sz w:val="24"/>
        </w:rPr>
        <w:t>Administrative Measures for Independent Directors of Insurance Institutions.</w:t>
      </w:r>
      <w:r>
        <w:rPr>
          <w:sz w:val="24"/>
        </w:rPr>
        <w:t xml:space="preserve"> First, the measures clarify the establishment requirements and the appointment and dismissal mechanism for independent directors. Second, they improve the rights and obligations of independent directors and the performance of their duties and they </w:t>
      </w:r>
      <w:r>
        <w:rPr>
          <w:rFonts w:hint="eastAsia"/>
          <w:sz w:val="24"/>
        </w:rPr>
        <w:t>strengthen</w:t>
      </w:r>
      <w:r>
        <w:rPr>
          <w:sz w:val="24"/>
        </w:rPr>
        <w:t xml:space="preserve"> the independent directors’ right to know and to report to the regulatory authorities. Third, </w:t>
      </w:r>
      <w:r>
        <w:rPr>
          <w:sz w:val="24"/>
        </w:rPr>
        <w:lastRenderedPageBreak/>
        <w:t xml:space="preserve">they establish an evaluation mechanism for the performance of their duties and an information disclosure mechanism for the independent directors. </w:t>
      </w:r>
    </w:p>
    <w:p w:rsidR="001031BB" w:rsidRDefault="001031BB" w:rsidP="001031BB">
      <w:pPr>
        <w:spacing w:line="360" w:lineRule="auto"/>
        <w:rPr>
          <w:sz w:val="24"/>
        </w:rPr>
      </w:pPr>
    </w:p>
    <w:p w:rsidR="001031BB" w:rsidRDefault="001031BB" w:rsidP="001031BB">
      <w:pPr>
        <w:spacing w:line="360" w:lineRule="auto"/>
        <w:rPr>
          <w:sz w:val="24"/>
        </w:rPr>
      </w:pPr>
      <w:r>
        <w:rPr>
          <w:b/>
          <w:sz w:val="24"/>
        </w:rPr>
        <w:t xml:space="preserve">Insurance industries were </w:t>
      </w:r>
      <w:r>
        <w:rPr>
          <w:rFonts w:hint="eastAsia"/>
          <w:b/>
          <w:sz w:val="24"/>
        </w:rPr>
        <w:t>guided</w:t>
      </w:r>
      <w:r>
        <w:rPr>
          <w:b/>
          <w:sz w:val="24"/>
        </w:rPr>
        <w:t xml:space="preserve"> to further improve their services’ quality and standards.</w:t>
      </w:r>
      <w:r>
        <w:rPr>
          <w:sz w:val="24"/>
        </w:rPr>
        <w:t xml:space="preserve"> In August 2018, the CBIRC issued the </w:t>
      </w:r>
      <w:r w:rsidRPr="00C30443">
        <w:rPr>
          <w:i/>
          <w:sz w:val="24"/>
        </w:rPr>
        <w:t xml:space="preserve">Notice </w:t>
      </w:r>
      <w:r>
        <w:rPr>
          <w:i/>
          <w:sz w:val="24"/>
        </w:rPr>
        <w:t xml:space="preserve">on </w:t>
      </w:r>
      <w:r>
        <w:rPr>
          <w:rFonts w:hint="eastAsia"/>
          <w:i/>
          <w:sz w:val="24"/>
        </w:rPr>
        <w:t>Earnestly</w:t>
      </w:r>
      <w:r>
        <w:rPr>
          <w:i/>
          <w:sz w:val="24"/>
        </w:rPr>
        <w:t xml:space="preserve"> Strengthening and Improving Insurance Services</w:t>
      </w:r>
      <w:r>
        <w:rPr>
          <w:sz w:val="24"/>
        </w:rPr>
        <w:t>. First, the Notice strictly regulates the behavior</w:t>
      </w:r>
      <w:r>
        <w:rPr>
          <w:rFonts w:hint="eastAsia"/>
          <w:sz w:val="24"/>
        </w:rPr>
        <w:t xml:space="preserve"> of </w:t>
      </w:r>
      <w:r>
        <w:rPr>
          <w:sz w:val="24"/>
        </w:rPr>
        <w:t>insurance sales</w:t>
      </w:r>
      <w:r>
        <w:rPr>
          <w:rFonts w:hint="eastAsia"/>
          <w:sz w:val="24"/>
        </w:rPr>
        <w:t>,</w:t>
      </w:r>
      <w:r>
        <w:rPr>
          <w:sz w:val="24"/>
        </w:rPr>
        <w:t xml:space="preserve"> prevents biased or dishonest</w:t>
      </w:r>
      <w:r>
        <w:rPr>
          <w:rFonts w:hint="eastAsia"/>
          <w:sz w:val="24"/>
        </w:rPr>
        <w:t xml:space="preserve"> </w:t>
      </w:r>
      <w:r>
        <w:rPr>
          <w:sz w:val="24"/>
        </w:rPr>
        <w:t>information, and requires that insurance institutions and personnel should not over-exaggerate the functions of products,</w:t>
      </w:r>
      <w:r>
        <w:rPr>
          <w:rFonts w:hint="eastAsia"/>
          <w:sz w:val="24"/>
        </w:rPr>
        <w:t xml:space="preserve"> </w:t>
      </w:r>
      <w:r>
        <w:rPr>
          <w:sz w:val="24"/>
        </w:rPr>
        <w:t xml:space="preserve">make false promises, </w:t>
      </w:r>
      <w:r>
        <w:rPr>
          <w:rFonts w:hint="eastAsia"/>
          <w:sz w:val="24"/>
        </w:rPr>
        <w:t xml:space="preserve">or </w:t>
      </w:r>
      <w:r>
        <w:rPr>
          <w:sz w:val="24"/>
        </w:rPr>
        <w:t xml:space="preserve">misinterpret the regulatory policies to the consumers. Second, the Notice improves the processing of insurance claims, </w:t>
      </w:r>
      <w:r>
        <w:rPr>
          <w:rFonts w:hint="eastAsia"/>
          <w:sz w:val="24"/>
        </w:rPr>
        <w:t>strengthens</w:t>
      </w:r>
      <w:r>
        <w:rPr>
          <w:sz w:val="24"/>
        </w:rPr>
        <w:t xml:space="preserve"> the claim-</w:t>
      </w:r>
      <w:r>
        <w:rPr>
          <w:rFonts w:hint="eastAsia"/>
          <w:sz w:val="24"/>
        </w:rPr>
        <w:t>processing capacity</w:t>
      </w:r>
      <w:r>
        <w:rPr>
          <w:sz w:val="24"/>
        </w:rPr>
        <w:t xml:space="preserve">, simplifies claim procedures, shortens claim cycles, and improves contingency plans for major </w:t>
      </w:r>
      <w:r>
        <w:rPr>
          <w:rFonts w:hint="eastAsia"/>
          <w:sz w:val="24"/>
        </w:rPr>
        <w:t>and unexpected incident</w:t>
      </w:r>
      <w:r>
        <w:rPr>
          <w:sz w:val="24"/>
        </w:rPr>
        <w:t>s involving the processing of</w:t>
      </w:r>
      <w:r>
        <w:rPr>
          <w:rFonts w:hint="eastAsia"/>
          <w:sz w:val="24"/>
        </w:rPr>
        <w:t xml:space="preserve"> </w:t>
      </w:r>
      <w:r>
        <w:rPr>
          <w:sz w:val="24"/>
        </w:rPr>
        <w:t xml:space="preserve">claims. Third, the Notice strengthens regulation of Internet insurance, requires that insurance companies and agencies do not bundle sales, improves the capability of after-sales services, and </w:t>
      </w:r>
      <w:r>
        <w:rPr>
          <w:rFonts w:hint="eastAsia"/>
          <w:sz w:val="24"/>
        </w:rPr>
        <w:t>strengthens</w:t>
      </w:r>
      <w:r>
        <w:rPr>
          <w:sz w:val="24"/>
        </w:rPr>
        <w:t xml:space="preserve"> the protection of information security. </w:t>
      </w:r>
    </w:p>
    <w:p w:rsidR="001031BB" w:rsidRPr="009B48DA" w:rsidRDefault="001031BB" w:rsidP="001031BB"/>
    <w:p w:rsidR="001031BB" w:rsidRDefault="001031BB" w:rsidP="002E7312">
      <w:pPr>
        <w:keepNext/>
        <w:keepLines/>
        <w:spacing w:beforeLines="100" w:afterLines="100" w:line="360" w:lineRule="auto"/>
        <w:jc w:val="center"/>
        <w:outlineLvl w:val="0"/>
        <w:rPr>
          <w:b/>
          <w:sz w:val="28"/>
        </w:rPr>
      </w:pPr>
      <w:bookmarkStart w:id="88" w:name="_Toc532201094"/>
      <w:r>
        <w:rPr>
          <w:b/>
          <w:sz w:val="28"/>
        </w:rPr>
        <w:t>Part 4.  Macroeconomic Overview</w:t>
      </w:r>
      <w:bookmarkEnd w:id="88"/>
    </w:p>
    <w:p w:rsidR="001031BB" w:rsidRDefault="001031BB" w:rsidP="001031BB">
      <w:pPr>
        <w:pStyle w:val="2"/>
        <w:keepLines w:val="0"/>
        <w:widowControl/>
        <w:spacing w:before="0" w:after="0" w:line="360" w:lineRule="auto"/>
        <w:ind w:firstLineChars="0" w:firstLine="0"/>
        <w:rPr>
          <w:rFonts w:ascii="Times New Roman" w:eastAsia="宋体" w:hAnsi="Times New Roman"/>
          <w:bCs w:val="0"/>
          <w:sz w:val="24"/>
          <w:szCs w:val="24"/>
        </w:rPr>
      </w:pPr>
      <w:bookmarkStart w:id="89" w:name="_Toc532201095"/>
      <w:r>
        <w:rPr>
          <w:rFonts w:ascii="Times New Roman" w:eastAsia="宋体" w:hAnsi="Times New Roman"/>
          <w:bCs w:val="0"/>
          <w:sz w:val="24"/>
          <w:szCs w:val="24"/>
        </w:rPr>
        <w:t>I. Global economic and financial developments</w:t>
      </w:r>
      <w:bookmarkEnd w:id="89"/>
    </w:p>
    <w:p w:rsidR="001031BB" w:rsidRDefault="001031BB" w:rsidP="001031BB">
      <w:pPr>
        <w:spacing w:line="360" w:lineRule="auto"/>
        <w:rPr>
          <w:sz w:val="24"/>
        </w:rPr>
      </w:pPr>
      <w:r>
        <w:rPr>
          <w:sz w:val="24"/>
        </w:rPr>
        <w:t>Since the beginning of 2018, the global economy has continued its recovery</w:t>
      </w:r>
      <w:r>
        <w:rPr>
          <w:rFonts w:hint="eastAsia"/>
          <w:sz w:val="24"/>
        </w:rPr>
        <w:t xml:space="preserve">, but the differences among </w:t>
      </w:r>
      <w:r>
        <w:rPr>
          <w:sz w:val="24"/>
        </w:rPr>
        <w:t>the various</w:t>
      </w:r>
      <w:r>
        <w:rPr>
          <w:rFonts w:hint="eastAsia"/>
          <w:sz w:val="24"/>
        </w:rPr>
        <w:t xml:space="preserve"> economies have widened, the synchronization of global economic growth has decreased, trade </w:t>
      </w:r>
      <w:r>
        <w:rPr>
          <w:sz w:val="24"/>
        </w:rPr>
        <w:t>tension</w:t>
      </w:r>
      <w:r>
        <w:rPr>
          <w:rFonts w:hint="eastAsia"/>
          <w:sz w:val="24"/>
        </w:rPr>
        <w:t>s have intensified, and global economic and financial vulnerabilit</w:t>
      </w:r>
      <w:r>
        <w:rPr>
          <w:sz w:val="24"/>
        </w:rPr>
        <w:t>ies have</w:t>
      </w:r>
      <w:r>
        <w:rPr>
          <w:rFonts w:hint="eastAsia"/>
          <w:sz w:val="24"/>
        </w:rPr>
        <w:t xml:space="preserve"> increased.</w:t>
      </w:r>
    </w:p>
    <w:p w:rsidR="001031BB" w:rsidRDefault="001031BB" w:rsidP="001031BB">
      <w:pPr>
        <w:spacing w:line="360" w:lineRule="auto"/>
        <w:rPr>
          <w:b/>
          <w:sz w:val="24"/>
        </w:rPr>
      </w:pPr>
      <w:r>
        <w:rPr>
          <w:b/>
          <w:sz w:val="24"/>
        </w:rPr>
        <w:t>1. Economic developments in the major economies</w:t>
      </w:r>
    </w:p>
    <w:p w:rsidR="001031BB" w:rsidRDefault="001031BB" w:rsidP="001031BB">
      <w:pPr>
        <w:spacing w:line="360" w:lineRule="auto"/>
        <w:rPr>
          <w:sz w:val="24"/>
        </w:rPr>
      </w:pPr>
      <w:r>
        <w:rPr>
          <w:b/>
          <w:bCs/>
          <w:sz w:val="24"/>
        </w:rPr>
        <w:t xml:space="preserve">The major advanced economies continued their recovery, but their </w:t>
      </w:r>
      <w:r>
        <w:rPr>
          <w:rFonts w:hint="eastAsia"/>
          <w:b/>
          <w:bCs/>
          <w:sz w:val="24"/>
        </w:rPr>
        <w:t xml:space="preserve">economic performance diverged. </w:t>
      </w:r>
      <w:r>
        <w:rPr>
          <w:b/>
          <w:bCs/>
          <w:sz w:val="24"/>
        </w:rPr>
        <w:t>The U</w:t>
      </w:r>
      <w:r>
        <w:rPr>
          <w:rFonts w:hint="eastAsia"/>
          <w:b/>
          <w:bCs/>
          <w:sz w:val="24"/>
        </w:rPr>
        <w:t>.</w:t>
      </w:r>
      <w:r>
        <w:rPr>
          <w:b/>
          <w:bCs/>
          <w:sz w:val="24"/>
        </w:rPr>
        <w:t>S</w:t>
      </w:r>
      <w:r>
        <w:rPr>
          <w:rFonts w:hint="eastAsia"/>
          <w:b/>
          <w:bCs/>
          <w:sz w:val="24"/>
        </w:rPr>
        <w:t xml:space="preserve">. </w:t>
      </w:r>
      <w:r>
        <w:rPr>
          <w:b/>
          <w:bCs/>
          <w:sz w:val="24"/>
        </w:rPr>
        <w:t xml:space="preserve">saw solid gains in its economic recovery, inflation went up somewhat, and the </w:t>
      </w:r>
      <w:r>
        <w:rPr>
          <w:rFonts w:hint="eastAsia"/>
          <w:b/>
          <w:bCs/>
          <w:sz w:val="24"/>
        </w:rPr>
        <w:t>unemployment</w:t>
      </w:r>
      <w:r>
        <w:rPr>
          <w:b/>
          <w:bCs/>
          <w:sz w:val="24"/>
        </w:rPr>
        <w:t xml:space="preserve"> rate remained at low levels. </w:t>
      </w:r>
      <w:r>
        <w:rPr>
          <w:sz w:val="24"/>
        </w:rPr>
        <w:t xml:space="preserve">The annualized quarter-on-quarter GDP growth was </w:t>
      </w:r>
      <w:r>
        <w:rPr>
          <w:rFonts w:hint="eastAsia"/>
          <w:sz w:val="24"/>
        </w:rPr>
        <w:t>4</w:t>
      </w:r>
      <w:r>
        <w:rPr>
          <w:sz w:val="24"/>
        </w:rPr>
        <w:t>.</w:t>
      </w:r>
      <w:r>
        <w:rPr>
          <w:rFonts w:hint="eastAsia"/>
          <w:sz w:val="24"/>
        </w:rPr>
        <w:t>2</w:t>
      </w:r>
      <w:r>
        <w:rPr>
          <w:sz w:val="24"/>
        </w:rPr>
        <w:t xml:space="preserve"> percent</w:t>
      </w:r>
      <w:r>
        <w:rPr>
          <w:rFonts w:hint="eastAsia"/>
          <w:sz w:val="24"/>
        </w:rPr>
        <w:t xml:space="preserve"> </w:t>
      </w:r>
      <w:r>
        <w:rPr>
          <w:sz w:val="24"/>
        </w:rPr>
        <w:t>in Q2</w:t>
      </w:r>
      <w:r>
        <w:rPr>
          <w:rFonts w:hint="eastAsia"/>
          <w:sz w:val="24"/>
        </w:rPr>
        <w:t>, the highest since Q</w:t>
      </w:r>
      <w:r>
        <w:rPr>
          <w:sz w:val="24"/>
        </w:rPr>
        <w:t>4 of</w:t>
      </w:r>
      <w:r>
        <w:rPr>
          <w:rFonts w:hint="eastAsia"/>
          <w:sz w:val="24"/>
        </w:rPr>
        <w:t xml:space="preserve"> 2014, and 3.5 percent in </w:t>
      </w:r>
      <w:r>
        <w:rPr>
          <w:sz w:val="24"/>
        </w:rPr>
        <w:t>Q3 of</w:t>
      </w:r>
      <w:r>
        <w:rPr>
          <w:rFonts w:hint="eastAsia"/>
          <w:sz w:val="24"/>
        </w:rPr>
        <w:t xml:space="preserve"> </w:t>
      </w:r>
      <w:r>
        <w:rPr>
          <w:sz w:val="24"/>
        </w:rPr>
        <w:t>2018.</w:t>
      </w:r>
      <w:r>
        <w:rPr>
          <w:rFonts w:hint="eastAsia"/>
          <w:sz w:val="24"/>
        </w:rPr>
        <w:t xml:space="preserve"> </w:t>
      </w:r>
      <w:r>
        <w:rPr>
          <w:sz w:val="24"/>
        </w:rPr>
        <w:t xml:space="preserve">In </w:t>
      </w:r>
      <w:r>
        <w:rPr>
          <w:rFonts w:hint="eastAsia"/>
          <w:sz w:val="24"/>
        </w:rPr>
        <w:t xml:space="preserve">September, </w:t>
      </w:r>
      <w:r>
        <w:rPr>
          <w:sz w:val="24"/>
        </w:rPr>
        <w:t xml:space="preserve">the University of </w:t>
      </w:r>
      <w:r>
        <w:rPr>
          <w:sz w:val="24"/>
        </w:rPr>
        <w:lastRenderedPageBreak/>
        <w:t>Michigan’s Consumer Sentiment Index</w:t>
      </w:r>
      <w:r>
        <w:rPr>
          <w:rFonts w:hint="eastAsia"/>
          <w:sz w:val="24"/>
        </w:rPr>
        <w:t xml:space="preserve"> </w:t>
      </w:r>
      <w:r>
        <w:rPr>
          <w:sz w:val="24"/>
        </w:rPr>
        <w:t xml:space="preserve">remained </w:t>
      </w:r>
      <w:r>
        <w:rPr>
          <w:rFonts w:hint="eastAsia"/>
          <w:sz w:val="24"/>
        </w:rPr>
        <w:t xml:space="preserve">high at 100.10. </w:t>
      </w:r>
      <w:r>
        <w:rPr>
          <w:sz w:val="24"/>
        </w:rPr>
        <w:t xml:space="preserve">Inflation </w:t>
      </w:r>
      <w:r>
        <w:rPr>
          <w:rFonts w:hint="eastAsia"/>
          <w:sz w:val="24"/>
        </w:rPr>
        <w:t>rebounded</w:t>
      </w:r>
      <w:r>
        <w:rPr>
          <w:sz w:val="24"/>
        </w:rPr>
        <w:t xml:space="preserve">, as the Consumer Price Index (CPI) </w:t>
      </w:r>
      <w:r>
        <w:rPr>
          <w:rFonts w:hint="eastAsia"/>
          <w:sz w:val="24"/>
        </w:rPr>
        <w:t>rose 2.7 percent and 2.3 percent year on year in August and September respectively</w:t>
      </w:r>
      <w:r>
        <w:rPr>
          <w:sz w:val="24"/>
        </w:rPr>
        <w:t xml:space="preserve">, </w:t>
      </w:r>
      <w:r>
        <w:rPr>
          <w:rFonts w:hint="eastAsia"/>
          <w:sz w:val="24"/>
        </w:rPr>
        <w:t xml:space="preserve">while the core CPI </w:t>
      </w:r>
      <w:r>
        <w:rPr>
          <w:sz w:val="24"/>
        </w:rPr>
        <w:t>during</w:t>
      </w:r>
      <w:r>
        <w:rPr>
          <w:rFonts w:hint="eastAsia"/>
          <w:sz w:val="24"/>
        </w:rPr>
        <w:t xml:space="preserve"> th</w:t>
      </w:r>
      <w:r>
        <w:rPr>
          <w:sz w:val="24"/>
        </w:rPr>
        <w:t>o</w:t>
      </w:r>
      <w:r>
        <w:rPr>
          <w:rFonts w:hint="eastAsia"/>
          <w:sz w:val="24"/>
        </w:rPr>
        <w:t>se two months both rose 2.2 percent year on year</w:t>
      </w:r>
      <w:r>
        <w:rPr>
          <w:sz w:val="24"/>
        </w:rPr>
        <w:t xml:space="preserve">. The labor market continued to be tight as the </w:t>
      </w:r>
      <w:r>
        <w:rPr>
          <w:rFonts w:hint="eastAsia"/>
          <w:sz w:val="24"/>
        </w:rPr>
        <w:t>unemployment</w:t>
      </w:r>
      <w:r>
        <w:rPr>
          <w:sz w:val="24"/>
        </w:rPr>
        <w:t xml:space="preserve"> rate </w:t>
      </w:r>
      <w:r>
        <w:rPr>
          <w:rFonts w:hint="eastAsia"/>
          <w:sz w:val="24"/>
        </w:rPr>
        <w:t xml:space="preserve">registered 3.9 percent and 3.7 percent in August and September respectively. In particular, </w:t>
      </w:r>
      <w:r>
        <w:rPr>
          <w:sz w:val="24"/>
        </w:rPr>
        <w:t xml:space="preserve">the </w:t>
      </w:r>
      <w:r>
        <w:rPr>
          <w:rFonts w:hint="eastAsia"/>
          <w:sz w:val="24"/>
        </w:rPr>
        <w:t>reading in September was the lowest since 1970.</w:t>
      </w:r>
      <w:r>
        <w:rPr>
          <w:sz w:val="24"/>
        </w:rPr>
        <w:t xml:space="preserve">    </w:t>
      </w:r>
    </w:p>
    <w:p w:rsidR="001031BB" w:rsidRDefault="001031BB" w:rsidP="001031BB">
      <w:pPr>
        <w:spacing w:line="360" w:lineRule="auto"/>
        <w:rPr>
          <w:sz w:val="24"/>
        </w:rPr>
      </w:pPr>
    </w:p>
    <w:p w:rsidR="001031BB" w:rsidRDefault="001031BB" w:rsidP="001031BB">
      <w:pPr>
        <w:spacing w:line="360" w:lineRule="auto"/>
        <w:rPr>
          <w:sz w:val="24"/>
        </w:rPr>
      </w:pPr>
      <w:r>
        <w:rPr>
          <w:b/>
          <w:bCs/>
          <w:sz w:val="24"/>
        </w:rPr>
        <w:t xml:space="preserve">In the euro area, </w:t>
      </w:r>
      <w:r>
        <w:rPr>
          <w:rFonts w:hint="eastAsia"/>
          <w:b/>
          <w:bCs/>
          <w:sz w:val="24"/>
        </w:rPr>
        <w:t xml:space="preserve">the economic recovery moderated but the job market remained solid. </w:t>
      </w:r>
      <w:r>
        <w:rPr>
          <w:sz w:val="24"/>
        </w:rPr>
        <w:t>Y</w:t>
      </w:r>
      <w:r>
        <w:rPr>
          <w:rFonts w:hint="eastAsia"/>
          <w:sz w:val="24"/>
        </w:rPr>
        <w:t xml:space="preserve">ear-on-year GDP growth in the euro area was 2.2 percent and 1.7 percent in </w:t>
      </w:r>
      <w:r>
        <w:rPr>
          <w:sz w:val="24"/>
        </w:rPr>
        <w:t>Q2</w:t>
      </w:r>
      <w:r>
        <w:rPr>
          <w:rFonts w:hint="eastAsia"/>
          <w:sz w:val="24"/>
        </w:rPr>
        <w:t xml:space="preserve"> and </w:t>
      </w:r>
      <w:r>
        <w:rPr>
          <w:sz w:val="24"/>
        </w:rPr>
        <w:t>Q3</w:t>
      </w:r>
      <w:r>
        <w:rPr>
          <w:rFonts w:hint="eastAsia"/>
          <w:sz w:val="24"/>
        </w:rPr>
        <w:t xml:space="preserve"> of 2018</w:t>
      </w:r>
      <w:r>
        <w:rPr>
          <w:sz w:val="24"/>
        </w:rPr>
        <w:t xml:space="preserve"> </w:t>
      </w:r>
      <w:r>
        <w:rPr>
          <w:rFonts w:hint="eastAsia"/>
          <w:sz w:val="24"/>
        </w:rPr>
        <w:t xml:space="preserve">respectively, and the growth rate continued to slow down. The </w:t>
      </w:r>
      <w:r>
        <w:rPr>
          <w:sz w:val="24"/>
        </w:rPr>
        <w:t>manufacturing PMI</w:t>
      </w:r>
      <w:r>
        <w:rPr>
          <w:rFonts w:hint="eastAsia"/>
          <w:sz w:val="24"/>
        </w:rPr>
        <w:t xml:space="preserve"> continued to decline</w:t>
      </w:r>
      <w:r>
        <w:rPr>
          <w:sz w:val="24"/>
        </w:rPr>
        <w:t>, falling</w:t>
      </w:r>
      <w:r>
        <w:rPr>
          <w:rFonts w:hint="eastAsia"/>
          <w:sz w:val="24"/>
        </w:rPr>
        <w:t xml:space="preserve"> </w:t>
      </w:r>
      <w:r>
        <w:rPr>
          <w:sz w:val="24"/>
        </w:rPr>
        <w:t>t</w:t>
      </w:r>
      <w:r>
        <w:rPr>
          <w:rFonts w:hint="eastAsia"/>
          <w:sz w:val="24"/>
        </w:rPr>
        <w:t>o 53.20 in September.</w:t>
      </w:r>
      <w:r>
        <w:rPr>
          <w:sz w:val="24"/>
        </w:rPr>
        <w:t xml:space="preserve"> Inflation remained </w:t>
      </w:r>
      <w:r>
        <w:rPr>
          <w:rFonts w:hint="eastAsia"/>
          <w:sz w:val="24"/>
        </w:rPr>
        <w:t>moderate</w:t>
      </w:r>
      <w:r>
        <w:rPr>
          <w:sz w:val="24"/>
        </w:rPr>
        <w:t xml:space="preserve">, as year-on-year growth of the core Harmonized Index of Consumer Prices (HICP) was </w:t>
      </w:r>
      <w:r>
        <w:rPr>
          <w:rFonts w:hint="eastAsia"/>
          <w:sz w:val="24"/>
        </w:rPr>
        <w:t xml:space="preserve">0.9 percent in September. </w:t>
      </w:r>
      <w:r>
        <w:rPr>
          <w:sz w:val="24"/>
        </w:rPr>
        <w:t xml:space="preserve">The unemployment rate </w:t>
      </w:r>
      <w:r>
        <w:rPr>
          <w:rFonts w:hint="eastAsia"/>
          <w:sz w:val="24"/>
        </w:rPr>
        <w:t xml:space="preserve">remained low at </w:t>
      </w:r>
      <w:r>
        <w:rPr>
          <w:sz w:val="24"/>
        </w:rPr>
        <w:t>8.</w:t>
      </w:r>
      <w:r>
        <w:rPr>
          <w:rFonts w:hint="eastAsia"/>
          <w:sz w:val="24"/>
        </w:rPr>
        <w:t xml:space="preserve">1 percent, </w:t>
      </w:r>
      <w:r>
        <w:rPr>
          <w:sz w:val="24"/>
        </w:rPr>
        <w:t>and unchanged</w:t>
      </w:r>
      <w:r>
        <w:rPr>
          <w:rFonts w:hint="eastAsia"/>
          <w:sz w:val="24"/>
        </w:rPr>
        <w:t xml:space="preserve"> in July, August</w:t>
      </w:r>
      <w:r>
        <w:rPr>
          <w:sz w:val="24"/>
        </w:rPr>
        <w:t>,</w:t>
      </w:r>
      <w:r>
        <w:rPr>
          <w:rFonts w:hint="eastAsia"/>
          <w:sz w:val="24"/>
        </w:rPr>
        <w:t xml:space="preserve"> and September. </w:t>
      </w:r>
    </w:p>
    <w:p w:rsidR="001031BB" w:rsidRDefault="001031BB" w:rsidP="001031BB">
      <w:pPr>
        <w:spacing w:line="360" w:lineRule="auto"/>
        <w:rPr>
          <w:b/>
          <w:bCs/>
          <w:sz w:val="24"/>
        </w:rPr>
      </w:pPr>
    </w:p>
    <w:p w:rsidR="001031BB" w:rsidRDefault="001031BB" w:rsidP="001031BB">
      <w:pPr>
        <w:spacing w:line="360" w:lineRule="auto"/>
        <w:rPr>
          <w:sz w:val="24"/>
        </w:rPr>
      </w:pPr>
      <w:r>
        <w:rPr>
          <w:rFonts w:hint="eastAsia"/>
          <w:b/>
          <w:bCs/>
          <w:sz w:val="24"/>
        </w:rPr>
        <w:t>Economic g</w:t>
      </w:r>
      <w:r>
        <w:rPr>
          <w:b/>
          <w:bCs/>
          <w:sz w:val="24"/>
        </w:rPr>
        <w:t>rowth in the UK moderated somewhat</w:t>
      </w:r>
      <w:r>
        <w:rPr>
          <w:rFonts w:hint="eastAsia"/>
          <w:b/>
          <w:bCs/>
          <w:sz w:val="24"/>
        </w:rPr>
        <w:t xml:space="preserve"> and inflation pressure</w:t>
      </w:r>
      <w:r>
        <w:rPr>
          <w:b/>
          <w:bCs/>
          <w:sz w:val="24"/>
        </w:rPr>
        <w:t xml:space="preserve">s </w:t>
      </w:r>
      <w:r>
        <w:rPr>
          <w:rFonts w:hint="eastAsia"/>
          <w:b/>
          <w:bCs/>
          <w:sz w:val="24"/>
        </w:rPr>
        <w:t>persisted</w:t>
      </w:r>
      <w:r>
        <w:rPr>
          <w:b/>
          <w:bCs/>
          <w:sz w:val="24"/>
        </w:rPr>
        <w:t>.</w:t>
      </w:r>
      <w:r>
        <w:rPr>
          <w:sz w:val="24"/>
        </w:rPr>
        <w:t xml:space="preserve"> GDP growth posted </w:t>
      </w:r>
      <w:r>
        <w:rPr>
          <w:rFonts w:hint="eastAsia"/>
          <w:sz w:val="24"/>
        </w:rPr>
        <w:t xml:space="preserve">merely </w:t>
      </w:r>
      <w:r>
        <w:rPr>
          <w:sz w:val="24"/>
        </w:rPr>
        <w:t>1.</w:t>
      </w:r>
      <w:r>
        <w:rPr>
          <w:rFonts w:hint="eastAsia"/>
          <w:sz w:val="24"/>
        </w:rPr>
        <w:t>1</w:t>
      </w:r>
      <w:r>
        <w:rPr>
          <w:sz w:val="24"/>
        </w:rPr>
        <w:t xml:space="preserve"> percent in </w:t>
      </w:r>
      <w:r>
        <w:rPr>
          <w:rFonts w:hint="eastAsia"/>
          <w:sz w:val="24"/>
        </w:rPr>
        <w:t>Q1</w:t>
      </w:r>
      <w:r>
        <w:rPr>
          <w:sz w:val="24"/>
        </w:rPr>
        <w:t xml:space="preserve"> of</w:t>
      </w:r>
      <w:r>
        <w:rPr>
          <w:rFonts w:hint="eastAsia"/>
          <w:sz w:val="24"/>
        </w:rPr>
        <w:t xml:space="preserve"> 2018</w:t>
      </w:r>
      <w:r>
        <w:rPr>
          <w:sz w:val="24"/>
        </w:rPr>
        <w:t>,</w:t>
      </w:r>
      <w:r>
        <w:rPr>
          <w:rFonts w:hint="eastAsia"/>
          <w:sz w:val="24"/>
        </w:rPr>
        <w:t xml:space="preserve"> the lowest in six years,</w:t>
      </w:r>
      <w:r>
        <w:rPr>
          <w:sz w:val="24"/>
        </w:rPr>
        <w:t xml:space="preserve"> and </w:t>
      </w:r>
      <w:r>
        <w:rPr>
          <w:rFonts w:hint="eastAsia"/>
          <w:sz w:val="24"/>
        </w:rPr>
        <w:t>1.2 percent in Q2</w:t>
      </w:r>
      <w:r>
        <w:rPr>
          <w:sz w:val="24"/>
        </w:rPr>
        <w:t xml:space="preserve"> of</w:t>
      </w:r>
      <w:r>
        <w:rPr>
          <w:rFonts w:hint="eastAsia"/>
          <w:sz w:val="24"/>
        </w:rPr>
        <w:t xml:space="preserve"> 2018. T</w:t>
      </w:r>
      <w:r>
        <w:rPr>
          <w:sz w:val="24"/>
        </w:rPr>
        <w:t>he</w:t>
      </w:r>
      <w:r>
        <w:rPr>
          <w:rFonts w:hint="eastAsia"/>
          <w:sz w:val="24"/>
        </w:rPr>
        <w:t xml:space="preserve"> </w:t>
      </w:r>
      <w:r>
        <w:rPr>
          <w:sz w:val="24"/>
        </w:rPr>
        <w:t xml:space="preserve">CPI </w:t>
      </w:r>
      <w:r>
        <w:rPr>
          <w:rFonts w:hint="eastAsia"/>
          <w:sz w:val="24"/>
        </w:rPr>
        <w:t>rose 2.7 percent and 2.4 percent year on year in August and September respectively.</w:t>
      </w:r>
    </w:p>
    <w:p w:rsidR="001031BB" w:rsidRDefault="001031BB" w:rsidP="001031BB">
      <w:pPr>
        <w:spacing w:line="360" w:lineRule="auto"/>
        <w:rPr>
          <w:sz w:val="24"/>
        </w:rPr>
      </w:pPr>
    </w:p>
    <w:p w:rsidR="00D34149" w:rsidRDefault="001031BB" w:rsidP="00D34149">
      <w:pPr>
        <w:spacing w:line="360" w:lineRule="auto"/>
        <w:rPr>
          <w:sz w:val="24"/>
        </w:rPr>
      </w:pPr>
      <w:r>
        <w:rPr>
          <w:rFonts w:hint="eastAsia"/>
          <w:b/>
          <w:bCs/>
          <w:sz w:val="24"/>
        </w:rPr>
        <w:t>Economic growth in Japan stabilized after slowing down.</w:t>
      </w:r>
      <w:r>
        <w:rPr>
          <w:sz w:val="24"/>
        </w:rPr>
        <w:t xml:space="preserve"> </w:t>
      </w:r>
      <w:r>
        <w:rPr>
          <w:rFonts w:hint="eastAsia"/>
          <w:sz w:val="24"/>
        </w:rPr>
        <w:t xml:space="preserve">The annualized quarter-on-quarter GDP growth was </w:t>
      </w:r>
      <w:r>
        <w:rPr>
          <w:sz w:val="24"/>
        </w:rPr>
        <w:t>–</w:t>
      </w:r>
      <w:r>
        <w:rPr>
          <w:rFonts w:hint="eastAsia"/>
          <w:sz w:val="24"/>
        </w:rPr>
        <w:t>0.9 percent in Q1</w:t>
      </w:r>
      <w:r>
        <w:rPr>
          <w:sz w:val="24"/>
        </w:rPr>
        <w:t xml:space="preserve"> of</w:t>
      </w:r>
      <w:r>
        <w:rPr>
          <w:rFonts w:hint="eastAsia"/>
          <w:sz w:val="24"/>
        </w:rPr>
        <w:t xml:space="preserve"> 2018, </w:t>
      </w:r>
      <w:r>
        <w:rPr>
          <w:sz w:val="24"/>
        </w:rPr>
        <w:t xml:space="preserve">the </w:t>
      </w:r>
      <w:r>
        <w:rPr>
          <w:rFonts w:hint="eastAsia"/>
          <w:sz w:val="24"/>
        </w:rPr>
        <w:t xml:space="preserve">first negative growth since Q4 </w:t>
      </w:r>
      <w:r>
        <w:rPr>
          <w:sz w:val="24"/>
        </w:rPr>
        <w:t xml:space="preserve">of </w:t>
      </w:r>
      <w:r>
        <w:rPr>
          <w:rFonts w:hint="eastAsia"/>
          <w:sz w:val="24"/>
        </w:rPr>
        <w:t>2015. Growth rebounded to 3.0 percent in the second quarter. However, i</w:t>
      </w:r>
      <w:r>
        <w:rPr>
          <w:sz w:val="24"/>
        </w:rPr>
        <w:t xml:space="preserve">nflation </w:t>
      </w:r>
      <w:r>
        <w:rPr>
          <w:rFonts w:hint="eastAsia"/>
          <w:sz w:val="24"/>
        </w:rPr>
        <w:t>rem</w:t>
      </w:r>
      <w:r>
        <w:rPr>
          <w:sz w:val="24"/>
        </w:rPr>
        <w:t xml:space="preserve">ained subdued </w:t>
      </w:r>
      <w:r>
        <w:rPr>
          <w:rFonts w:hint="eastAsia"/>
          <w:sz w:val="24"/>
        </w:rPr>
        <w:t>as</w:t>
      </w:r>
      <w:r>
        <w:rPr>
          <w:sz w:val="24"/>
        </w:rPr>
        <w:t xml:space="preserve"> employers were reluctant to raise wages</w:t>
      </w:r>
      <w:r>
        <w:rPr>
          <w:rFonts w:hint="eastAsia"/>
          <w:sz w:val="24"/>
        </w:rPr>
        <w:t xml:space="preserve"> and investment sentiment </w:t>
      </w:r>
      <w:r>
        <w:rPr>
          <w:sz w:val="24"/>
        </w:rPr>
        <w:t xml:space="preserve">was </w:t>
      </w:r>
      <w:r>
        <w:rPr>
          <w:rFonts w:hint="eastAsia"/>
          <w:sz w:val="24"/>
        </w:rPr>
        <w:t>weak.</w:t>
      </w:r>
    </w:p>
    <w:p w:rsidR="00D34149" w:rsidRDefault="00D34149" w:rsidP="00D34149">
      <w:pPr>
        <w:spacing w:line="360" w:lineRule="auto"/>
        <w:rPr>
          <w:sz w:val="24"/>
        </w:rPr>
      </w:pPr>
    </w:p>
    <w:p w:rsidR="00EE3C76" w:rsidRDefault="00EE3C76" w:rsidP="00D34149">
      <w:pPr>
        <w:spacing w:line="360" w:lineRule="auto"/>
        <w:rPr>
          <w:sz w:val="24"/>
        </w:rPr>
      </w:pPr>
    </w:p>
    <w:p w:rsidR="00EE3C76" w:rsidRDefault="00EE3C76" w:rsidP="002E7312">
      <w:pPr>
        <w:adjustRightInd w:val="0"/>
        <w:snapToGrid w:val="0"/>
        <w:spacing w:afterLines="50" w:line="360" w:lineRule="auto"/>
        <w:rPr>
          <w:sz w:val="24"/>
        </w:rPr>
      </w:pPr>
    </w:p>
    <w:p w:rsidR="001031BB" w:rsidRDefault="001031BB" w:rsidP="001031BB">
      <w:pPr>
        <w:spacing w:line="360" w:lineRule="auto"/>
        <w:rPr>
          <w:sz w:val="24"/>
        </w:rPr>
      </w:pPr>
    </w:p>
    <w:p w:rsidR="001031BB" w:rsidRDefault="001031BB" w:rsidP="001031BB">
      <w:pPr>
        <w:spacing w:line="360" w:lineRule="auto"/>
        <w:rPr>
          <w:sz w:val="24"/>
        </w:rPr>
      </w:pPr>
      <w:r>
        <w:rPr>
          <w:b/>
          <w:sz w:val="24"/>
        </w:rPr>
        <w:lastRenderedPageBreak/>
        <w:t>Overall growth in the emerging market economies was relatively rapid, though performance continued to diverge.</w:t>
      </w:r>
      <w:r>
        <w:rPr>
          <w:sz w:val="24"/>
        </w:rPr>
        <w:t xml:space="preserve"> </w:t>
      </w:r>
      <w:r>
        <w:rPr>
          <w:rFonts w:hint="eastAsia"/>
          <w:sz w:val="24"/>
        </w:rPr>
        <w:t xml:space="preserve">The Indian economy grew rapidly, as year-on-year growth reached 7.7 percent and 8.2 percent in Q1 and Q2 </w:t>
      </w:r>
      <w:r>
        <w:rPr>
          <w:sz w:val="24"/>
        </w:rPr>
        <w:t xml:space="preserve">of </w:t>
      </w:r>
      <w:r>
        <w:rPr>
          <w:rFonts w:hint="eastAsia"/>
          <w:sz w:val="24"/>
        </w:rPr>
        <w:t>2018 respectively. While</w:t>
      </w:r>
      <w:r>
        <w:rPr>
          <w:sz w:val="24"/>
        </w:rPr>
        <w:t xml:space="preserve"> the </w:t>
      </w:r>
      <w:r>
        <w:rPr>
          <w:rFonts w:hint="eastAsia"/>
          <w:sz w:val="24"/>
        </w:rPr>
        <w:t>manufacturing and service</w:t>
      </w:r>
      <w:r>
        <w:rPr>
          <w:sz w:val="24"/>
        </w:rPr>
        <w:t>s</w:t>
      </w:r>
      <w:r>
        <w:rPr>
          <w:rFonts w:hint="eastAsia"/>
          <w:sz w:val="24"/>
        </w:rPr>
        <w:t xml:space="preserve"> sectors continued to expand, India faced certain inflation</w:t>
      </w:r>
      <w:r>
        <w:rPr>
          <w:sz w:val="24"/>
        </w:rPr>
        <w:t>ary</w:t>
      </w:r>
      <w:r>
        <w:rPr>
          <w:rFonts w:hint="eastAsia"/>
          <w:sz w:val="24"/>
        </w:rPr>
        <w:t xml:space="preserve"> pressures, as </w:t>
      </w:r>
      <w:r>
        <w:rPr>
          <w:sz w:val="24"/>
        </w:rPr>
        <w:t xml:space="preserve">the </w:t>
      </w:r>
      <w:r>
        <w:rPr>
          <w:rFonts w:hint="eastAsia"/>
          <w:sz w:val="24"/>
        </w:rPr>
        <w:t>CPI rose by 3.7 percent and 3.8 percent year on year in August and September respectively. In B</w:t>
      </w:r>
      <w:r>
        <w:rPr>
          <w:sz w:val="24"/>
        </w:rPr>
        <w:t>razil</w:t>
      </w:r>
      <w:r>
        <w:rPr>
          <w:rFonts w:hint="eastAsia"/>
          <w:sz w:val="24"/>
        </w:rPr>
        <w:t>, the recovery momentum weakened, as year-on-year GDP growth slipped to 1.2 percent</w:t>
      </w:r>
      <w:r>
        <w:rPr>
          <w:sz w:val="24"/>
        </w:rPr>
        <w:t xml:space="preserve"> </w:t>
      </w:r>
      <w:r>
        <w:rPr>
          <w:rFonts w:hint="eastAsia"/>
          <w:sz w:val="24"/>
        </w:rPr>
        <w:t>and 1.03 percent in Q1 and Q2</w:t>
      </w:r>
      <w:r>
        <w:rPr>
          <w:sz w:val="24"/>
        </w:rPr>
        <w:t xml:space="preserve"> of</w:t>
      </w:r>
      <w:r>
        <w:rPr>
          <w:rFonts w:hint="eastAsia"/>
          <w:sz w:val="24"/>
        </w:rPr>
        <w:t xml:space="preserve"> 2018 respectively. The manufacturing sector remained subdued, accompanied by a contraction in </w:t>
      </w:r>
      <w:r>
        <w:rPr>
          <w:sz w:val="24"/>
        </w:rPr>
        <w:t xml:space="preserve">the </w:t>
      </w:r>
      <w:r>
        <w:rPr>
          <w:rFonts w:hint="eastAsia"/>
          <w:sz w:val="24"/>
        </w:rPr>
        <w:t>services sector</w:t>
      </w:r>
      <w:r>
        <w:rPr>
          <w:sz w:val="24"/>
        </w:rPr>
        <w:t xml:space="preserve"> during</w:t>
      </w:r>
      <w:r>
        <w:rPr>
          <w:rFonts w:hint="eastAsia"/>
          <w:sz w:val="24"/>
        </w:rPr>
        <w:t xml:space="preserve"> the third quarter. </w:t>
      </w:r>
      <w:r>
        <w:rPr>
          <w:sz w:val="24"/>
        </w:rPr>
        <w:t>In September, t</w:t>
      </w:r>
      <w:r>
        <w:rPr>
          <w:rFonts w:hint="eastAsia"/>
          <w:sz w:val="24"/>
        </w:rPr>
        <w:t xml:space="preserve">he manufacturing PMI and </w:t>
      </w:r>
      <w:r>
        <w:rPr>
          <w:sz w:val="24"/>
        </w:rPr>
        <w:t xml:space="preserve">the </w:t>
      </w:r>
      <w:r>
        <w:rPr>
          <w:rFonts w:hint="eastAsia"/>
          <w:sz w:val="24"/>
        </w:rPr>
        <w:t>services PMI posted 50.9 and 46.4 respectively. Supported by</w:t>
      </w:r>
      <w:r>
        <w:rPr>
          <w:sz w:val="24"/>
        </w:rPr>
        <w:t xml:space="preserve"> </w:t>
      </w:r>
      <w:r>
        <w:rPr>
          <w:rFonts w:hint="eastAsia"/>
          <w:sz w:val="24"/>
        </w:rPr>
        <w:t>the</w:t>
      </w:r>
      <w:r>
        <w:rPr>
          <w:sz w:val="24"/>
        </w:rPr>
        <w:t xml:space="preserve"> rebound in the prices of commodities such as oil, Russia’s economy gradually stabilized</w:t>
      </w:r>
      <w:r>
        <w:rPr>
          <w:rFonts w:hint="eastAsia"/>
          <w:sz w:val="24"/>
        </w:rPr>
        <w:t>,</w:t>
      </w:r>
      <w:r>
        <w:rPr>
          <w:sz w:val="24"/>
        </w:rPr>
        <w:t xml:space="preserve"> </w:t>
      </w:r>
      <w:r>
        <w:rPr>
          <w:rFonts w:hint="eastAsia"/>
          <w:sz w:val="24"/>
        </w:rPr>
        <w:t xml:space="preserve">but </w:t>
      </w:r>
      <w:r>
        <w:rPr>
          <w:sz w:val="24"/>
        </w:rPr>
        <w:t>inflation</w:t>
      </w:r>
      <w:r>
        <w:rPr>
          <w:rFonts w:hint="eastAsia"/>
          <w:sz w:val="24"/>
        </w:rPr>
        <w:t xml:space="preserve"> rallied somewhat</w:t>
      </w:r>
      <w:r>
        <w:rPr>
          <w:sz w:val="24"/>
        </w:rPr>
        <w:t>. Growth in South Africa remained anemic amid stubbornly high unemployment</w:t>
      </w:r>
      <w:r>
        <w:rPr>
          <w:rFonts w:hint="eastAsia"/>
          <w:sz w:val="24"/>
        </w:rPr>
        <w:t xml:space="preserve">. In addition, financial markets in some emerging market economies experienced further turmoil in the third quarter, which led to </w:t>
      </w:r>
      <w:r>
        <w:rPr>
          <w:sz w:val="24"/>
        </w:rPr>
        <w:t>a</w:t>
      </w:r>
      <w:r>
        <w:rPr>
          <w:rFonts w:hint="eastAsia"/>
          <w:sz w:val="24"/>
        </w:rPr>
        <w:t xml:space="preserve"> devaluation of </w:t>
      </w:r>
      <w:r>
        <w:rPr>
          <w:sz w:val="24"/>
        </w:rPr>
        <w:t xml:space="preserve">the </w:t>
      </w:r>
      <w:r>
        <w:rPr>
          <w:rFonts w:hint="eastAsia"/>
          <w:sz w:val="24"/>
        </w:rPr>
        <w:t>currenc</w:t>
      </w:r>
      <w:r>
        <w:rPr>
          <w:sz w:val="24"/>
        </w:rPr>
        <w:t>y</w:t>
      </w:r>
      <w:r>
        <w:rPr>
          <w:rFonts w:hint="eastAsia"/>
          <w:sz w:val="24"/>
        </w:rPr>
        <w:t xml:space="preserve"> in some emerging market economies.</w:t>
      </w:r>
    </w:p>
    <w:p w:rsidR="00A0693D" w:rsidRPr="002E3175" w:rsidRDefault="00A0693D" w:rsidP="00A0693D">
      <w:pPr>
        <w:keepNext/>
        <w:spacing w:line="360" w:lineRule="auto"/>
        <w:jc w:val="center"/>
        <w:rPr>
          <w:b/>
          <w:sz w:val="24"/>
        </w:rPr>
      </w:pPr>
      <w:bookmarkStart w:id="90" w:name="_Toc532203075"/>
      <w:r w:rsidRPr="002E3175">
        <w:rPr>
          <w:b/>
          <w:sz w:val="24"/>
        </w:rPr>
        <w:t xml:space="preserve">Table </w:t>
      </w:r>
      <w:r w:rsidR="002447A7" w:rsidRPr="002E3175">
        <w:rPr>
          <w:b/>
          <w:sz w:val="24"/>
        </w:rPr>
        <w:fldChar w:fldCharType="begin"/>
      </w:r>
      <w:r w:rsidRPr="002E3175">
        <w:rPr>
          <w:b/>
          <w:sz w:val="24"/>
        </w:rPr>
        <w:instrText xml:space="preserve"> SEQ Table \* ARABIC </w:instrText>
      </w:r>
      <w:r w:rsidR="002447A7" w:rsidRPr="002E3175">
        <w:rPr>
          <w:b/>
          <w:sz w:val="24"/>
        </w:rPr>
        <w:fldChar w:fldCharType="separate"/>
      </w:r>
      <w:r w:rsidR="00EC1136">
        <w:rPr>
          <w:b/>
          <w:noProof/>
          <w:sz w:val="24"/>
        </w:rPr>
        <w:t>12</w:t>
      </w:r>
      <w:r w:rsidR="002447A7" w:rsidRPr="002E3175">
        <w:rPr>
          <w:b/>
          <w:sz w:val="24"/>
        </w:rPr>
        <w:fldChar w:fldCharType="end"/>
      </w:r>
      <w:r w:rsidRPr="002E3175">
        <w:rPr>
          <w:b/>
          <w:sz w:val="24"/>
        </w:rPr>
        <w:t xml:space="preserve"> </w:t>
      </w:r>
      <w:r w:rsidRPr="00EE3C76">
        <w:rPr>
          <w:b/>
          <w:sz w:val="24"/>
        </w:rPr>
        <w:t>Macroeconomic and Financial Indicators in the Major Advanced Economies</w:t>
      </w:r>
      <w:bookmarkEnd w:id="90"/>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40"/>
        <w:gridCol w:w="1342"/>
        <w:gridCol w:w="600"/>
        <w:gridCol w:w="600"/>
        <w:gridCol w:w="540"/>
        <w:gridCol w:w="584"/>
        <w:gridCol w:w="567"/>
        <w:gridCol w:w="499"/>
        <w:gridCol w:w="567"/>
        <w:gridCol w:w="567"/>
        <w:gridCol w:w="544"/>
        <w:gridCol w:w="495"/>
        <w:gridCol w:w="567"/>
        <w:gridCol w:w="498"/>
        <w:gridCol w:w="510"/>
        <w:gridCol w:w="495"/>
        <w:gridCol w:w="538"/>
      </w:tblGrid>
      <w:tr w:rsidR="00A0693D" w:rsidRPr="002E3175" w:rsidTr="00D843BC">
        <w:trPr>
          <w:cantSplit/>
          <w:trHeight w:val="363"/>
          <w:jc w:val="center"/>
        </w:trPr>
        <w:tc>
          <w:tcPr>
            <w:tcW w:w="640" w:type="dxa"/>
            <w:vMerge w:val="restart"/>
            <w:vAlign w:val="center"/>
          </w:tcPr>
          <w:p w:rsidR="00A0693D" w:rsidRPr="002E3175" w:rsidRDefault="00A0693D" w:rsidP="00D843BC">
            <w:pPr>
              <w:spacing w:line="360" w:lineRule="auto"/>
              <w:rPr>
                <w:sz w:val="24"/>
              </w:rPr>
            </w:pPr>
            <w:r w:rsidRPr="002E3175">
              <w:rPr>
                <w:sz w:val="24"/>
              </w:rPr>
              <w:t>Country</w:t>
            </w:r>
          </w:p>
        </w:tc>
        <w:tc>
          <w:tcPr>
            <w:tcW w:w="1342" w:type="dxa"/>
            <w:vMerge w:val="restart"/>
            <w:vAlign w:val="center"/>
          </w:tcPr>
          <w:p w:rsidR="00A0693D" w:rsidRPr="002E3175" w:rsidRDefault="00A0693D" w:rsidP="00D843BC">
            <w:pPr>
              <w:spacing w:line="360" w:lineRule="auto"/>
              <w:rPr>
                <w:sz w:val="24"/>
              </w:rPr>
            </w:pPr>
            <w:r w:rsidRPr="002E3175">
              <w:rPr>
                <w:sz w:val="24"/>
              </w:rPr>
              <w:t xml:space="preserve">Indicator </w:t>
            </w:r>
          </w:p>
        </w:tc>
        <w:tc>
          <w:tcPr>
            <w:tcW w:w="1740" w:type="dxa"/>
            <w:gridSpan w:val="3"/>
            <w:vAlign w:val="center"/>
          </w:tcPr>
          <w:p w:rsidR="00A0693D" w:rsidRPr="002E3175" w:rsidRDefault="00A0693D" w:rsidP="00D843BC">
            <w:pPr>
              <w:spacing w:line="360" w:lineRule="auto"/>
              <w:rPr>
                <w:sz w:val="24"/>
              </w:rPr>
            </w:pPr>
            <w:r w:rsidRPr="002E3175">
              <w:rPr>
                <w:sz w:val="24"/>
              </w:rPr>
              <w:t>2017Q</w:t>
            </w:r>
            <w:r w:rsidRPr="002E3175">
              <w:rPr>
                <w:rFonts w:hint="eastAsia"/>
                <w:sz w:val="24"/>
              </w:rPr>
              <w:t>3</w:t>
            </w:r>
          </w:p>
        </w:tc>
        <w:tc>
          <w:tcPr>
            <w:tcW w:w="1650" w:type="dxa"/>
            <w:gridSpan w:val="3"/>
            <w:vAlign w:val="center"/>
          </w:tcPr>
          <w:p w:rsidR="00A0693D" w:rsidRPr="002E3175" w:rsidRDefault="00A0693D" w:rsidP="00D843BC">
            <w:pPr>
              <w:spacing w:line="360" w:lineRule="auto"/>
              <w:rPr>
                <w:sz w:val="24"/>
              </w:rPr>
            </w:pPr>
            <w:r w:rsidRPr="002E3175">
              <w:rPr>
                <w:sz w:val="24"/>
              </w:rPr>
              <w:t>2017Q</w:t>
            </w:r>
            <w:r w:rsidRPr="002E3175">
              <w:rPr>
                <w:rFonts w:hint="eastAsia"/>
                <w:sz w:val="24"/>
              </w:rPr>
              <w:t>4</w:t>
            </w:r>
          </w:p>
        </w:tc>
        <w:tc>
          <w:tcPr>
            <w:tcW w:w="1678" w:type="dxa"/>
            <w:gridSpan w:val="3"/>
            <w:vAlign w:val="center"/>
          </w:tcPr>
          <w:p w:rsidR="00A0693D" w:rsidRPr="002E3175" w:rsidRDefault="00A0693D" w:rsidP="00D843BC">
            <w:pPr>
              <w:spacing w:line="360" w:lineRule="auto"/>
              <w:rPr>
                <w:sz w:val="24"/>
              </w:rPr>
            </w:pPr>
            <w:r w:rsidRPr="002E3175">
              <w:rPr>
                <w:sz w:val="24"/>
              </w:rPr>
              <w:t>201</w:t>
            </w:r>
            <w:r w:rsidRPr="002E3175">
              <w:rPr>
                <w:rFonts w:hint="eastAsia"/>
                <w:sz w:val="24"/>
              </w:rPr>
              <w:t>8</w:t>
            </w:r>
            <w:r w:rsidRPr="002E3175">
              <w:rPr>
                <w:sz w:val="24"/>
              </w:rPr>
              <w:t>Q</w:t>
            </w:r>
            <w:r w:rsidRPr="002E3175">
              <w:rPr>
                <w:rFonts w:hint="eastAsia"/>
                <w:sz w:val="24"/>
              </w:rPr>
              <w:t>1</w:t>
            </w:r>
          </w:p>
        </w:tc>
        <w:tc>
          <w:tcPr>
            <w:tcW w:w="1560" w:type="dxa"/>
            <w:gridSpan w:val="3"/>
            <w:vAlign w:val="center"/>
          </w:tcPr>
          <w:p w:rsidR="00A0693D" w:rsidRPr="002E3175" w:rsidRDefault="00A0693D" w:rsidP="00D843BC">
            <w:pPr>
              <w:spacing w:line="360" w:lineRule="auto"/>
              <w:rPr>
                <w:sz w:val="24"/>
              </w:rPr>
            </w:pPr>
            <w:r w:rsidRPr="002E3175">
              <w:rPr>
                <w:sz w:val="24"/>
              </w:rPr>
              <w:t>2018Q</w:t>
            </w:r>
            <w:r w:rsidRPr="002E3175">
              <w:rPr>
                <w:rFonts w:hint="eastAsia"/>
                <w:sz w:val="24"/>
              </w:rPr>
              <w:t>2</w:t>
            </w:r>
          </w:p>
        </w:tc>
        <w:tc>
          <w:tcPr>
            <w:tcW w:w="1543" w:type="dxa"/>
            <w:gridSpan w:val="3"/>
            <w:vAlign w:val="center"/>
          </w:tcPr>
          <w:p w:rsidR="00A0693D" w:rsidRPr="002E3175" w:rsidRDefault="00A0693D" w:rsidP="00D843BC">
            <w:pPr>
              <w:spacing w:line="360" w:lineRule="auto"/>
              <w:rPr>
                <w:sz w:val="24"/>
              </w:rPr>
            </w:pPr>
            <w:r w:rsidRPr="002E3175">
              <w:rPr>
                <w:sz w:val="24"/>
              </w:rPr>
              <w:t>2018Q</w:t>
            </w:r>
            <w:r w:rsidRPr="002E3175">
              <w:rPr>
                <w:rFonts w:hint="eastAsia"/>
                <w:sz w:val="24"/>
              </w:rPr>
              <w:t>3</w:t>
            </w:r>
          </w:p>
        </w:tc>
      </w:tr>
      <w:tr w:rsidR="00A0693D" w:rsidTr="00D843BC">
        <w:trPr>
          <w:cantSplit/>
          <w:trHeight w:val="363"/>
          <w:jc w:val="center"/>
        </w:trPr>
        <w:tc>
          <w:tcPr>
            <w:tcW w:w="640" w:type="dxa"/>
            <w:vMerge/>
            <w:vAlign w:val="center"/>
          </w:tcPr>
          <w:p w:rsidR="00A0693D" w:rsidRDefault="00A0693D" w:rsidP="00D843BC">
            <w:pPr>
              <w:spacing w:line="360" w:lineRule="auto"/>
              <w:rPr>
                <w:sz w:val="24"/>
              </w:rPr>
            </w:pPr>
          </w:p>
        </w:tc>
        <w:tc>
          <w:tcPr>
            <w:tcW w:w="1342" w:type="dxa"/>
            <w:vMerge/>
            <w:vAlign w:val="center"/>
          </w:tcPr>
          <w:p w:rsidR="00A0693D" w:rsidRDefault="00A0693D" w:rsidP="00D843BC">
            <w:pPr>
              <w:spacing w:line="360" w:lineRule="auto"/>
              <w:rPr>
                <w:sz w:val="24"/>
              </w:rPr>
            </w:pPr>
          </w:p>
        </w:tc>
        <w:tc>
          <w:tcPr>
            <w:tcW w:w="600" w:type="dxa"/>
            <w:vAlign w:val="center"/>
          </w:tcPr>
          <w:p w:rsidR="00A0693D" w:rsidRDefault="00A0693D" w:rsidP="00D843BC">
            <w:pPr>
              <w:spacing w:line="360" w:lineRule="auto"/>
              <w:rPr>
                <w:sz w:val="24"/>
              </w:rPr>
            </w:pPr>
            <w:r>
              <w:rPr>
                <w:sz w:val="24"/>
              </w:rPr>
              <w:t>Jul.</w:t>
            </w:r>
          </w:p>
        </w:tc>
        <w:tc>
          <w:tcPr>
            <w:tcW w:w="600" w:type="dxa"/>
            <w:vAlign w:val="center"/>
          </w:tcPr>
          <w:p w:rsidR="00A0693D" w:rsidRDefault="00A0693D" w:rsidP="00D843BC">
            <w:pPr>
              <w:spacing w:line="360" w:lineRule="auto"/>
              <w:rPr>
                <w:sz w:val="24"/>
              </w:rPr>
            </w:pPr>
            <w:r>
              <w:rPr>
                <w:sz w:val="24"/>
              </w:rPr>
              <w:t>Aug.</w:t>
            </w:r>
          </w:p>
        </w:tc>
        <w:tc>
          <w:tcPr>
            <w:tcW w:w="540" w:type="dxa"/>
            <w:vAlign w:val="center"/>
          </w:tcPr>
          <w:p w:rsidR="00A0693D" w:rsidRDefault="00A0693D" w:rsidP="00D843BC">
            <w:pPr>
              <w:spacing w:line="360" w:lineRule="auto"/>
              <w:rPr>
                <w:sz w:val="24"/>
              </w:rPr>
            </w:pPr>
            <w:r>
              <w:rPr>
                <w:sz w:val="24"/>
              </w:rPr>
              <w:t>Sept.</w:t>
            </w:r>
          </w:p>
        </w:tc>
        <w:tc>
          <w:tcPr>
            <w:tcW w:w="584" w:type="dxa"/>
            <w:vAlign w:val="center"/>
          </w:tcPr>
          <w:p w:rsidR="00A0693D" w:rsidRDefault="00A0693D" w:rsidP="00D843BC">
            <w:pPr>
              <w:spacing w:line="360" w:lineRule="auto"/>
              <w:rPr>
                <w:sz w:val="24"/>
              </w:rPr>
            </w:pPr>
            <w:r>
              <w:rPr>
                <w:sz w:val="24"/>
              </w:rPr>
              <w:t>Oct.</w:t>
            </w:r>
          </w:p>
        </w:tc>
        <w:tc>
          <w:tcPr>
            <w:tcW w:w="567" w:type="dxa"/>
            <w:vAlign w:val="center"/>
          </w:tcPr>
          <w:p w:rsidR="00A0693D" w:rsidRDefault="00A0693D" w:rsidP="00D843BC">
            <w:pPr>
              <w:spacing w:line="360" w:lineRule="auto"/>
              <w:rPr>
                <w:sz w:val="24"/>
              </w:rPr>
            </w:pPr>
            <w:r>
              <w:rPr>
                <w:sz w:val="24"/>
              </w:rPr>
              <w:t>Nov.</w:t>
            </w:r>
          </w:p>
        </w:tc>
        <w:tc>
          <w:tcPr>
            <w:tcW w:w="499" w:type="dxa"/>
            <w:vAlign w:val="center"/>
          </w:tcPr>
          <w:p w:rsidR="00A0693D" w:rsidRDefault="00A0693D" w:rsidP="00D843BC">
            <w:pPr>
              <w:spacing w:line="360" w:lineRule="auto"/>
              <w:rPr>
                <w:sz w:val="24"/>
              </w:rPr>
            </w:pPr>
            <w:r>
              <w:rPr>
                <w:sz w:val="24"/>
              </w:rPr>
              <w:t>Dec.</w:t>
            </w:r>
          </w:p>
        </w:tc>
        <w:tc>
          <w:tcPr>
            <w:tcW w:w="567" w:type="dxa"/>
            <w:vAlign w:val="center"/>
          </w:tcPr>
          <w:p w:rsidR="00A0693D" w:rsidRDefault="00A0693D" w:rsidP="00D843BC">
            <w:pPr>
              <w:spacing w:line="360" w:lineRule="auto"/>
              <w:rPr>
                <w:sz w:val="24"/>
              </w:rPr>
            </w:pPr>
            <w:r>
              <w:rPr>
                <w:sz w:val="24"/>
              </w:rPr>
              <w:t>Jan.</w:t>
            </w:r>
          </w:p>
        </w:tc>
        <w:tc>
          <w:tcPr>
            <w:tcW w:w="567" w:type="dxa"/>
            <w:vAlign w:val="center"/>
          </w:tcPr>
          <w:p w:rsidR="00A0693D" w:rsidRDefault="00A0693D" w:rsidP="00D843BC">
            <w:pPr>
              <w:spacing w:line="360" w:lineRule="auto"/>
              <w:rPr>
                <w:sz w:val="24"/>
              </w:rPr>
            </w:pPr>
            <w:r>
              <w:rPr>
                <w:sz w:val="24"/>
              </w:rPr>
              <w:t>Feb.</w:t>
            </w:r>
          </w:p>
        </w:tc>
        <w:tc>
          <w:tcPr>
            <w:tcW w:w="544" w:type="dxa"/>
            <w:vAlign w:val="center"/>
          </w:tcPr>
          <w:p w:rsidR="00A0693D" w:rsidRDefault="00A0693D" w:rsidP="00D843BC">
            <w:pPr>
              <w:spacing w:line="360" w:lineRule="auto"/>
              <w:rPr>
                <w:sz w:val="24"/>
              </w:rPr>
            </w:pPr>
            <w:r>
              <w:rPr>
                <w:sz w:val="24"/>
              </w:rPr>
              <w:t>Mar.</w:t>
            </w:r>
          </w:p>
        </w:tc>
        <w:tc>
          <w:tcPr>
            <w:tcW w:w="495" w:type="dxa"/>
            <w:vAlign w:val="center"/>
          </w:tcPr>
          <w:p w:rsidR="00A0693D" w:rsidRDefault="00A0693D" w:rsidP="00D843BC">
            <w:pPr>
              <w:spacing w:line="360" w:lineRule="auto"/>
              <w:rPr>
                <w:sz w:val="24"/>
              </w:rPr>
            </w:pPr>
            <w:r>
              <w:rPr>
                <w:sz w:val="24"/>
              </w:rPr>
              <w:t>Ap</w:t>
            </w:r>
            <w:r>
              <w:rPr>
                <w:rFonts w:hint="eastAsia"/>
                <w:sz w:val="24"/>
              </w:rPr>
              <w:t>r</w:t>
            </w:r>
            <w:r>
              <w:rPr>
                <w:sz w:val="24"/>
              </w:rPr>
              <w:t>.</w:t>
            </w:r>
          </w:p>
        </w:tc>
        <w:tc>
          <w:tcPr>
            <w:tcW w:w="567" w:type="dxa"/>
            <w:vAlign w:val="center"/>
          </w:tcPr>
          <w:p w:rsidR="00A0693D" w:rsidRDefault="00A0693D" w:rsidP="00D843BC">
            <w:pPr>
              <w:spacing w:line="360" w:lineRule="auto"/>
              <w:rPr>
                <w:sz w:val="24"/>
              </w:rPr>
            </w:pPr>
            <w:r>
              <w:rPr>
                <w:sz w:val="24"/>
              </w:rPr>
              <w:t>May</w:t>
            </w:r>
          </w:p>
        </w:tc>
        <w:tc>
          <w:tcPr>
            <w:tcW w:w="498" w:type="dxa"/>
            <w:vAlign w:val="center"/>
          </w:tcPr>
          <w:p w:rsidR="00A0693D" w:rsidRDefault="00A0693D" w:rsidP="00D843BC">
            <w:pPr>
              <w:spacing w:line="360" w:lineRule="auto"/>
              <w:rPr>
                <w:sz w:val="24"/>
              </w:rPr>
            </w:pPr>
            <w:r>
              <w:rPr>
                <w:sz w:val="24"/>
              </w:rPr>
              <w:t>Jun.</w:t>
            </w:r>
          </w:p>
        </w:tc>
        <w:tc>
          <w:tcPr>
            <w:tcW w:w="510" w:type="dxa"/>
            <w:vAlign w:val="center"/>
          </w:tcPr>
          <w:p w:rsidR="00A0693D" w:rsidRDefault="00A0693D" w:rsidP="00D843BC">
            <w:pPr>
              <w:spacing w:line="360" w:lineRule="auto"/>
              <w:rPr>
                <w:sz w:val="24"/>
              </w:rPr>
            </w:pPr>
            <w:r>
              <w:rPr>
                <w:sz w:val="24"/>
              </w:rPr>
              <w:t>Jul.</w:t>
            </w:r>
          </w:p>
        </w:tc>
        <w:tc>
          <w:tcPr>
            <w:tcW w:w="495" w:type="dxa"/>
            <w:vAlign w:val="center"/>
          </w:tcPr>
          <w:p w:rsidR="00A0693D" w:rsidRDefault="00A0693D" w:rsidP="00D843BC">
            <w:pPr>
              <w:spacing w:line="360" w:lineRule="auto"/>
              <w:rPr>
                <w:sz w:val="24"/>
              </w:rPr>
            </w:pPr>
            <w:r>
              <w:rPr>
                <w:sz w:val="24"/>
              </w:rPr>
              <w:t>Aug.</w:t>
            </w:r>
          </w:p>
        </w:tc>
        <w:tc>
          <w:tcPr>
            <w:tcW w:w="538" w:type="dxa"/>
            <w:vAlign w:val="center"/>
          </w:tcPr>
          <w:p w:rsidR="00A0693D" w:rsidRDefault="00A0693D" w:rsidP="00D843BC">
            <w:pPr>
              <w:spacing w:line="360" w:lineRule="auto"/>
              <w:rPr>
                <w:sz w:val="24"/>
              </w:rPr>
            </w:pPr>
            <w:r>
              <w:rPr>
                <w:sz w:val="24"/>
              </w:rPr>
              <w:t>Sept.</w:t>
            </w:r>
          </w:p>
        </w:tc>
      </w:tr>
      <w:tr w:rsidR="00A0693D" w:rsidTr="00D843BC">
        <w:trPr>
          <w:cantSplit/>
          <w:trHeight w:val="363"/>
          <w:jc w:val="center"/>
        </w:trPr>
        <w:tc>
          <w:tcPr>
            <w:tcW w:w="640" w:type="dxa"/>
            <w:vMerge w:val="restart"/>
            <w:shd w:val="clear" w:color="auto" w:fill="auto"/>
            <w:textDirection w:val="tbRlV"/>
            <w:vAlign w:val="center"/>
          </w:tcPr>
          <w:p w:rsidR="00A0693D" w:rsidRDefault="00A0693D" w:rsidP="00D843BC">
            <w:pPr>
              <w:spacing w:line="360" w:lineRule="auto"/>
              <w:rPr>
                <w:sz w:val="24"/>
              </w:rPr>
            </w:pPr>
            <w:r>
              <w:rPr>
                <w:sz w:val="24"/>
              </w:rPr>
              <w:t>United States</w:t>
            </w:r>
          </w:p>
        </w:tc>
        <w:tc>
          <w:tcPr>
            <w:tcW w:w="1342" w:type="dxa"/>
            <w:shd w:val="clear" w:color="auto" w:fill="CCFFCC"/>
            <w:vAlign w:val="bottom"/>
          </w:tcPr>
          <w:p w:rsidR="00A0693D" w:rsidRDefault="00A0693D" w:rsidP="00D843BC">
            <w:pPr>
              <w:spacing w:line="360" w:lineRule="auto"/>
              <w:rPr>
                <w:sz w:val="24"/>
              </w:rPr>
            </w:pPr>
            <w:r>
              <w:rPr>
                <w:sz w:val="24"/>
              </w:rPr>
              <w:t>Real GDP Growth (annualized quarterly rate, %)</w:t>
            </w:r>
          </w:p>
        </w:tc>
        <w:tc>
          <w:tcPr>
            <w:tcW w:w="1740" w:type="dxa"/>
            <w:gridSpan w:val="3"/>
            <w:shd w:val="clear" w:color="auto" w:fill="CCFFCC"/>
            <w:vAlign w:val="center"/>
          </w:tcPr>
          <w:p w:rsidR="00A0693D" w:rsidRDefault="00A0693D" w:rsidP="00D843BC">
            <w:pPr>
              <w:spacing w:line="360" w:lineRule="auto"/>
              <w:rPr>
                <w:sz w:val="24"/>
              </w:rPr>
            </w:pPr>
            <w:r>
              <w:rPr>
                <w:rFonts w:hint="eastAsia"/>
                <w:sz w:val="24"/>
              </w:rPr>
              <w:t>2.8</w:t>
            </w:r>
          </w:p>
        </w:tc>
        <w:tc>
          <w:tcPr>
            <w:tcW w:w="1650" w:type="dxa"/>
            <w:gridSpan w:val="3"/>
            <w:shd w:val="clear" w:color="auto" w:fill="CCFFCC"/>
            <w:vAlign w:val="center"/>
          </w:tcPr>
          <w:p w:rsidR="00A0693D" w:rsidRDefault="00A0693D" w:rsidP="00D843BC">
            <w:pPr>
              <w:spacing w:line="360" w:lineRule="auto"/>
              <w:rPr>
                <w:sz w:val="24"/>
              </w:rPr>
            </w:pPr>
            <w:r>
              <w:rPr>
                <w:rFonts w:hint="eastAsia"/>
                <w:sz w:val="24"/>
              </w:rPr>
              <w:t>2.3</w:t>
            </w:r>
          </w:p>
        </w:tc>
        <w:tc>
          <w:tcPr>
            <w:tcW w:w="1678" w:type="dxa"/>
            <w:gridSpan w:val="3"/>
            <w:shd w:val="clear" w:color="auto" w:fill="CCFFCC"/>
            <w:vAlign w:val="center"/>
          </w:tcPr>
          <w:p w:rsidR="00A0693D" w:rsidRDefault="00A0693D" w:rsidP="00D843BC">
            <w:pPr>
              <w:spacing w:line="360" w:lineRule="auto"/>
              <w:rPr>
                <w:sz w:val="24"/>
              </w:rPr>
            </w:pPr>
            <w:r>
              <w:rPr>
                <w:rFonts w:hint="eastAsia"/>
                <w:sz w:val="24"/>
              </w:rPr>
              <w:t>2.2</w:t>
            </w:r>
          </w:p>
        </w:tc>
        <w:tc>
          <w:tcPr>
            <w:tcW w:w="1560" w:type="dxa"/>
            <w:gridSpan w:val="3"/>
            <w:shd w:val="clear" w:color="auto" w:fill="CCFFCC"/>
            <w:vAlign w:val="center"/>
          </w:tcPr>
          <w:p w:rsidR="00A0693D" w:rsidRDefault="00A0693D" w:rsidP="00D843BC">
            <w:pPr>
              <w:spacing w:line="360" w:lineRule="auto"/>
              <w:rPr>
                <w:sz w:val="24"/>
              </w:rPr>
            </w:pPr>
            <w:r>
              <w:rPr>
                <w:rFonts w:hint="eastAsia"/>
                <w:sz w:val="24"/>
              </w:rPr>
              <w:t>4.2</w:t>
            </w:r>
          </w:p>
        </w:tc>
        <w:tc>
          <w:tcPr>
            <w:tcW w:w="1543" w:type="dxa"/>
            <w:gridSpan w:val="3"/>
            <w:shd w:val="clear" w:color="auto" w:fill="CCFFCC"/>
            <w:vAlign w:val="center"/>
          </w:tcPr>
          <w:p w:rsidR="00A0693D" w:rsidRDefault="00A0693D" w:rsidP="00D843BC">
            <w:pPr>
              <w:spacing w:line="360" w:lineRule="auto"/>
              <w:rPr>
                <w:sz w:val="24"/>
              </w:rPr>
            </w:pPr>
            <w:r>
              <w:rPr>
                <w:rFonts w:hint="eastAsia"/>
                <w:sz w:val="24"/>
              </w:rPr>
              <w:t>3.5</w:t>
            </w:r>
          </w:p>
        </w:tc>
      </w:tr>
      <w:tr w:rsidR="00A0693D" w:rsidTr="00D843BC">
        <w:trPr>
          <w:cantSplit/>
          <w:trHeight w:val="302"/>
          <w:jc w:val="center"/>
        </w:trPr>
        <w:tc>
          <w:tcPr>
            <w:tcW w:w="640" w:type="dxa"/>
            <w:vMerge/>
            <w:vAlign w:val="center"/>
          </w:tcPr>
          <w:p w:rsidR="00A0693D" w:rsidRDefault="00A0693D" w:rsidP="00D843BC">
            <w:pPr>
              <w:spacing w:line="360" w:lineRule="auto"/>
              <w:rPr>
                <w:sz w:val="24"/>
              </w:rPr>
            </w:pPr>
          </w:p>
        </w:tc>
        <w:tc>
          <w:tcPr>
            <w:tcW w:w="1342" w:type="dxa"/>
            <w:vAlign w:val="bottom"/>
          </w:tcPr>
          <w:p w:rsidR="00A0693D" w:rsidRDefault="00A0693D" w:rsidP="00D843BC">
            <w:pPr>
              <w:spacing w:line="360" w:lineRule="auto"/>
              <w:rPr>
                <w:sz w:val="24"/>
              </w:rPr>
            </w:pPr>
            <w:r>
              <w:rPr>
                <w:sz w:val="24"/>
              </w:rPr>
              <w:t>Unemployment Rate (%)</w:t>
            </w:r>
          </w:p>
        </w:tc>
        <w:tc>
          <w:tcPr>
            <w:tcW w:w="600" w:type="dxa"/>
            <w:vAlign w:val="center"/>
          </w:tcPr>
          <w:p w:rsidR="00A0693D" w:rsidRDefault="00A0693D" w:rsidP="00D843BC">
            <w:pPr>
              <w:spacing w:line="360" w:lineRule="auto"/>
              <w:rPr>
                <w:sz w:val="24"/>
              </w:rPr>
            </w:pPr>
            <w:r>
              <w:rPr>
                <w:sz w:val="24"/>
              </w:rPr>
              <w:t>4.</w:t>
            </w:r>
            <w:r>
              <w:rPr>
                <w:rFonts w:hint="eastAsia"/>
                <w:sz w:val="24"/>
              </w:rPr>
              <w:t>3</w:t>
            </w:r>
          </w:p>
        </w:tc>
        <w:tc>
          <w:tcPr>
            <w:tcW w:w="600" w:type="dxa"/>
            <w:vAlign w:val="center"/>
          </w:tcPr>
          <w:p w:rsidR="00A0693D" w:rsidRDefault="00A0693D" w:rsidP="00D843BC">
            <w:pPr>
              <w:spacing w:line="360" w:lineRule="auto"/>
              <w:rPr>
                <w:sz w:val="24"/>
              </w:rPr>
            </w:pPr>
            <w:r>
              <w:rPr>
                <w:sz w:val="24"/>
              </w:rPr>
              <w:t>4.</w:t>
            </w:r>
            <w:r>
              <w:rPr>
                <w:rFonts w:hint="eastAsia"/>
                <w:sz w:val="24"/>
              </w:rPr>
              <w:t>4</w:t>
            </w:r>
          </w:p>
        </w:tc>
        <w:tc>
          <w:tcPr>
            <w:tcW w:w="540" w:type="dxa"/>
            <w:vAlign w:val="center"/>
          </w:tcPr>
          <w:p w:rsidR="00A0693D" w:rsidRDefault="00A0693D" w:rsidP="00D843BC">
            <w:pPr>
              <w:spacing w:line="360" w:lineRule="auto"/>
              <w:rPr>
                <w:sz w:val="24"/>
              </w:rPr>
            </w:pPr>
            <w:r>
              <w:rPr>
                <w:sz w:val="24"/>
              </w:rPr>
              <w:t>4.</w:t>
            </w:r>
            <w:r>
              <w:rPr>
                <w:rFonts w:hint="eastAsia"/>
                <w:sz w:val="24"/>
              </w:rPr>
              <w:t>2</w:t>
            </w:r>
          </w:p>
        </w:tc>
        <w:tc>
          <w:tcPr>
            <w:tcW w:w="584" w:type="dxa"/>
            <w:vAlign w:val="center"/>
          </w:tcPr>
          <w:p w:rsidR="00A0693D" w:rsidRDefault="00A0693D" w:rsidP="00D843BC">
            <w:pPr>
              <w:spacing w:line="360" w:lineRule="auto"/>
              <w:rPr>
                <w:sz w:val="24"/>
              </w:rPr>
            </w:pPr>
            <w:r>
              <w:rPr>
                <w:sz w:val="24"/>
              </w:rPr>
              <w:t>4.</w:t>
            </w:r>
            <w:r>
              <w:rPr>
                <w:rFonts w:hint="eastAsia"/>
                <w:sz w:val="24"/>
              </w:rPr>
              <w:t>1</w:t>
            </w:r>
          </w:p>
        </w:tc>
        <w:tc>
          <w:tcPr>
            <w:tcW w:w="567" w:type="dxa"/>
            <w:vAlign w:val="center"/>
          </w:tcPr>
          <w:p w:rsidR="00A0693D" w:rsidRDefault="00A0693D" w:rsidP="00D843BC">
            <w:pPr>
              <w:spacing w:line="360" w:lineRule="auto"/>
              <w:rPr>
                <w:sz w:val="24"/>
              </w:rPr>
            </w:pPr>
            <w:r>
              <w:rPr>
                <w:sz w:val="24"/>
              </w:rPr>
              <w:t>4.</w:t>
            </w:r>
            <w:r>
              <w:rPr>
                <w:rFonts w:hint="eastAsia"/>
                <w:sz w:val="24"/>
              </w:rPr>
              <w:t>1</w:t>
            </w:r>
          </w:p>
        </w:tc>
        <w:tc>
          <w:tcPr>
            <w:tcW w:w="499" w:type="dxa"/>
            <w:vAlign w:val="center"/>
          </w:tcPr>
          <w:p w:rsidR="00A0693D" w:rsidRDefault="00A0693D" w:rsidP="00D843BC">
            <w:pPr>
              <w:spacing w:line="360" w:lineRule="auto"/>
              <w:rPr>
                <w:sz w:val="24"/>
              </w:rPr>
            </w:pPr>
            <w:r>
              <w:rPr>
                <w:sz w:val="24"/>
              </w:rPr>
              <w:t>4.</w:t>
            </w:r>
            <w:r>
              <w:rPr>
                <w:rFonts w:hint="eastAsia"/>
                <w:sz w:val="24"/>
              </w:rPr>
              <w:t>1</w:t>
            </w:r>
          </w:p>
        </w:tc>
        <w:tc>
          <w:tcPr>
            <w:tcW w:w="567" w:type="dxa"/>
            <w:vAlign w:val="center"/>
          </w:tcPr>
          <w:p w:rsidR="00A0693D" w:rsidRDefault="00A0693D" w:rsidP="00D843BC">
            <w:pPr>
              <w:spacing w:line="360" w:lineRule="auto"/>
              <w:rPr>
                <w:sz w:val="24"/>
              </w:rPr>
            </w:pPr>
            <w:r>
              <w:rPr>
                <w:sz w:val="24"/>
              </w:rPr>
              <w:t>4.1</w:t>
            </w:r>
          </w:p>
        </w:tc>
        <w:tc>
          <w:tcPr>
            <w:tcW w:w="567" w:type="dxa"/>
            <w:vAlign w:val="center"/>
          </w:tcPr>
          <w:p w:rsidR="00A0693D" w:rsidRDefault="00A0693D" w:rsidP="00D843BC">
            <w:pPr>
              <w:spacing w:line="360" w:lineRule="auto"/>
              <w:rPr>
                <w:sz w:val="24"/>
              </w:rPr>
            </w:pPr>
            <w:r>
              <w:rPr>
                <w:sz w:val="24"/>
              </w:rPr>
              <w:t>4.1</w:t>
            </w:r>
          </w:p>
        </w:tc>
        <w:tc>
          <w:tcPr>
            <w:tcW w:w="544" w:type="dxa"/>
            <w:vAlign w:val="center"/>
          </w:tcPr>
          <w:p w:rsidR="00A0693D" w:rsidRDefault="00A0693D" w:rsidP="00D843BC">
            <w:pPr>
              <w:spacing w:line="360" w:lineRule="auto"/>
              <w:rPr>
                <w:sz w:val="24"/>
              </w:rPr>
            </w:pPr>
            <w:r>
              <w:rPr>
                <w:sz w:val="24"/>
              </w:rPr>
              <w:t>4.1</w:t>
            </w:r>
          </w:p>
        </w:tc>
        <w:tc>
          <w:tcPr>
            <w:tcW w:w="495" w:type="dxa"/>
            <w:vAlign w:val="center"/>
          </w:tcPr>
          <w:p w:rsidR="00A0693D" w:rsidRDefault="00A0693D" w:rsidP="00D843BC">
            <w:pPr>
              <w:spacing w:line="360" w:lineRule="auto"/>
              <w:rPr>
                <w:sz w:val="24"/>
              </w:rPr>
            </w:pPr>
            <w:bookmarkStart w:id="91" w:name="OLE_LINK10"/>
            <w:r>
              <w:rPr>
                <w:rFonts w:hint="eastAsia"/>
                <w:sz w:val="24"/>
              </w:rPr>
              <w:t>3</w:t>
            </w:r>
            <w:r>
              <w:rPr>
                <w:sz w:val="24"/>
              </w:rPr>
              <w:t>.</w:t>
            </w:r>
            <w:r>
              <w:rPr>
                <w:rFonts w:hint="eastAsia"/>
                <w:sz w:val="24"/>
              </w:rPr>
              <w:t>9</w:t>
            </w:r>
          </w:p>
        </w:tc>
        <w:tc>
          <w:tcPr>
            <w:tcW w:w="567" w:type="dxa"/>
            <w:vAlign w:val="center"/>
          </w:tcPr>
          <w:p w:rsidR="00A0693D" w:rsidRDefault="00A0693D" w:rsidP="00D843BC">
            <w:pPr>
              <w:spacing w:line="360" w:lineRule="auto"/>
              <w:rPr>
                <w:sz w:val="24"/>
              </w:rPr>
            </w:pPr>
            <w:r>
              <w:rPr>
                <w:rFonts w:hint="eastAsia"/>
                <w:sz w:val="24"/>
              </w:rPr>
              <w:t>3</w:t>
            </w:r>
            <w:r>
              <w:rPr>
                <w:sz w:val="24"/>
              </w:rPr>
              <w:t>.</w:t>
            </w:r>
            <w:r>
              <w:rPr>
                <w:rFonts w:hint="eastAsia"/>
                <w:sz w:val="24"/>
              </w:rPr>
              <w:t>8</w:t>
            </w:r>
          </w:p>
        </w:tc>
        <w:tc>
          <w:tcPr>
            <w:tcW w:w="498" w:type="dxa"/>
            <w:vAlign w:val="center"/>
          </w:tcPr>
          <w:p w:rsidR="00A0693D" w:rsidRDefault="00A0693D" w:rsidP="00D843BC">
            <w:pPr>
              <w:spacing w:line="360" w:lineRule="auto"/>
              <w:rPr>
                <w:sz w:val="24"/>
              </w:rPr>
            </w:pPr>
            <w:r>
              <w:rPr>
                <w:sz w:val="24"/>
              </w:rPr>
              <w:t>4.</w:t>
            </w:r>
            <w:r>
              <w:rPr>
                <w:rFonts w:hint="eastAsia"/>
                <w:sz w:val="24"/>
              </w:rPr>
              <w:t>0</w:t>
            </w:r>
          </w:p>
        </w:tc>
        <w:tc>
          <w:tcPr>
            <w:tcW w:w="510" w:type="dxa"/>
            <w:vAlign w:val="center"/>
          </w:tcPr>
          <w:p w:rsidR="00A0693D" w:rsidRDefault="00A0693D" w:rsidP="00D843BC">
            <w:pPr>
              <w:spacing w:line="360" w:lineRule="auto"/>
              <w:rPr>
                <w:sz w:val="24"/>
              </w:rPr>
            </w:pPr>
            <w:bookmarkStart w:id="92" w:name="OLE_LINK11"/>
            <w:bookmarkEnd w:id="91"/>
            <w:r>
              <w:rPr>
                <w:rFonts w:hint="eastAsia"/>
                <w:sz w:val="24"/>
              </w:rPr>
              <w:t>3.9</w:t>
            </w:r>
          </w:p>
        </w:tc>
        <w:tc>
          <w:tcPr>
            <w:tcW w:w="495" w:type="dxa"/>
            <w:vAlign w:val="center"/>
          </w:tcPr>
          <w:p w:rsidR="00A0693D" w:rsidRDefault="00A0693D" w:rsidP="00D843BC">
            <w:pPr>
              <w:spacing w:line="360" w:lineRule="auto"/>
              <w:rPr>
                <w:sz w:val="24"/>
              </w:rPr>
            </w:pPr>
            <w:r>
              <w:rPr>
                <w:rFonts w:hint="eastAsia"/>
                <w:sz w:val="24"/>
              </w:rPr>
              <w:t>3.9</w:t>
            </w:r>
          </w:p>
        </w:tc>
        <w:tc>
          <w:tcPr>
            <w:tcW w:w="538" w:type="dxa"/>
            <w:vAlign w:val="center"/>
          </w:tcPr>
          <w:p w:rsidR="00A0693D" w:rsidRDefault="00A0693D" w:rsidP="00D843BC">
            <w:pPr>
              <w:spacing w:line="360" w:lineRule="auto"/>
              <w:rPr>
                <w:sz w:val="24"/>
              </w:rPr>
            </w:pPr>
            <w:r>
              <w:rPr>
                <w:rFonts w:hint="eastAsia"/>
                <w:sz w:val="24"/>
              </w:rPr>
              <w:t>3.7</w:t>
            </w:r>
          </w:p>
        </w:tc>
        <w:bookmarkEnd w:id="92"/>
      </w:tr>
      <w:tr w:rsidR="00A0693D" w:rsidTr="00D843BC">
        <w:trPr>
          <w:cantSplit/>
          <w:trHeight w:val="306"/>
          <w:jc w:val="center"/>
        </w:trPr>
        <w:tc>
          <w:tcPr>
            <w:tcW w:w="640" w:type="dxa"/>
            <w:vMerge/>
            <w:shd w:val="clear" w:color="auto" w:fill="auto"/>
            <w:vAlign w:val="center"/>
          </w:tcPr>
          <w:p w:rsidR="00A0693D" w:rsidRDefault="00A0693D" w:rsidP="00D843BC">
            <w:pPr>
              <w:spacing w:line="360" w:lineRule="auto"/>
              <w:rPr>
                <w:sz w:val="24"/>
              </w:rPr>
            </w:pPr>
          </w:p>
        </w:tc>
        <w:tc>
          <w:tcPr>
            <w:tcW w:w="1342" w:type="dxa"/>
            <w:shd w:val="clear" w:color="auto" w:fill="CCFFCC"/>
            <w:vAlign w:val="bottom"/>
          </w:tcPr>
          <w:p w:rsidR="00A0693D" w:rsidRDefault="00A0693D" w:rsidP="00D843BC">
            <w:pPr>
              <w:spacing w:line="360" w:lineRule="auto"/>
              <w:rPr>
                <w:sz w:val="24"/>
              </w:rPr>
            </w:pPr>
            <w:r>
              <w:rPr>
                <w:sz w:val="24"/>
              </w:rPr>
              <w:t>CPI (year-on-year, %)</w:t>
            </w:r>
          </w:p>
        </w:tc>
        <w:tc>
          <w:tcPr>
            <w:tcW w:w="600" w:type="dxa"/>
            <w:shd w:val="clear" w:color="auto" w:fill="CCFFCC"/>
            <w:vAlign w:val="center"/>
          </w:tcPr>
          <w:p w:rsidR="00A0693D" w:rsidRDefault="00A0693D" w:rsidP="00D843BC">
            <w:pPr>
              <w:spacing w:line="360" w:lineRule="auto"/>
              <w:rPr>
                <w:sz w:val="24"/>
              </w:rPr>
            </w:pPr>
            <w:r>
              <w:rPr>
                <w:rFonts w:hint="eastAsia"/>
                <w:sz w:val="24"/>
              </w:rPr>
              <w:t>1.7</w:t>
            </w:r>
          </w:p>
        </w:tc>
        <w:tc>
          <w:tcPr>
            <w:tcW w:w="600" w:type="dxa"/>
            <w:shd w:val="clear" w:color="auto" w:fill="CCFFCC"/>
            <w:vAlign w:val="center"/>
          </w:tcPr>
          <w:p w:rsidR="00A0693D" w:rsidRDefault="00A0693D" w:rsidP="00D843BC">
            <w:pPr>
              <w:spacing w:line="360" w:lineRule="auto"/>
              <w:rPr>
                <w:sz w:val="24"/>
              </w:rPr>
            </w:pPr>
            <w:r>
              <w:rPr>
                <w:sz w:val="24"/>
              </w:rPr>
              <w:t>1.9</w:t>
            </w:r>
          </w:p>
        </w:tc>
        <w:tc>
          <w:tcPr>
            <w:tcW w:w="540" w:type="dxa"/>
            <w:shd w:val="clear" w:color="auto" w:fill="CCFFCC"/>
            <w:vAlign w:val="center"/>
          </w:tcPr>
          <w:p w:rsidR="00A0693D" w:rsidRDefault="00A0693D" w:rsidP="00D843BC">
            <w:pPr>
              <w:spacing w:line="360" w:lineRule="auto"/>
              <w:rPr>
                <w:sz w:val="24"/>
              </w:rPr>
            </w:pPr>
            <w:r>
              <w:rPr>
                <w:rFonts w:hint="eastAsia"/>
                <w:sz w:val="24"/>
              </w:rPr>
              <w:t>2.2</w:t>
            </w:r>
          </w:p>
        </w:tc>
        <w:tc>
          <w:tcPr>
            <w:tcW w:w="584" w:type="dxa"/>
            <w:shd w:val="clear" w:color="auto" w:fill="CCFFCC"/>
            <w:vAlign w:val="center"/>
          </w:tcPr>
          <w:p w:rsidR="00A0693D" w:rsidRDefault="00A0693D" w:rsidP="00D843BC">
            <w:pPr>
              <w:spacing w:line="360" w:lineRule="auto"/>
              <w:rPr>
                <w:sz w:val="24"/>
              </w:rPr>
            </w:pPr>
            <w:r>
              <w:rPr>
                <w:rFonts w:hint="eastAsia"/>
                <w:sz w:val="24"/>
              </w:rPr>
              <w:t>2.0</w:t>
            </w:r>
          </w:p>
        </w:tc>
        <w:tc>
          <w:tcPr>
            <w:tcW w:w="567" w:type="dxa"/>
            <w:shd w:val="clear" w:color="auto" w:fill="CCFFCC"/>
            <w:vAlign w:val="center"/>
          </w:tcPr>
          <w:p w:rsidR="00A0693D" w:rsidRDefault="00A0693D" w:rsidP="00D843BC">
            <w:pPr>
              <w:spacing w:line="360" w:lineRule="auto"/>
              <w:rPr>
                <w:sz w:val="24"/>
              </w:rPr>
            </w:pPr>
            <w:r>
              <w:rPr>
                <w:rFonts w:hint="eastAsia"/>
                <w:sz w:val="24"/>
              </w:rPr>
              <w:t>2.2</w:t>
            </w:r>
          </w:p>
        </w:tc>
        <w:tc>
          <w:tcPr>
            <w:tcW w:w="499" w:type="dxa"/>
            <w:shd w:val="clear" w:color="auto" w:fill="CCFFCC"/>
            <w:vAlign w:val="center"/>
          </w:tcPr>
          <w:p w:rsidR="00A0693D" w:rsidRDefault="00A0693D" w:rsidP="00D843BC">
            <w:pPr>
              <w:spacing w:line="360" w:lineRule="auto"/>
              <w:rPr>
                <w:sz w:val="24"/>
              </w:rPr>
            </w:pPr>
            <w:r>
              <w:rPr>
                <w:sz w:val="24"/>
              </w:rPr>
              <w:t>2.</w:t>
            </w:r>
            <w:r>
              <w:rPr>
                <w:rFonts w:hint="eastAsia"/>
                <w:sz w:val="24"/>
              </w:rPr>
              <w:t>1</w:t>
            </w:r>
          </w:p>
        </w:tc>
        <w:tc>
          <w:tcPr>
            <w:tcW w:w="567" w:type="dxa"/>
            <w:shd w:val="clear" w:color="auto" w:fill="CCFFCC"/>
            <w:vAlign w:val="center"/>
          </w:tcPr>
          <w:p w:rsidR="00A0693D" w:rsidRDefault="00A0693D" w:rsidP="00D843BC">
            <w:pPr>
              <w:spacing w:line="360" w:lineRule="auto"/>
              <w:rPr>
                <w:sz w:val="24"/>
              </w:rPr>
            </w:pPr>
            <w:r>
              <w:rPr>
                <w:sz w:val="24"/>
              </w:rPr>
              <w:t>2.</w:t>
            </w:r>
            <w:r>
              <w:rPr>
                <w:rFonts w:hint="eastAsia"/>
                <w:sz w:val="24"/>
              </w:rPr>
              <w:t>1</w:t>
            </w:r>
          </w:p>
        </w:tc>
        <w:tc>
          <w:tcPr>
            <w:tcW w:w="567" w:type="dxa"/>
            <w:shd w:val="clear" w:color="auto" w:fill="CCFFCC"/>
            <w:vAlign w:val="center"/>
          </w:tcPr>
          <w:p w:rsidR="00A0693D" w:rsidRDefault="00A0693D" w:rsidP="00D843BC">
            <w:pPr>
              <w:spacing w:line="360" w:lineRule="auto"/>
              <w:rPr>
                <w:sz w:val="24"/>
              </w:rPr>
            </w:pPr>
            <w:r>
              <w:rPr>
                <w:sz w:val="24"/>
              </w:rPr>
              <w:t>2.2</w:t>
            </w:r>
          </w:p>
        </w:tc>
        <w:tc>
          <w:tcPr>
            <w:tcW w:w="544" w:type="dxa"/>
            <w:shd w:val="clear" w:color="auto" w:fill="CCFFCC"/>
            <w:vAlign w:val="center"/>
          </w:tcPr>
          <w:p w:rsidR="00A0693D" w:rsidRDefault="00A0693D" w:rsidP="00D843BC">
            <w:pPr>
              <w:spacing w:line="360" w:lineRule="auto"/>
              <w:rPr>
                <w:sz w:val="24"/>
              </w:rPr>
            </w:pPr>
            <w:r>
              <w:rPr>
                <w:sz w:val="24"/>
              </w:rPr>
              <w:t>2.</w:t>
            </w:r>
            <w:r>
              <w:rPr>
                <w:rFonts w:hint="eastAsia"/>
                <w:sz w:val="24"/>
              </w:rPr>
              <w:t>4</w:t>
            </w:r>
          </w:p>
        </w:tc>
        <w:tc>
          <w:tcPr>
            <w:tcW w:w="495" w:type="dxa"/>
            <w:shd w:val="clear" w:color="auto" w:fill="CCFFCC"/>
            <w:vAlign w:val="center"/>
          </w:tcPr>
          <w:p w:rsidR="00A0693D" w:rsidRDefault="00A0693D" w:rsidP="00D843BC">
            <w:pPr>
              <w:spacing w:line="360" w:lineRule="auto"/>
              <w:rPr>
                <w:sz w:val="24"/>
              </w:rPr>
            </w:pPr>
            <w:r>
              <w:rPr>
                <w:sz w:val="24"/>
              </w:rPr>
              <w:t>2.</w:t>
            </w:r>
            <w:r>
              <w:rPr>
                <w:rFonts w:hint="eastAsia"/>
                <w:sz w:val="24"/>
              </w:rPr>
              <w:t>5</w:t>
            </w:r>
          </w:p>
        </w:tc>
        <w:tc>
          <w:tcPr>
            <w:tcW w:w="567" w:type="dxa"/>
            <w:shd w:val="clear" w:color="auto" w:fill="CCFFCC"/>
            <w:vAlign w:val="center"/>
          </w:tcPr>
          <w:p w:rsidR="00A0693D" w:rsidRDefault="00A0693D" w:rsidP="00D843BC">
            <w:pPr>
              <w:spacing w:line="360" w:lineRule="auto"/>
              <w:rPr>
                <w:sz w:val="24"/>
              </w:rPr>
            </w:pPr>
            <w:r>
              <w:rPr>
                <w:sz w:val="24"/>
              </w:rPr>
              <w:t>2.</w:t>
            </w:r>
            <w:r>
              <w:rPr>
                <w:rFonts w:hint="eastAsia"/>
                <w:sz w:val="24"/>
              </w:rPr>
              <w:t>8</w:t>
            </w:r>
          </w:p>
        </w:tc>
        <w:tc>
          <w:tcPr>
            <w:tcW w:w="498" w:type="dxa"/>
            <w:shd w:val="clear" w:color="auto" w:fill="CCFFCC"/>
            <w:vAlign w:val="center"/>
          </w:tcPr>
          <w:p w:rsidR="00A0693D" w:rsidRDefault="00A0693D" w:rsidP="00D843BC">
            <w:pPr>
              <w:spacing w:line="360" w:lineRule="auto"/>
              <w:rPr>
                <w:sz w:val="24"/>
              </w:rPr>
            </w:pPr>
            <w:r>
              <w:rPr>
                <w:sz w:val="24"/>
              </w:rPr>
              <w:t>2.</w:t>
            </w:r>
            <w:r>
              <w:rPr>
                <w:rFonts w:hint="eastAsia"/>
                <w:sz w:val="24"/>
              </w:rPr>
              <w:t>9</w:t>
            </w:r>
          </w:p>
        </w:tc>
        <w:tc>
          <w:tcPr>
            <w:tcW w:w="510" w:type="dxa"/>
            <w:shd w:val="clear" w:color="auto" w:fill="CCFFCC"/>
            <w:vAlign w:val="center"/>
          </w:tcPr>
          <w:p w:rsidR="00A0693D" w:rsidRDefault="00A0693D" w:rsidP="00D843BC">
            <w:pPr>
              <w:spacing w:line="360" w:lineRule="auto"/>
              <w:rPr>
                <w:sz w:val="24"/>
              </w:rPr>
            </w:pPr>
            <w:r>
              <w:rPr>
                <w:sz w:val="24"/>
              </w:rPr>
              <w:t>2.</w:t>
            </w:r>
            <w:r>
              <w:rPr>
                <w:rFonts w:hint="eastAsia"/>
                <w:sz w:val="24"/>
              </w:rPr>
              <w:t>9</w:t>
            </w:r>
          </w:p>
        </w:tc>
        <w:tc>
          <w:tcPr>
            <w:tcW w:w="495" w:type="dxa"/>
            <w:shd w:val="clear" w:color="auto" w:fill="CCFFCC"/>
            <w:vAlign w:val="center"/>
          </w:tcPr>
          <w:p w:rsidR="00A0693D" w:rsidRDefault="00A0693D" w:rsidP="00D843BC">
            <w:pPr>
              <w:spacing w:line="360" w:lineRule="auto"/>
              <w:rPr>
                <w:sz w:val="24"/>
              </w:rPr>
            </w:pPr>
            <w:r>
              <w:rPr>
                <w:sz w:val="24"/>
              </w:rPr>
              <w:t>2.</w:t>
            </w:r>
            <w:r>
              <w:rPr>
                <w:rFonts w:hint="eastAsia"/>
                <w:sz w:val="24"/>
              </w:rPr>
              <w:t>7</w:t>
            </w:r>
          </w:p>
        </w:tc>
        <w:tc>
          <w:tcPr>
            <w:tcW w:w="538" w:type="dxa"/>
            <w:shd w:val="clear" w:color="auto" w:fill="CCFFCC"/>
            <w:vAlign w:val="center"/>
          </w:tcPr>
          <w:p w:rsidR="00A0693D" w:rsidRDefault="00A0693D" w:rsidP="00D843BC">
            <w:pPr>
              <w:spacing w:line="360" w:lineRule="auto"/>
              <w:rPr>
                <w:sz w:val="24"/>
              </w:rPr>
            </w:pPr>
            <w:r>
              <w:rPr>
                <w:sz w:val="24"/>
              </w:rPr>
              <w:t>2.</w:t>
            </w:r>
            <w:r>
              <w:rPr>
                <w:rFonts w:hint="eastAsia"/>
                <w:sz w:val="24"/>
              </w:rPr>
              <w:t>3</w:t>
            </w:r>
          </w:p>
        </w:tc>
      </w:tr>
      <w:tr w:rsidR="00A0693D" w:rsidTr="00D843BC">
        <w:trPr>
          <w:cantSplit/>
          <w:trHeight w:val="1183"/>
          <w:jc w:val="center"/>
        </w:trPr>
        <w:tc>
          <w:tcPr>
            <w:tcW w:w="640" w:type="dxa"/>
            <w:vMerge/>
            <w:vAlign w:val="center"/>
          </w:tcPr>
          <w:p w:rsidR="00A0693D" w:rsidRDefault="00A0693D" w:rsidP="00D843BC">
            <w:pPr>
              <w:spacing w:line="360" w:lineRule="auto"/>
              <w:rPr>
                <w:sz w:val="24"/>
              </w:rPr>
            </w:pPr>
          </w:p>
        </w:tc>
        <w:tc>
          <w:tcPr>
            <w:tcW w:w="1342" w:type="dxa"/>
            <w:vAlign w:val="bottom"/>
          </w:tcPr>
          <w:p w:rsidR="00A0693D" w:rsidRDefault="00A0693D" w:rsidP="00D843BC">
            <w:pPr>
              <w:spacing w:line="360" w:lineRule="auto"/>
              <w:rPr>
                <w:sz w:val="24"/>
              </w:rPr>
            </w:pPr>
            <w:r>
              <w:rPr>
                <w:sz w:val="24"/>
              </w:rPr>
              <w:t>DJ Industrial Average (end of the period)</w:t>
            </w:r>
          </w:p>
        </w:tc>
        <w:tc>
          <w:tcPr>
            <w:tcW w:w="600" w:type="dxa"/>
            <w:vAlign w:val="center"/>
          </w:tcPr>
          <w:p w:rsidR="00A0693D" w:rsidRDefault="00A0693D" w:rsidP="00D843BC">
            <w:pPr>
              <w:spacing w:line="360" w:lineRule="auto"/>
              <w:rPr>
                <w:sz w:val="24"/>
              </w:rPr>
            </w:pPr>
            <w:bookmarkStart w:id="93" w:name="OLE_LINK16"/>
            <w:r>
              <w:rPr>
                <w:rFonts w:hint="eastAsia"/>
                <w:sz w:val="24"/>
              </w:rPr>
              <w:t>21891</w:t>
            </w:r>
          </w:p>
        </w:tc>
        <w:tc>
          <w:tcPr>
            <w:tcW w:w="600" w:type="dxa"/>
            <w:vAlign w:val="center"/>
          </w:tcPr>
          <w:p w:rsidR="00A0693D" w:rsidRDefault="00A0693D" w:rsidP="00D843BC">
            <w:pPr>
              <w:spacing w:line="360" w:lineRule="auto"/>
              <w:rPr>
                <w:sz w:val="24"/>
              </w:rPr>
            </w:pPr>
            <w:r>
              <w:rPr>
                <w:rFonts w:hint="eastAsia"/>
                <w:sz w:val="24"/>
              </w:rPr>
              <w:t>21948</w:t>
            </w:r>
          </w:p>
        </w:tc>
        <w:tc>
          <w:tcPr>
            <w:tcW w:w="540" w:type="dxa"/>
            <w:vAlign w:val="center"/>
          </w:tcPr>
          <w:p w:rsidR="00A0693D" w:rsidRDefault="00A0693D" w:rsidP="00D843BC">
            <w:pPr>
              <w:spacing w:line="360" w:lineRule="auto"/>
              <w:rPr>
                <w:sz w:val="24"/>
              </w:rPr>
            </w:pPr>
            <w:r>
              <w:rPr>
                <w:rFonts w:hint="eastAsia"/>
                <w:sz w:val="24"/>
              </w:rPr>
              <w:t>22405</w:t>
            </w:r>
          </w:p>
        </w:tc>
        <w:bookmarkEnd w:id="93"/>
        <w:tc>
          <w:tcPr>
            <w:tcW w:w="584" w:type="dxa"/>
            <w:vAlign w:val="center"/>
          </w:tcPr>
          <w:p w:rsidR="00A0693D" w:rsidRDefault="00A0693D" w:rsidP="00D843BC">
            <w:pPr>
              <w:spacing w:line="360" w:lineRule="auto"/>
              <w:rPr>
                <w:sz w:val="24"/>
              </w:rPr>
            </w:pPr>
            <w:r>
              <w:rPr>
                <w:rFonts w:hint="eastAsia"/>
                <w:sz w:val="24"/>
              </w:rPr>
              <w:t>23377</w:t>
            </w:r>
          </w:p>
        </w:tc>
        <w:tc>
          <w:tcPr>
            <w:tcW w:w="567" w:type="dxa"/>
            <w:vAlign w:val="center"/>
          </w:tcPr>
          <w:p w:rsidR="00A0693D" w:rsidRDefault="00A0693D" w:rsidP="00D843BC">
            <w:pPr>
              <w:spacing w:line="360" w:lineRule="auto"/>
              <w:rPr>
                <w:sz w:val="24"/>
              </w:rPr>
            </w:pPr>
            <w:r>
              <w:rPr>
                <w:rFonts w:hint="eastAsia"/>
                <w:sz w:val="24"/>
              </w:rPr>
              <w:t>24272</w:t>
            </w:r>
          </w:p>
        </w:tc>
        <w:tc>
          <w:tcPr>
            <w:tcW w:w="499" w:type="dxa"/>
            <w:vAlign w:val="center"/>
          </w:tcPr>
          <w:p w:rsidR="00A0693D" w:rsidRDefault="00A0693D" w:rsidP="00D843BC">
            <w:pPr>
              <w:spacing w:line="360" w:lineRule="auto"/>
              <w:rPr>
                <w:sz w:val="24"/>
              </w:rPr>
            </w:pPr>
            <w:r>
              <w:rPr>
                <w:rFonts w:hint="eastAsia"/>
                <w:sz w:val="24"/>
              </w:rPr>
              <w:t>24719</w:t>
            </w:r>
          </w:p>
        </w:tc>
        <w:tc>
          <w:tcPr>
            <w:tcW w:w="567" w:type="dxa"/>
            <w:vAlign w:val="center"/>
          </w:tcPr>
          <w:p w:rsidR="00A0693D" w:rsidRDefault="00A0693D" w:rsidP="00D843BC">
            <w:pPr>
              <w:spacing w:line="360" w:lineRule="auto"/>
              <w:rPr>
                <w:sz w:val="24"/>
              </w:rPr>
            </w:pPr>
            <w:r>
              <w:rPr>
                <w:rFonts w:hint="eastAsia"/>
                <w:sz w:val="24"/>
              </w:rPr>
              <w:t>26149</w:t>
            </w:r>
          </w:p>
        </w:tc>
        <w:tc>
          <w:tcPr>
            <w:tcW w:w="567" w:type="dxa"/>
            <w:vAlign w:val="center"/>
          </w:tcPr>
          <w:p w:rsidR="00A0693D" w:rsidRDefault="00A0693D" w:rsidP="00D843BC">
            <w:pPr>
              <w:spacing w:line="360" w:lineRule="auto"/>
              <w:rPr>
                <w:sz w:val="24"/>
              </w:rPr>
            </w:pPr>
            <w:r>
              <w:rPr>
                <w:rFonts w:hint="eastAsia"/>
                <w:sz w:val="24"/>
              </w:rPr>
              <w:t>25029</w:t>
            </w:r>
          </w:p>
        </w:tc>
        <w:tc>
          <w:tcPr>
            <w:tcW w:w="544" w:type="dxa"/>
            <w:vAlign w:val="center"/>
          </w:tcPr>
          <w:p w:rsidR="00A0693D" w:rsidRDefault="00A0693D" w:rsidP="00D843BC">
            <w:pPr>
              <w:spacing w:line="360" w:lineRule="auto"/>
              <w:rPr>
                <w:sz w:val="24"/>
              </w:rPr>
            </w:pPr>
            <w:r>
              <w:rPr>
                <w:rFonts w:hint="eastAsia"/>
                <w:sz w:val="24"/>
              </w:rPr>
              <w:t>24103</w:t>
            </w:r>
          </w:p>
        </w:tc>
        <w:tc>
          <w:tcPr>
            <w:tcW w:w="495" w:type="dxa"/>
            <w:vAlign w:val="center"/>
          </w:tcPr>
          <w:p w:rsidR="00A0693D" w:rsidRDefault="00A0693D" w:rsidP="00D843BC">
            <w:pPr>
              <w:spacing w:line="360" w:lineRule="auto"/>
              <w:rPr>
                <w:sz w:val="24"/>
              </w:rPr>
            </w:pPr>
            <w:r>
              <w:rPr>
                <w:rFonts w:hint="eastAsia"/>
                <w:sz w:val="24"/>
              </w:rPr>
              <w:t>24163</w:t>
            </w:r>
          </w:p>
        </w:tc>
        <w:tc>
          <w:tcPr>
            <w:tcW w:w="567" w:type="dxa"/>
            <w:vAlign w:val="center"/>
          </w:tcPr>
          <w:p w:rsidR="00A0693D" w:rsidRDefault="00A0693D" w:rsidP="00D843BC">
            <w:pPr>
              <w:spacing w:line="360" w:lineRule="auto"/>
              <w:rPr>
                <w:sz w:val="24"/>
              </w:rPr>
            </w:pPr>
            <w:r>
              <w:rPr>
                <w:rFonts w:hint="eastAsia"/>
                <w:sz w:val="24"/>
              </w:rPr>
              <w:t>24416</w:t>
            </w:r>
          </w:p>
        </w:tc>
        <w:tc>
          <w:tcPr>
            <w:tcW w:w="498" w:type="dxa"/>
            <w:vAlign w:val="center"/>
          </w:tcPr>
          <w:p w:rsidR="00A0693D" w:rsidRDefault="00A0693D" w:rsidP="00D843BC">
            <w:pPr>
              <w:spacing w:line="360" w:lineRule="auto"/>
              <w:rPr>
                <w:sz w:val="24"/>
              </w:rPr>
            </w:pPr>
            <w:r>
              <w:rPr>
                <w:rFonts w:hint="eastAsia"/>
                <w:sz w:val="24"/>
              </w:rPr>
              <w:t>24271</w:t>
            </w:r>
          </w:p>
        </w:tc>
        <w:tc>
          <w:tcPr>
            <w:tcW w:w="510" w:type="dxa"/>
            <w:vAlign w:val="center"/>
          </w:tcPr>
          <w:p w:rsidR="00A0693D" w:rsidRDefault="00A0693D" w:rsidP="00D843BC">
            <w:pPr>
              <w:spacing w:line="360" w:lineRule="auto"/>
              <w:rPr>
                <w:sz w:val="24"/>
              </w:rPr>
            </w:pPr>
            <w:r>
              <w:rPr>
                <w:rFonts w:hint="eastAsia"/>
                <w:sz w:val="24"/>
              </w:rPr>
              <w:t>25415</w:t>
            </w:r>
          </w:p>
        </w:tc>
        <w:tc>
          <w:tcPr>
            <w:tcW w:w="495" w:type="dxa"/>
            <w:vAlign w:val="center"/>
          </w:tcPr>
          <w:p w:rsidR="00A0693D" w:rsidRDefault="00A0693D" w:rsidP="00D843BC">
            <w:pPr>
              <w:spacing w:line="360" w:lineRule="auto"/>
              <w:rPr>
                <w:sz w:val="24"/>
              </w:rPr>
            </w:pPr>
            <w:r>
              <w:rPr>
                <w:rFonts w:hint="eastAsia"/>
                <w:sz w:val="24"/>
              </w:rPr>
              <w:t>25965</w:t>
            </w:r>
          </w:p>
        </w:tc>
        <w:tc>
          <w:tcPr>
            <w:tcW w:w="538" w:type="dxa"/>
            <w:vAlign w:val="center"/>
          </w:tcPr>
          <w:p w:rsidR="00A0693D" w:rsidRDefault="00A0693D" w:rsidP="00D843BC">
            <w:pPr>
              <w:spacing w:line="360" w:lineRule="auto"/>
              <w:rPr>
                <w:sz w:val="24"/>
              </w:rPr>
            </w:pPr>
            <w:r>
              <w:rPr>
                <w:rFonts w:hint="eastAsia"/>
                <w:sz w:val="24"/>
              </w:rPr>
              <w:t>26458</w:t>
            </w:r>
          </w:p>
        </w:tc>
      </w:tr>
      <w:tr w:rsidR="00A0693D" w:rsidTr="00D843BC">
        <w:trPr>
          <w:cantSplit/>
          <w:trHeight w:val="363"/>
          <w:jc w:val="center"/>
        </w:trPr>
        <w:tc>
          <w:tcPr>
            <w:tcW w:w="640" w:type="dxa"/>
            <w:vMerge w:val="restart"/>
            <w:textDirection w:val="tbRlV"/>
            <w:vAlign w:val="center"/>
          </w:tcPr>
          <w:p w:rsidR="00A0693D" w:rsidRDefault="00A0693D" w:rsidP="00D843BC">
            <w:pPr>
              <w:spacing w:line="360" w:lineRule="auto"/>
              <w:rPr>
                <w:sz w:val="24"/>
              </w:rPr>
            </w:pPr>
            <w:r>
              <w:rPr>
                <w:sz w:val="24"/>
              </w:rPr>
              <w:t>Euro Area</w:t>
            </w:r>
          </w:p>
        </w:tc>
        <w:tc>
          <w:tcPr>
            <w:tcW w:w="1342" w:type="dxa"/>
            <w:vAlign w:val="bottom"/>
          </w:tcPr>
          <w:p w:rsidR="00A0693D" w:rsidRDefault="00A0693D" w:rsidP="00D843BC">
            <w:pPr>
              <w:spacing w:line="360" w:lineRule="auto"/>
              <w:rPr>
                <w:sz w:val="24"/>
              </w:rPr>
            </w:pPr>
            <w:r>
              <w:rPr>
                <w:sz w:val="24"/>
              </w:rPr>
              <w:t>Real GDP Growth (annualized quarterly rate, %)</w:t>
            </w:r>
          </w:p>
        </w:tc>
        <w:tc>
          <w:tcPr>
            <w:tcW w:w="1740" w:type="dxa"/>
            <w:gridSpan w:val="3"/>
            <w:vAlign w:val="center"/>
          </w:tcPr>
          <w:p w:rsidR="00A0693D" w:rsidRDefault="00A0693D" w:rsidP="00D843BC">
            <w:pPr>
              <w:spacing w:line="360" w:lineRule="auto"/>
              <w:rPr>
                <w:sz w:val="24"/>
              </w:rPr>
            </w:pPr>
            <w:bookmarkStart w:id="94" w:name="OLE_LINK20"/>
            <w:r>
              <w:rPr>
                <w:rFonts w:hint="eastAsia"/>
                <w:sz w:val="24"/>
              </w:rPr>
              <w:t>2.8</w:t>
            </w:r>
          </w:p>
        </w:tc>
        <w:tc>
          <w:tcPr>
            <w:tcW w:w="1650" w:type="dxa"/>
            <w:gridSpan w:val="3"/>
            <w:vAlign w:val="center"/>
          </w:tcPr>
          <w:p w:rsidR="00A0693D" w:rsidRDefault="00A0693D" w:rsidP="00D843BC">
            <w:pPr>
              <w:spacing w:line="360" w:lineRule="auto"/>
              <w:rPr>
                <w:sz w:val="24"/>
              </w:rPr>
            </w:pPr>
            <w:r>
              <w:rPr>
                <w:sz w:val="24"/>
              </w:rPr>
              <w:t>2.</w:t>
            </w:r>
            <w:r>
              <w:rPr>
                <w:rFonts w:hint="eastAsia"/>
                <w:sz w:val="24"/>
              </w:rPr>
              <w:t>7</w:t>
            </w:r>
          </w:p>
        </w:tc>
        <w:tc>
          <w:tcPr>
            <w:tcW w:w="1678" w:type="dxa"/>
            <w:gridSpan w:val="3"/>
            <w:vAlign w:val="center"/>
          </w:tcPr>
          <w:p w:rsidR="00A0693D" w:rsidRDefault="00A0693D" w:rsidP="00D843BC">
            <w:pPr>
              <w:spacing w:line="360" w:lineRule="auto"/>
              <w:rPr>
                <w:sz w:val="24"/>
              </w:rPr>
            </w:pPr>
            <w:r>
              <w:rPr>
                <w:sz w:val="24"/>
              </w:rPr>
              <w:t>2.</w:t>
            </w:r>
            <w:r>
              <w:rPr>
                <w:rFonts w:hint="eastAsia"/>
                <w:sz w:val="24"/>
              </w:rPr>
              <w:t>4</w:t>
            </w:r>
          </w:p>
        </w:tc>
        <w:bookmarkEnd w:id="94"/>
        <w:tc>
          <w:tcPr>
            <w:tcW w:w="1560" w:type="dxa"/>
            <w:gridSpan w:val="3"/>
            <w:vAlign w:val="center"/>
          </w:tcPr>
          <w:p w:rsidR="00A0693D" w:rsidRDefault="00A0693D" w:rsidP="00D843BC">
            <w:pPr>
              <w:spacing w:line="360" w:lineRule="auto"/>
              <w:rPr>
                <w:sz w:val="24"/>
              </w:rPr>
            </w:pPr>
            <w:r>
              <w:rPr>
                <w:sz w:val="24"/>
              </w:rPr>
              <w:t>2.</w:t>
            </w:r>
            <w:r>
              <w:rPr>
                <w:rFonts w:hint="eastAsia"/>
                <w:sz w:val="24"/>
              </w:rPr>
              <w:t>2</w:t>
            </w:r>
          </w:p>
        </w:tc>
        <w:tc>
          <w:tcPr>
            <w:tcW w:w="1543" w:type="dxa"/>
            <w:gridSpan w:val="3"/>
            <w:vAlign w:val="center"/>
          </w:tcPr>
          <w:p w:rsidR="00A0693D" w:rsidRDefault="00A0693D" w:rsidP="00D843BC">
            <w:pPr>
              <w:spacing w:line="360" w:lineRule="auto"/>
              <w:rPr>
                <w:sz w:val="24"/>
              </w:rPr>
            </w:pPr>
            <w:r>
              <w:rPr>
                <w:rFonts w:hint="eastAsia"/>
                <w:sz w:val="24"/>
              </w:rPr>
              <w:t>1.7</w:t>
            </w:r>
          </w:p>
        </w:tc>
      </w:tr>
      <w:tr w:rsidR="00A0693D" w:rsidTr="00D843BC">
        <w:trPr>
          <w:cantSplit/>
          <w:trHeight w:val="363"/>
          <w:jc w:val="center"/>
        </w:trPr>
        <w:tc>
          <w:tcPr>
            <w:tcW w:w="640" w:type="dxa"/>
            <w:vMerge/>
            <w:shd w:val="clear" w:color="auto" w:fill="auto"/>
            <w:vAlign w:val="center"/>
          </w:tcPr>
          <w:p w:rsidR="00A0693D" w:rsidRDefault="00A0693D" w:rsidP="00D843BC">
            <w:pPr>
              <w:spacing w:line="360" w:lineRule="auto"/>
              <w:rPr>
                <w:sz w:val="24"/>
              </w:rPr>
            </w:pPr>
          </w:p>
        </w:tc>
        <w:tc>
          <w:tcPr>
            <w:tcW w:w="1342" w:type="dxa"/>
            <w:shd w:val="clear" w:color="auto" w:fill="CCFFCC"/>
            <w:vAlign w:val="bottom"/>
          </w:tcPr>
          <w:p w:rsidR="00A0693D" w:rsidRDefault="00A0693D" w:rsidP="00D843BC">
            <w:pPr>
              <w:spacing w:line="360" w:lineRule="auto"/>
              <w:rPr>
                <w:sz w:val="24"/>
              </w:rPr>
            </w:pPr>
            <w:r>
              <w:rPr>
                <w:sz w:val="24"/>
              </w:rPr>
              <w:t>Unemployment Rate (%)</w:t>
            </w:r>
          </w:p>
        </w:tc>
        <w:tc>
          <w:tcPr>
            <w:tcW w:w="600" w:type="dxa"/>
            <w:shd w:val="clear" w:color="auto" w:fill="CCFFCC"/>
            <w:vAlign w:val="center"/>
          </w:tcPr>
          <w:p w:rsidR="00A0693D" w:rsidRDefault="00A0693D" w:rsidP="00D843BC">
            <w:pPr>
              <w:spacing w:line="360" w:lineRule="auto"/>
              <w:rPr>
                <w:sz w:val="24"/>
              </w:rPr>
            </w:pPr>
            <w:bookmarkStart w:id="95" w:name="OLE_LINK21"/>
            <w:r>
              <w:rPr>
                <w:sz w:val="24"/>
              </w:rPr>
              <w:t>9.</w:t>
            </w:r>
            <w:r>
              <w:rPr>
                <w:rFonts w:hint="eastAsia"/>
                <w:sz w:val="24"/>
              </w:rPr>
              <w:t>1</w:t>
            </w:r>
          </w:p>
        </w:tc>
        <w:tc>
          <w:tcPr>
            <w:tcW w:w="600" w:type="dxa"/>
            <w:shd w:val="clear" w:color="auto" w:fill="CCFFCC"/>
            <w:vAlign w:val="center"/>
          </w:tcPr>
          <w:p w:rsidR="00A0693D" w:rsidRDefault="00A0693D" w:rsidP="00D843BC">
            <w:pPr>
              <w:spacing w:line="360" w:lineRule="auto"/>
              <w:rPr>
                <w:sz w:val="24"/>
              </w:rPr>
            </w:pPr>
            <w:r>
              <w:rPr>
                <w:sz w:val="24"/>
              </w:rPr>
              <w:t>9.</w:t>
            </w:r>
            <w:r>
              <w:rPr>
                <w:rFonts w:hint="eastAsia"/>
                <w:sz w:val="24"/>
              </w:rPr>
              <w:t>0</w:t>
            </w:r>
          </w:p>
        </w:tc>
        <w:tc>
          <w:tcPr>
            <w:tcW w:w="540" w:type="dxa"/>
            <w:shd w:val="clear" w:color="auto" w:fill="CCFFCC"/>
            <w:vAlign w:val="center"/>
          </w:tcPr>
          <w:p w:rsidR="00A0693D" w:rsidRDefault="00A0693D" w:rsidP="00D843BC">
            <w:pPr>
              <w:spacing w:line="360" w:lineRule="auto"/>
              <w:rPr>
                <w:sz w:val="24"/>
              </w:rPr>
            </w:pPr>
            <w:r>
              <w:rPr>
                <w:rFonts w:hint="eastAsia"/>
                <w:sz w:val="24"/>
              </w:rPr>
              <w:t>8</w:t>
            </w:r>
            <w:r>
              <w:rPr>
                <w:sz w:val="24"/>
              </w:rPr>
              <w:t>.</w:t>
            </w:r>
            <w:r>
              <w:rPr>
                <w:rFonts w:hint="eastAsia"/>
                <w:sz w:val="24"/>
              </w:rPr>
              <w:t>9</w:t>
            </w:r>
          </w:p>
        </w:tc>
        <w:bookmarkEnd w:id="95"/>
        <w:tc>
          <w:tcPr>
            <w:tcW w:w="584" w:type="dxa"/>
            <w:shd w:val="clear" w:color="auto" w:fill="CCFFCC"/>
            <w:vAlign w:val="center"/>
          </w:tcPr>
          <w:p w:rsidR="00A0693D" w:rsidRDefault="00A0693D" w:rsidP="00D843BC">
            <w:pPr>
              <w:spacing w:line="360" w:lineRule="auto"/>
              <w:rPr>
                <w:sz w:val="24"/>
              </w:rPr>
            </w:pPr>
            <w:r>
              <w:rPr>
                <w:rFonts w:hint="eastAsia"/>
                <w:sz w:val="24"/>
              </w:rPr>
              <w:t>8</w:t>
            </w:r>
            <w:r>
              <w:rPr>
                <w:sz w:val="24"/>
              </w:rPr>
              <w:t>.</w:t>
            </w:r>
            <w:r>
              <w:rPr>
                <w:rFonts w:hint="eastAsia"/>
                <w:sz w:val="24"/>
              </w:rPr>
              <w:t>8</w:t>
            </w:r>
          </w:p>
        </w:tc>
        <w:tc>
          <w:tcPr>
            <w:tcW w:w="567" w:type="dxa"/>
            <w:shd w:val="clear" w:color="auto" w:fill="CCFFCC"/>
            <w:vAlign w:val="center"/>
          </w:tcPr>
          <w:p w:rsidR="00A0693D" w:rsidRDefault="00A0693D" w:rsidP="00D843BC">
            <w:pPr>
              <w:spacing w:line="360" w:lineRule="auto"/>
              <w:rPr>
                <w:sz w:val="24"/>
              </w:rPr>
            </w:pPr>
            <w:r>
              <w:rPr>
                <w:rFonts w:hint="eastAsia"/>
                <w:sz w:val="24"/>
              </w:rPr>
              <w:t>8</w:t>
            </w:r>
            <w:r>
              <w:rPr>
                <w:sz w:val="24"/>
              </w:rPr>
              <w:t>.</w:t>
            </w:r>
            <w:r>
              <w:rPr>
                <w:rFonts w:hint="eastAsia"/>
                <w:sz w:val="24"/>
              </w:rPr>
              <w:t>7</w:t>
            </w:r>
          </w:p>
        </w:tc>
        <w:tc>
          <w:tcPr>
            <w:tcW w:w="499" w:type="dxa"/>
            <w:shd w:val="clear" w:color="auto" w:fill="CCFFCC"/>
            <w:vAlign w:val="center"/>
          </w:tcPr>
          <w:p w:rsidR="00A0693D" w:rsidRDefault="00A0693D" w:rsidP="00D843BC">
            <w:pPr>
              <w:spacing w:line="360" w:lineRule="auto"/>
              <w:rPr>
                <w:sz w:val="24"/>
              </w:rPr>
            </w:pPr>
            <w:r>
              <w:rPr>
                <w:sz w:val="24"/>
              </w:rPr>
              <w:t>8.</w:t>
            </w:r>
            <w:r>
              <w:rPr>
                <w:rFonts w:hint="eastAsia"/>
                <w:sz w:val="24"/>
              </w:rPr>
              <w:t>6</w:t>
            </w:r>
          </w:p>
        </w:tc>
        <w:tc>
          <w:tcPr>
            <w:tcW w:w="567" w:type="dxa"/>
            <w:shd w:val="clear" w:color="auto" w:fill="CCFFCC"/>
            <w:vAlign w:val="center"/>
          </w:tcPr>
          <w:p w:rsidR="00A0693D" w:rsidRDefault="00A0693D" w:rsidP="00D843BC">
            <w:pPr>
              <w:spacing w:line="360" w:lineRule="auto"/>
              <w:rPr>
                <w:sz w:val="24"/>
              </w:rPr>
            </w:pPr>
            <w:bookmarkStart w:id="96" w:name="OLE_LINK23"/>
            <w:r>
              <w:rPr>
                <w:sz w:val="24"/>
              </w:rPr>
              <w:t>8.</w:t>
            </w:r>
            <w:r>
              <w:rPr>
                <w:rFonts w:hint="eastAsia"/>
                <w:sz w:val="24"/>
              </w:rPr>
              <w:t>6</w:t>
            </w:r>
          </w:p>
        </w:tc>
        <w:tc>
          <w:tcPr>
            <w:tcW w:w="567" w:type="dxa"/>
            <w:shd w:val="clear" w:color="auto" w:fill="CCFFCC"/>
            <w:vAlign w:val="center"/>
          </w:tcPr>
          <w:p w:rsidR="00A0693D" w:rsidRDefault="00A0693D" w:rsidP="00D843BC">
            <w:pPr>
              <w:spacing w:line="360" w:lineRule="auto"/>
              <w:rPr>
                <w:sz w:val="24"/>
              </w:rPr>
            </w:pPr>
            <w:r>
              <w:rPr>
                <w:sz w:val="24"/>
              </w:rPr>
              <w:t>8.</w:t>
            </w:r>
            <w:r>
              <w:rPr>
                <w:rFonts w:hint="eastAsia"/>
                <w:sz w:val="24"/>
              </w:rPr>
              <w:t>5</w:t>
            </w:r>
          </w:p>
        </w:tc>
        <w:tc>
          <w:tcPr>
            <w:tcW w:w="544" w:type="dxa"/>
            <w:shd w:val="clear" w:color="auto" w:fill="CCFFCC"/>
            <w:vAlign w:val="center"/>
          </w:tcPr>
          <w:p w:rsidR="00A0693D" w:rsidRDefault="00A0693D" w:rsidP="00D843BC">
            <w:pPr>
              <w:spacing w:line="360" w:lineRule="auto"/>
              <w:rPr>
                <w:sz w:val="24"/>
              </w:rPr>
            </w:pPr>
            <w:r>
              <w:rPr>
                <w:sz w:val="24"/>
              </w:rPr>
              <w:t>8.</w:t>
            </w:r>
            <w:r>
              <w:rPr>
                <w:rFonts w:hint="eastAsia"/>
                <w:sz w:val="24"/>
              </w:rPr>
              <w:t>5</w:t>
            </w:r>
          </w:p>
        </w:tc>
        <w:bookmarkEnd w:id="96"/>
        <w:tc>
          <w:tcPr>
            <w:tcW w:w="495" w:type="dxa"/>
            <w:shd w:val="clear" w:color="auto" w:fill="CCFFCC"/>
            <w:vAlign w:val="center"/>
          </w:tcPr>
          <w:p w:rsidR="00A0693D" w:rsidRDefault="00A0693D" w:rsidP="00D843BC">
            <w:pPr>
              <w:spacing w:line="360" w:lineRule="auto"/>
              <w:rPr>
                <w:sz w:val="24"/>
              </w:rPr>
            </w:pPr>
            <w:r>
              <w:rPr>
                <w:sz w:val="24"/>
              </w:rPr>
              <w:t>8.</w:t>
            </w:r>
            <w:r>
              <w:rPr>
                <w:rFonts w:hint="eastAsia"/>
                <w:sz w:val="24"/>
              </w:rPr>
              <w:t>4</w:t>
            </w:r>
          </w:p>
        </w:tc>
        <w:tc>
          <w:tcPr>
            <w:tcW w:w="567" w:type="dxa"/>
            <w:shd w:val="clear" w:color="auto" w:fill="CCFFCC"/>
            <w:vAlign w:val="center"/>
          </w:tcPr>
          <w:p w:rsidR="00A0693D" w:rsidRDefault="00A0693D" w:rsidP="00D843BC">
            <w:pPr>
              <w:spacing w:line="360" w:lineRule="auto"/>
              <w:rPr>
                <w:sz w:val="24"/>
              </w:rPr>
            </w:pPr>
            <w:r>
              <w:rPr>
                <w:sz w:val="24"/>
              </w:rPr>
              <w:t>8.</w:t>
            </w:r>
            <w:r>
              <w:rPr>
                <w:rFonts w:hint="eastAsia"/>
                <w:sz w:val="24"/>
              </w:rPr>
              <w:t>2</w:t>
            </w:r>
          </w:p>
        </w:tc>
        <w:tc>
          <w:tcPr>
            <w:tcW w:w="498" w:type="dxa"/>
            <w:shd w:val="clear" w:color="auto" w:fill="CCFFCC"/>
            <w:vAlign w:val="center"/>
          </w:tcPr>
          <w:p w:rsidR="00A0693D" w:rsidRDefault="00A0693D" w:rsidP="00D843BC">
            <w:pPr>
              <w:spacing w:line="360" w:lineRule="auto"/>
              <w:rPr>
                <w:sz w:val="24"/>
              </w:rPr>
            </w:pPr>
            <w:r>
              <w:rPr>
                <w:sz w:val="24"/>
              </w:rPr>
              <w:t>8.</w:t>
            </w:r>
            <w:r>
              <w:rPr>
                <w:rFonts w:hint="eastAsia"/>
                <w:sz w:val="24"/>
              </w:rPr>
              <w:t>2</w:t>
            </w:r>
          </w:p>
        </w:tc>
        <w:tc>
          <w:tcPr>
            <w:tcW w:w="510" w:type="dxa"/>
            <w:shd w:val="clear" w:color="auto" w:fill="CCFFCC"/>
            <w:vAlign w:val="center"/>
          </w:tcPr>
          <w:p w:rsidR="00A0693D" w:rsidRDefault="00A0693D" w:rsidP="00D843BC">
            <w:pPr>
              <w:spacing w:line="360" w:lineRule="auto"/>
              <w:rPr>
                <w:sz w:val="24"/>
              </w:rPr>
            </w:pPr>
            <w:r>
              <w:rPr>
                <w:sz w:val="24"/>
              </w:rPr>
              <w:t>8.</w:t>
            </w:r>
            <w:r>
              <w:rPr>
                <w:rFonts w:hint="eastAsia"/>
                <w:sz w:val="24"/>
              </w:rPr>
              <w:t>1</w:t>
            </w:r>
          </w:p>
        </w:tc>
        <w:tc>
          <w:tcPr>
            <w:tcW w:w="495" w:type="dxa"/>
            <w:shd w:val="clear" w:color="auto" w:fill="CCFFCC"/>
            <w:vAlign w:val="center"/>
          </w:tcPr>
          <w:p w:rsidR="00A0693D" w:rsidRDefault="00A0693D" w:rsidP="00D843BC">
            <w:pPr>
              <w:spacing w:line="360" w:lineRule="auto"/>
              <w:rPr>
                <w:sz w:val="24"/>
              </w:rPr>
            </w:pPr>
            <w:r>
              <w:rPr>
                <w:sz w:val="24"/>
              </w:rPr>
              <w:t>8.</w:t>
            </w:r>
            <w:r>
              <w:rPr>
                <w:rFonts w:hint="eastAsia"/>
                <w:sz w:val="24"/>
              </w:rPr>
              <w:t>1</w:t>
            </w:r>
          </w:p>
        </w:tc>
        <w:tc>
          <w:tcPr>
            <w:tcW w:w="538" w:type="dxa"/>
            <w:shd w:val="clear" w:color="auto" w:fill="CCFFCC"/>
            <w:vAlign w:val="center"/>
          </w:tcPr>
          <w:p w:rsidR="00A0693D" w:rsidRDefault="00A0693D" w:rsidP="00D843BC">
            <w:pPr>
              <w:spacing w:line="360" w:lineRule="auto"/>
              <w:rPr>
                <w:sz w:val="24"/>
              </w:rPr>
            </w:pPr>
            <w:r>
              <w:rPr>
                <w:sz w:val="24"/>
              </w:rPr>
              <w:t>8.</w:t>
            </w:r>
            <w:r>
              <w:rPr>
                <w:rFonts w:hint="eastAsia"/>
                <w:sz w:val="24"/>
              </w:rPr>
              <w:t>1</w:t>
            </w:r>
          </w:p>
        </w:tc>
      </w:tr>
      <w:tr w:rsidR="00A0693D" w:rsidTr="00D843BC">
        <w:trPr>
          <w:cantSplit/>
          <w:trHeight w:val="456"/>
          <w:jc w:val="center"/>
        </w:trPr>
        <w:tc>
          <w:tcPr>
            <w:tcW w:w="640" w:type="dxa"/>
            <w:vMerge/>
            <w:vAlign w:val="center"/>
          </w:tcPr>
          <w:p w:rsidR="00A0693D" w:rsidRDefault="00A0693D" w:rsidP="00D843BC">
            <w:pPr>
              <w:spacing w:line="360" w:lineRule="auto"/>
              <w:rPr>
                <w:sz w:val="24"/>
              </w:rPr>
            </w:pPr>
          </w:p>
        </w:tc>
        <w:tc>
          <w:tcPr>
            <w:tcW w:w="1342" w:type="dxa"/>
            <w:vAlign w:val="bottom"/>
          </w:tcPr>
          <w:p w:rsidR="00A0693D" w:rsidRDefault="00A0693D" w:rsidP="00D843BC">
            <w:pPr>
              <w:spacing w:line="360" w:lineRule="auto"/>
              <w:rPr>
                <w:sz w:val="24"/>
              </w:rPr>
            </w:pPr>
            <w:r>
              <w:rPr>
                <w:sz w:val="24"/>
              </w:rPr>
              <w:t>HICP (year-on-year, %)</w:t>
            </w:r>
          </w:p>
        </w:tc>
        <w:tc>
          <w:tcPr>
            <w:tcW w:w="600" w:type="dxa"/>
            <w:vAlign w:val="center"/>
          </w:tcPr>
          <w:p w:rsidR="00A0693D" w:rsidRDefault="00A0693D" w:rsidP="00D843BC">
            <w:pPr>
              <w:spacing w:line="360" w:lineRule="auto"/>
              <w:rPr>
                <w:sz w:val="24"/>
              </w:rPr>
            </w:pPr>
            <w:bookmarkStart w:id="97" w:name="OLE_LINK25"/>
            <w:r>
              <w:rPr>
                <w:sz w:val="24"/>
              </w:rPr>
              <w:t>1.</w:t>
            </w:r>
            <w:r>
              <w:rPr>
                <w:rFonts w:hint="eastAsia"/>
                <w:sz w:val="24"/>
              </w:rPr>
              <w:t>3</w:t>
            </w:r>
          </w:p>
        </w:tc>
        <w:tc>
          <w:tcPr>
            <w:tcW w:w="600" w:type="dxa"/>
            <w:vAlign w:val="center"/>
          </w:tcPr>
          <w:p w:rsidR="00A0693D" w:rsidRDefault="00A0693D" w:rsidP="00D843BC">
            <w:pPr>
              <w:spacing w:line="360" w:lineRule="auto"/>
              <w:rPr>
                <w:sz w:val="24"/>
              </w:rPr>
            </w:pPr>
            <w:r>
              <w:rPr>
                <w:sz w:val="24"/>
              </w:rPr>
              <w:t>1.</w:t>
            </w:r>
            <w:r>
              <w:rPr>
                <w:rFonts w:hint="eastAsia"/>
                <w:sz w:val="24"/>
              </w:rPr>
              <w:t>5</w:t>
            </w:r>
          </w:p>
        </w:tc>
        <w:tc>
          <w:tcPr>
            <w:tcW w:w="540" w:type="dxa"/>
            <w:vAlign w:val="center"/>
          </w:tcPr>
          <w:p w:rsidR="00A0693D" w:rsidRDefault="00A0693D" w:rsidP="00D843BC">
            <w:pPr>
              <w:spacing w:line="360" w:lineRule="auto"/>
              <w:rPr>
                <w:sz w:val="24"/>
              </w:rPr>
            </w:pPr>
            <w:r>
              <w:rPr>
                <w:sz w:val="24"/>
              </w:rPr>
              <w:t>1.</w:t>
            </w:r>
            <w:r>
              <w:rPr>
                <w:rFonts w:hint="eastAsia"/>
                <w:sz w:val="24"/>
              </w:rPr>
              <w:t>5</w:t>
            </w:r>
          </w:p>
        </w:tc>
        <w:tc>
          <w:tcPr>
            <w:tcW w:w="584" w:type="dxa"/>
            <w:vAlign w:val="center"/>
          </w:tcPr>
          <w:p w:rsidR="00A0693D" w:rsidRDefault="00A0693D" w:rsidP="00D843BC">
            <w:pPr>
              <w:spacing w:line="360" w:lineRule="auto"/>
              <w:rPr>
                <w:sz w:val="24"/>
              </w:rPr>
            </w:pPr>
            <w:bookmarkStart w:id="98" w:name="OLE_LINK26"/>
            <w:bookmarkEnd w:id="97"/>
            <w:r>
              <w:rPr>
                <w:sz w:val="24"/>
              </w:rPr>
              <w:t>1.</w:t>
            </w:r>
            <w:r>
              <w:rPr>
                <w:rFonts w:hint="eastAsia"/>
                <w:sz w:val="24"/>
              </w:rPr>
              <w:t>4</w:t>
            </w:r>
          </w:p>
        </w:tc>
        <w:tc>
          <w:tcPr>
            <w:tcW w:w="567" w:type="dxa"/>
            <w:vAlign w:val="center"/>
          </w:tcPr>
          <w:p w:rsidR="00A0693D" w:rsidRDefault="00A0693D" w:rsidP="00D843BC">
            <w:pPr>
              <w:spacing w:line="360" w:lineRule="auto"/>
              <w:rPr>
                <w:sz w:val="24"/>
              </w:rPr>
            </w:pPr>
            <w:r>
              <w:rPr>
                <w:sz w:val="24"/>
              </w:rPr>
              <w:t>1.5</w:t>
            </w:r>
          </w:p>
        </w:tc>
        <w:tc>
          <w:tcPr>
            <w:tcW w:w="499" w:type="dxa"/>
            <w:vAlign w:val="center"/>
          </w:tcPr>
          <w:p w:rsidR="00A0693D" w:rsidRDefault="00A0693D" w:rsidP="00D843BC">
            <w:pPr>
              <w:spacing w:line="360" w:lineRule="auto"/>
              <w:rPr>
                <w:sz w:val="24"/>
              </w:rPr>
            </w:pPr>
            <w:r>
              <w:rPr>
                <w:sz w:val="24"/>
              </w:rPr>
              <w:t>1.</w:t>
            </w:r>
            <w:r>
              <w:rPr>
                <w:rFonts w:hint="eastAsia"/>
                <w:sz w:val="24"/>
              </w:rPr>
              <w:t>4</w:t>
            </w:r>
          </w:p>
        </w:tc>
        <w:tc>
          <w:tcPr>
            <w:tcW w:w="567" w:type="dxa"/>
            <w:vAlign w:val="center"/>
          </w:tcPr>
          <w:p w:rsidR="00A0693D" w:rsidRDefault="00A0693D" w:rsidP="00D843BC">
            <w:pPr>
              <w:spacing w:line="360" w:lineRule="auto"/>
              <w:rPr>
                <w:sz w:val="24"/>
              </w:rPr>
            </w:pPr>
            <w:bookmarkStart w:id="99" w:name="OLE_LINK27"/>
            <w:bookmarkEnd w:id="98"/>
            <w:r>
              <w:rPr>
                <w:sz w:val="24"/>
              </w:rPr>
              <w:t>1.</w:t>
            </w:r>
            <w:r>
              <w:rPr>
                <w:rFonts w:hint="eastAsia"/>
                <w:sz w:val="24"/>
              </w:rPr>
              <w:t>3</w:t>
            </w:r>
          </w:p>
        </w:tc>
        <w:tc>
          <w:tcPr>
            <w:tcW w:w="567" w:type="dxa"/>
            <w:vAlign w:val="center"/>
          </w:tcPr>
          <w:p w:rsidR="00A0693D" w:rsidRDefault="00A0693D" w:rsidP="00D843BC">
            <w:pPr>
              <w:spacing w:line="360" w:lineRule="auto"/>
              <w:rPr>
                <w:sz w:val="24"/>
              </w:rPr>
            </w:pPr>
            <w:r>
              <w:rPr>
                <w:sz w:val="24"/>
              </w:rPr>
              <w:t>1.</w:t>
            </w:r>
            <w:r>
              <w:rPr>
                <w:rFonts w:hint="eastAsia"/>
                <w:sz w:val="24"/>
              </w:rPr>
              <w:t>1</w:t>
            </w:r>
          </w:p>
        </w:tc>
        <w:tc>
          <w:tcPr>
            <w:tcW w:w="544" w:type="dxa"/>
            <w:vAlign w:val="center"/>
          </w:tcPr>
          <w:p w:rsidR="00A0693D" w:rsidRDefault="00A0693D" w:rsidP="00D843BC">
            <w:pPr>
              <w:spacing w:line="360" w:lineRule="auto"/>
              <w:rPr>
                <w:sz w:val="24"/>
              </w:rPr>
            </w:pPr>
            <w:r>
              <w:rPr>
                <w:sz w:val="24"/>
              </w:rPr>
              <w:t>1.</w:t>
            </w:r>
            <w:r>
              <w:rPr>
                <w:rFonts w:hint="eastAsia"/>
                <w:sz w:val="24"/>
              </w:rPr>
              <w:t>3</w:t>
            </w:r>
          </w:p>
        </w:tc>
        <w:bookmarkEnd w:id="99"/>
        <w:tc>
          <w:tcPr>
            <w:tcW w:w="495" w:type="dxa"/>
            <w:vAlign w:val="center"/>
          </w:tcPr>
          <w:p w:rsidR="00A0693D" w:rsidRDefault="00A0693D" w:rsidP="00D843BC">
            <w:pPr>
              <w:spacing w:line="360" w:lineRule="auto"/>
              <w:rPr>
                <w:sz w:val="24"/>
              </w:rPr>
            </w:pPr>
            <w:r>
              <w:rPr>
                <w:sz w:val="24"/>
              </w:rPr>
              <w:t>1.3</w:t>
            </w:r>
          </w:p>
        </w:tc>
        <w:tc>
          <w:tcPr>
            <w:tcW w:w="567" w:type="dxa"/>
            <w:vAlign w:val="center"/>
          </w:tcPr>
          <w:p w:rsidR="00A0693D" w:rsidRDefault="00A0693D" w:rsidP="00D843BC">
            <w:pPr>
              <w:spacing w:line="360" w:lineRule="auto"/>
              <w:rPr>
                <w:sz w:val="24"/>
              </w:rPr>
            </w:pPr>
            <w:r>
              <w:rPr>
                <w:sz w:val="24"/>
              </w:rPr>
              <w:t>1.</w:t>
            </w:r>
            <w:r>
              <w:rPr>
                <w:rFonts w:hint="eastAsia"/>
                <w:sz w:val="24"/>
              </w:rPr>
              <w:t>9</w:t>
            </w:r>
          </w:p>
        </w:tc>
        <w:tc>
          <w:tcPr>
            <w:tcW w:w="498" w:type="dxa"/>
            <w:vAlign w:val="center"/>
          </w:tcPr>
          <w:p w:rsidR="00A0693D" w:rsidRDefault="00A0693D" w:rsidP="00D843BC">
            <w:pPr>
              <w:spacing w:line="360" w:lineRule="auto"/>
              <w:rPr>
                <w:sz w:val="24"/>
              </w:rPr>
            </w:pPr>
            <w:r>
              <w:rPr>
                <w:rFonts w:hint="eastAsia"/>
                <w:sz w:val="24"/>
              </w:rPr>
              <w:t>2</w:t>
            </w:r>
            <w:r>
              <w:rPr>
                <w:sz w:val="24"/>
              </w:rPr>
              <w:t>.</w:t>
            </w:r>
            <w:r>
              <w:rPr>
                <w:rFonts w:hint="eastAsia"/>
                <w:sz w:val="24"/>
              </w:rPr>
              <w:t>0</w:t>
            </w:r>
          </w:p>
        </w:tc>
        <w:tc>
          <w:tcPr>
            <w:tcW w:w="510" w:type="dxa"/>
            <w:vAlign w:val="center"/>
          </w:tcPr>
          <w:p w:rsidR="00A0693D" w:rsidRDefault="00A0693D" w:rsidP="00D843BC">
            <w:pPr>
              <w:spacing w:line="360" w:lineRule="auto"/>
              <w:rPr>
                <w:sz w:val="24"/>
              </w:rPr>
            </w:pPr>
            <w:bookmarkStart w:id="100" w:name="OLE_LINK28"/>
            <w:r>
              <w:rPr>
                <w:rFonts w:hint="eastAsia"/>
                <w:sz w:val="24"/>
              </w:rPr>
              <w:t>2</w:t>
            </w:r>
            <w:r>
              <w:rPr>
                <w:sz w:val="24"/>
              </w:rPr>
              <w:t>.</w:t>
            </w:r>
            <w:r>
              <w:rPr>
                <w:rFonts w:hint="eastAsia"/>
                <w:sz w:val="24"/>
              </w:rPr>
              <w:t>1</w:t>
            </w:r>
          </w:p>
        </w:tc>
        <w:tc>
          <w:tcPr>
            <w:tcW w:w="495" w:type="dxa"/>
            <w:vAlign w:val="center"/>
          </w:tcPr>
          <w:p w:rsidR="00A0693D" w:rsidRDefault="00A0693D" w:rsidP="00D843BC">
            <w:pPr>
              <w:spacing w:line="360" w:lineRule="auto"/>
              <w:rPr>
                <w:sz w:val="24"/>
              </w:rPr>
            </w:pPr>
            <w:r>
              <w:rPr>
                <w:rFonts w:hint="eastAsia"/>
                <w:sz w:val="24"/>
              </w:rPr>
              <w:t>2</w:t>
            </w:r>
            <w:r>
              <w:rPr>
                <w:sz w:val="24"/>
              </w:rPr>
              <w:t>.</w:t>
            </w:r>
            <w:r>
              <w:rPr>
                <w:rFonts w:hint="eastAsia"/>
                <w:sz w:val="24"/>
              </w:rPr>
              <w:t>0</w:t>
            </w:r>
          </w:p>
        </w:tc>
        <w:tc>
          <w:tcPr>
            <w:tcW w:w="538" w:type="dxa"/>
            <w:vAlign w:val="center"/>
          </w:tcPr>
          <w:p w:rsidR="00A0693D" w:rsidRDefault="00A0693D" w:rsidP="00D843BC">
            <w:pPr>
              <w:spacing w:line="360" w:lineRule="auto"/>
              <w:rPr>
                <w:sz w:val="24"/>
              </w:rPr>
            </w:pPr>
            <w:r>
              <w:rPr>
                <w:rFonts w:hint="eastAsia"/>
                <w:sz w:val="24"/>
              </w:rPr>
              <w:t>2.1</w:t>
            </w:r>
          </w:p>
        </w:tc>
        <w:bookmarkEnd w:id="100"/>
      </w:tr>
      <w:tr w:rsidR="00A0693D" w:rsidTr="00D843BC">
        <w:trPr>
          <w:cantSplit/>
          <w:trHeight w:val="376"/>
          <w:jc w:val="center"/>
        </w:trPr>
        <w:tc>
          <w:tcPr>
            <w:tcW w:w="640" w:type="dxa"/>
            <w:vMerge/>
            <w:shd w:val="clear" w:color="auto" w:fill="auto"/>
            <w:vAlign w:val="center"/>
          </w:tcPr>
          <w:p w:rsidR="00A0693D" w:rsidRDefault="00A0693D" w:rsidP="00D843BC">
            <w:pPr>
              <w:spacing w:line="360" w:lineRule="auto"/>
              <w:rPr>
                <w:sz w:val="24"/>
              </w:rPr>
            </w:pPr>
          </w:p>
        </w:tc>
        <w:tc>
          <w:tcPr>
            <w:tcW w:w="1342" w:type="dxa"/>
            <w:shd w:val="clear" w:color="auto" w:fill="CCFFCC"/>
            <w:vAlign w:val="bottom"/>
          </w:tcPr>
          <w:p w:rsidR="00A0693D" w:rsidRDefault="00A0693D" w:rsidP="00D843BC">
            <w:pPr>
              <w:spacing w:line="360" w:lineRule="auto"/>
              <w:rPr>
                <w:sz w:val="24"/>
              </w:rPr>
            </w:pPr>
            <w:r>
              <w:rPr>
                <w:sz w:val="24"/>
              </w:rPr>
              <w:t>EURO STOXX 50 (end of the period)</w:t>
            </w:r>
          </w:p>
        </w:tc>
        <w:tc>
          <w:tcPr>
            <w:tcW w:w="600" w:type="dxa"/>
            <w:shd w:val="clear" w:color="auto" w:fill="CCFFCC"/>
            <w:vAlign w:val="center"/>
          </w:tcPr>
          <w:p w:rsidR="00A0693D" w:rsidRDefault="00A0693D" w:rsidP="00D843BC">
            <w:pPr>
              <w:spacing w:line="360" w:lineRule="auto"/>
              <w:rPr>
                <w:sz w:val="24"/>
              </w:rPr>
            </w:pPr>
            <w:r>
              <w:rPr>
                <w:sz w:val="24"/>
              </w:rPr>
              <w:t>3</w:t>
            </w:r>
            <w:r>
              <w:rPr>
                <w:rFonts w:hint="eastAsia"/>
                <w:sz w:val="24"/>
              </w:rPr>
              <w:t>449</w:t>
            </w:r>
          </w:p>
        </w:tc>
        <w:tc>
          <w:tcPr>
            <w:tcW w:w="600" w:type="dxa"/>
            <w:shd w:val="clear" w:color="auto" w:fill="CCFFCC"/>
            <w:vAlign w:val="center"/>
          </w:tcPr>
          <w:p w:rsidR="00A0693D" w:rsidRDefault="00A0693D" w:rsidP="00D843BC">
            <w:pPr>
              <w:spacing w:line="360" w:lineRule="auto"/>
              <w:rPr>
                <w:sz w:val="24"/>
              </w:rPr>
            </w:pPr>
            <w:r>
              <w:rPr>
                <w:sz w:val="24"/>
              </w:rPr>
              <w:t>3</w:t>
            </w:r>
            <w:r>
              <w:rPr>
                <w:rFonts w:hint="eastAsia"/>
                <w:sz w:val="24"/>
              </w:rPr>
              <w:t>421</w:t>
            </w:r>
          </w:p>
        </w:tc>
        <w:tc>
          <w:tcPr>
            <w:tcW w:w="540" w:type="dxa"/>
            <w:shd w:val="clear" w:color="auto" w:fill="CCFFCC"/>
            <w:vAlign w:val="center"/>
          </w:tcPr>
          <w:p w:rsidR="00A0693D" w:rsidRDefault="00A0693D" w:rsidP="00D843BC">
            <w:pPr>
              <w:spacing w:line="360" w:lineRule="auto"/>
              <w:rPr>
                <w:sz w:val="24"/>
              </w:rPr>
            </w:pPr>
            <w:r>
              <w:rPr>
                <w:rFonts w:hint="eastAsia"/>
                <w:sz w:val="24"/>
              </w:rPr>
              <w:t>3595</w:t>
            </w:r>
          </w:p>
        </w:tc>
        <w:tc>
          <w:tcPr>
            <w:tcW w:w="584" w:type="dxa"/>
            <w:shd w:val="clear" w:color="auto" w:fill="CCFFCC"/>
            <w:vAlign w:val="center"/>
          </w:tcPr>
          <w:p w:rsidR="00A0693D" w:rsidRDefault="00A0693D" w:rsidP="00D843BC">
            <w:pPr>
              <w:spacing w:line="360" w:lineRule="auto"/>
              <w:rPr>
                <w:sz w:val="24"/>
              </w:rPr>
            </w:pPr>
            <w:r>
              <w:rPr>
                <w:rFonts w:hint="eastAsia"/>
                <w:sz w:val="24"/>
              </w:rPr>
              <w:t>3674</w:t>
            </w:r>
          </w:p>
        </w:tc>
        <w:tc>
          <w:tcPr>
            <w:tcW w:w="567" w:type="dxa"/>
            <w:shd w:val="clear" w:color="auto" w:fill="CCFFCC"/>
            <w:vAlign w:val="center"/>
          </w:tcPr>
          <w:p w:rsidR="00A0693D" w:rsidRDefault="00A0693D" w:rsidP="00D843BC">
            <w:pPr>
              <w:spacing w:line="360" w:lineRule="auto"/>
              <w:rPr>
                <w:sz w:val="24"/>
              </w:rPr>
            </w:pPr>
            <w:r>
              <w:rPr>
                <w:rFonts w:hint="eastAsia"/>
                <w:sz w:val="24"/>
              </w:rPr>
              <w:t>3570</w:t>
            </w:r>
          </w:p>
        </w:tc>
        <w:tc>
          <w:tcPr>
            <w:tcW w:w="499" w:type="dxa"/>
            <w:shd w:val="clear" w:color="auto" w:fill="CCFFCC"/>
            <w:vAlign w:val="center"/>
          </w:tcPr>
          <w:p w:rsidR="00A0693D" w:rsidRDefault="00A0693D" w:rsidP="00D843BC">
            <w:pPr>
              <w:spacing w:line="360" w:lineRule="auto"/>
              <w:rPr>
                <w:sz w:val="24"/>
              </w:rPr>
            </w:pPr>
            <w:r>
              <w:rPr>
                <w:rFonts w:hint="eastAsia"/>
                <w:sz w:val="24"/>
              </w:rPr>
              <w:t>3504</w:t>
            </w:r>
          </w:p>
        </w:tc>
        <w:tc>
          <w:tcPr>
            <w:tcW w:w="567" w:type="dxa"/>
            <w:shd w:val="clear" w:color="auto" w:fill="CCFFCC"/>
            <w:vAlign w:val="center"/>
          </w:tcPr>
          <w:p w:rsidR="00A0693D" w:rsidRDefault="00A0693D" w:rsidP="00D843BC">
            <w:pPr>
              <w:spacing w:line="360" w:lineRule="auto"/>
              <w:rPr>
                <w:sz w:val="24"/>
              </w:rPr>
            </w:pPr>
            <w:r>
              <w:rPr>
                <w:rFonts w:hint="eastAsia"/>
                <w:sz w:val="24"/>
              </w:rPr>
              <w:t>3609</w:t>
            </w:r>
          </w:p>
        </w:tc>
        <w:tc>
          <w:tcPr>
            <w:tcW w:w="567" w:type="dxa"/>
            <w:shd w:val="clear" w:color="auto" w:fill="CCFFCC"/>
            <w:vAlign w:val="center"/>
          </w:tcPr>
          <w:p w:rsidR="00A0693D" w:rsidRDefault="00A0693D" w:rsidP="00D843BC">
            <w:pPr>
              <w:spacing w:line="360" w:lineRule="auto"/>
              <w:rPr>
                <w:sz w:val="24"/>
              </w:rPr>
            </w:pPr>
            <w:r>
              <w:rPr>
                <w:rFonts w:hint="eastAsia"/>
                <w:sz w:val="24"/>
              </w:rPr>
              <w:t>3439</w:t>
            </w:r>
          </w:p>
        </w:tc>
        <w:tc>
          <w:tcPr>
            <w:tcW w:w="544" w:type="dxa"/>
            <w:shd w:val="clear" w:color="auto" w:fill="CCFFCC"/>
            <w:vAlign w:val="center"/>
          </w:tcPr>
          <w:p w:rsidR="00A0693D" w:rsidRDefault="00A0693D" w:rsidP="00D843BC">
            <w:pPr>
              <w:spacing w:line="360" w:lineRule="auto"/>
              <w:rPr>
                <w:sz w:val="24"/>
              </w:rPr>
            </w:pPr>
            <w:r>
              <w:rPr>
                <w:rFonts w:hint="eastAsia"/>
                <w:sz w:val="24"/>
              </w:rPr>
              <w:t>3362</w:t>
            </w:r>
          </w:p>
        </w:tc>
        <w:tc>
          <w:tcPr>
            <w:tcW w:w="495" w:type="dxa"/>
            <w:shd w:val="clear" w:color="auto" w:fill="CCFFCC"/>
            <w:vAlign w:val="center"/>
          </w:tcPr>
          <w:p w:rsidR="00A0693D" w:rsidRDefault="00A0693D" w:rsidP="00D843BC">
            <w:pPr>
              <w:spacing w:line="360" w:lineRule="auto"/>
              <w:rPr>
                <w:sz w:val="24"/>
              </w:rPr>
            </w:pPr>
            <w:r>
              <w:rPr>
                <w:rFonts w:hint="eastAsia"/>
                <w:sz w:val="24"/>
              </w:rPr>
              <w:t>3537</w:t>
            </w:r>
          </w:p>
        </w:tc>
        <w:tc>
          <w:tcPr>
            <w:tcW w:w="567" w:type="dxa"/>
            <w:shd w:val="clear" w:color="auto" w:fill="CCFFCC"/>
            <w:vAlign w:val="center"/>
          </w:tcPr>
          <w:p w:rsidR="00A0693D" w:rsidRDefault="00A0693D" w:rsidP="00D843BC">
            <w:pPr>
              <w:spacing w:line="360" w:lineRule="auto"/>
              <w:rPr>
                <w:sz w:val="24"/>
              </w:rPr>
            </w:pPr>
            <w:r>
              <w:rPr>
                <w:rFonts w:hint="eastAsia"/>
                <w:sz w:val="24"/>
              </w:rPr>
              <w:t>3407</w:t>
            </w:r>
          </w:p>
        </w:tc>
        <w:tc>
          <w:tcPr>
            <w:tcW w:w="498" w:type="dxa"/>
            <w:shd w:val="clear" w:color="auto" w:fill="CCFFCC"/>
            <w:vAlign w:val="center"/>
          </w:tcPr>
          <w:p w:rsidR="00A0693D" w:rsidRDefault="00A0693D" w:rsidP="00D843BC">
            <w:pPr>
              <w:spacing w:line="360" w:lineRule="auto"/>
              <w:rPr>
                <w:sz w:val="24"/>
              </w:rPr>
            </w:pPr>
            <w:r>
              <w:rPr>
                <w:rFonts w:hint="eastAsia"/>
                <w:sz w:val="24"/>
              </w:rPr>
              <w:t>3396</w:t>
            </w:r>
          </w:p>
        </w:tc>
        <w:tc>
          <w:tcPr>
            <w:tcW w:w="510" w:type="dxa"/>
            <w:shd w:val="clear" w:color="auto" w:fill="CCFFCC"/>
            <w:vAlign w:val="center"/>
          </w:tcPr>
          <w:p w:rsidR="00A0693D" w:rsidRDefault="00A0693D" w:rsidP="00D843BC">
            <w:pPr>
              <w:spacing w:line="360" w:lineRule="auto"/>
              <w:rPr>
                <w:sz w:val="24"/>
              </w:rPr>
            </w:pPr>
            <w:r>
              <w:rPr>
                <w:rFonts w:hint="eastAsia"/>
                <w:sz w:val="24"/>
              </w:rPr>
              <w:t>3525</w:t>
            </w:r>
          </w:p>
        </w:tc>
        <w:tc>
          <w:tcPr>
            <w:tcW w:w="495" w:type="dxa"/>
            <w:shd w:val="clear" w:color="auto" w:fill="CCFFCC"/>
            <w:vAlign w:val="center"/>
          </w:tcPr>
          <w:p w:rsidR="00A0693D" w:rsidRDefault="00A0693D" w:rsidP="00D843BC">
            <w:pPr>
              <w:spacing w:line="360" w:lineRule="auto"/>
              <w:rPr>
                <w:sz w:val="24"/>
              </w:rPr>
            </w:pPr>
            <w:r>
              <w:rPr>
                <w:rFonts w:hint="eastAsia"/>
                <w:sz w:val="24"/>
              </w:rPr>
              <w:t>3393</w:t>
            </w:r>
          </w:p>
        </w:tc>
        <w:tc>
          <w:tcPr>
            <w:tcW w:w="538" w:type="dxa"/>
            <w:shd w:val="clear" w:color="auto" w:fill="CCFFCC"/>
            <w:vAlign w:val="center"/>
          </w:tcPr>
          <w:p w:rsidR="00A0693D" w:rsidRDefault="00A0693D" w:rsidP="00D843BC">
            <w:pPr>
              <w:spacing w:line="360" w:lineRule="auto"/>
              <w:rPr>
                <w:sz w:val="24"/>
              </w:rPr>
            </w:pPr>
            <w:r>
              <w:rPr>
                <w:sz w:val="24"/>
              </w:rPr>
              <w:t>33</w:t>
            </w:r>
            <w:r>
              <w:rPr>
                <w:rFonts w:hint="eastAsia"/>
                <w:sz w:val="24"/>
              </w:rPr>
              <w:t>99</w:t>
            </w:r>
          </w:p>
        </w:tc>
      </w:tr>
      <w:tr w:rsidR="00A0693D" w:rsidTr="00D843BC">
        <w:trPr>
          <w:cantSplit/>
          <w:trHeight w:val="363"/>
          <w:jc w:val="center"/>
        </w:trPr>
        <w:tc>
          <w:tcPr>
            <w:tcW w:w="640" w:type="dxa"/>
            <w:vMerge w:val="restart"/>
            <w:textDirection w:val="tbRlV"/>
            <w:vAlign w:val="center"/>
          </w:tcPr>
          <w:p w:rsidR="00A0693D" w:rsidRDefault="00A0693D" w:rsidP="00D843BC">
            <w:pPr>
              <w:spacing w:line="360" w:lineRule="auto"/>
              <w:rPr>
                <w:sz w:val="24"/>
              </w:rPr>
            </w:pPr>
            <w:r>
              <w:rPr>
                <w:sz w:val="24"/>
              </w:rPr>
              <w:t>Japan</w:t>
            </w:r>
          </w:p>
        </w:tc>
        <w:tc>
          <w:tcPr>
            <w:tcW w:w="1342" w:type="dxa"/>
            <w:vAlign w:val="bottom"/>
          </w:tcPr>
          <w:p w:rsidR="00A0693D" w:rsidRDefault="00A0693D" w:rsidP="00D843BC">
            <w:pPr>
              <w:spacing w:line="360" w:lineRule="auto"/>
              <w:rPr>
                <w:sz w:val="24"/>
              </w:rPr>
            </w:pPr>
            <w:r>
              <w:rPr>
                <w:sz w:val="24"/>
              </w:rPr>
              <w:t>Real GDP Growth (annualized quarterly rate, %)</w:t>
            </w:r>
          </w:p>
        </w:tc>
        <w:tc>
          <w:tcPr>
            <w:tcW w:w="1740" w:type="dxa"/>
            <w:gridSpan w:val="3"/>
            <w:vAlign w:val="center"/>
          </w:tcPr>
          <w:p w:rsidR="00A0693D" w:rsidRDefault="00A0693D" w:rsidP="00D843BC">
            <w:pPr>
              <w:spacing w:line="360" w:lineRule="auto"/>
              <w:rPr>
                <w:sz w:val="24"/>
              </w:rPr>
            </w:pPr>
            <w:r>
              <w:rPr>
                <w:rFonts w:hint="eastAsia"/>
                <w:sz w:val="24"/>
              </w:rPr>
              <w:t>2.3</w:t>
            </w:r>
          </w:p>
        </w:tc>
        <w:tc>
          <w:tcPr>
            <w:tcW w:w="1650" w:type="dxa"/>
            <w:gridSpan w:val="3"/>
            <w:vAlign w:val="center"/>
          </w:tcPr>
          <w:p w:rsidR="00A0693D" w:rsidRDefault="00A0693D" w:rsidP="00D843BC">
            <w:pPr>
              <w:spacing w:line="360" w:lineRule="auto"/>
              <w:rPr>
                <w:sz w:val="24"/>
              </w:rPr>
            </w:pPr>
            <w:r>
              <w:rPr>
                <w:rFonts w:hint="eastAsia"/>
                <w:sz w:val="24"/>
              </w:rPr>
              <w:t>0.9</w:t>
            </w:r>
          </w:p>
        </w:tc>
        <w:tc>
          <w:tcPr>
            <w:tcW w:w="1678" w:type="dxa"/>
            <w:gridSpan w:val="3"/>
            <w:vAlign w:val="center"/>
          </w:tcPr>
          <w:p w:rsidR="00A0693D" w:rsidRDefault="00A0693D" w:rsidP="00D843BC">
            <w:pPr>
              <w:spacing w:line="360" w:lineRule="auto"/>
              <w:rPr>
                <w:sz w:val="24"/>
              </w:rPr>
            </w:pPr>
            <w:r>
              <w:rPr>
                <w:rFonts w:hint="eastAsia"/>
                <w:sz w:val="24"/>
              </w:rPr>
              <w:t>-0.9</w:t>
            </w:r>
          </w:p>
        </w:tc>
        <w:tc>
          <w:tcPr>
            <w:tcW w:w="1560" w:type="dxa"/>
            <w:gridSpan w:val="3"/>
            <w:vAlign w:val="center"/>
          </w:tcPr>
          <w:p w:rsidR="00A0693D" w:rsidRDefault="00A0693D" w:rsidP="00D843BC">
            <w:pPr>
              <w:spacing w:line="360" w:lineRule="auto"/>
              <w:rPr>
                <w:sz w:val="24"/>
              </w:rPr>
            </w:pPr>
            <w:r>
              <w:rPr>
                <w:rFonts w:hint="eastAsia"/>
                <w:sz w:val="24"/>
              </w:rPr>
              <w:t>3.0</w:t>
            </w:r>
          </w:p>
        </w:tc>
        <w:tc>
          <w:tcPr>
            <w:tcW w:w="1543" w:type="dxa"/>
            <w:gridSpan w:val="3"/>
            <w:vAlign w:val="center"/>
          </w:tcPr>
          <w:p w:rsidR="00A0693D" w:rsidRDefault="00A0693D" w:rsidP="00D843BC">
            <w:pPr>
              <w:spacing w:line="360" w:lineRule="auto"/>
              <w:rPr>
                <w:sz w:val="24"/>
              </w:rPr>
            </w:pPr>
            <w:r>
              <w:rPr>
                <w:sz w:val="24"/>
              </w:rPr>
              <w:t>…</w:t>
            </w:r>
          </w:p>
        </w:tc>
      </w:tr>
      <w:tr w:rsidR="00A0693D" w:rsidTr="00D843BC">
        <w:trPr>
          <w:cantSplit/>
          <w:trHeight w:val="363"/>
          <w:jc w:val="center"/>
        </w:trPr>
        <w:tc>
          <w:tcPr>
            <w:tcW w:w="640" w:type="dxa"/>
            <w:vMerge/>
            <w:shd w:val="clear" w:color="auto" w:fill="auto"/>
            <w:vAlign w:val="center"/>
          </w:tcPr>
          <w:p w:rsidR="00A0693D" w:rsidRDefault="00A0693D" w:rsidP="00D843BC">
            <w:pPr>
              <w:spacing w:line="360" w:lineRule="auto"/>
              <w:rPr>
                <w:sz w:val="24"/>
              </w:rPr>
            </w:pPr>
          </w:p>
        </w:tc>
        <w:tc>
          <w:tcPr>
            <w:tcW w:w="1342" w:type="dxa"/>
            <w:shd w:val="clear" w:color="auto" w:fill="CCFFCC"/>
            <w:vAlign w:val="bottom"/>
          </w:tcPr>
          <w:p w:rsidR="00A0693D" w:rsidRDefault="00A0693D" w:rsidP="00D843BC">
            <w:pPr>
              <w:spacing w:line="360" w:lineRule="auto"/>
              <w:rPr>
                <w:sz w:val="24"/>
              </w:rPr>
            </w:pPr>
            <w:r>
              <w:rPr>
                <w:sz w:val="24"/>
              </w:rPr>
              <w:t>Unemployment Rate (%)</w:t>
            </w:r>
          </w:p>
        </w:tc>
        <w:tc>
          <w:tcPr>
            <w:tcW w:w="600" w:type="dxa"/>
            <w:shd w:val="clear" w:color="auto" w:fill="CCFFCC"/>
            <w:vAlign w:val="center"/>
          </w:tcPr>
          <w:p w:rsidR="00A0693D" w:rsidRDefault="00A0693D" w:rsidP="00D843BC">
            <w:pPr>
              <w:spacing w:line="360" w:lineRule="auto"/>
              <w:rPr>
                <w:sz w:val="24"/>
              </w:rPr>
            </w:pPr>
            <w:r>
              <w:rPr>
                <w:sz w:val="24"/>
              </w:rPr>
              <w:t>2.</w:t>
            </w:r>
            <w:r>
              <w:rPr>
                <w:rFonts w:hint="eastAsia"/>
                <w:sz w:val="24"/>
              </w:rPr>
              <w:t>8</w:t>
            </w:r>
          </w:p>
        </w:tc>
        <w:tc>
          <w:tcPr>
            <w:tcW w:w="600" w:type="dxa"/>
            <w:shd w:val="clear" w:color="auto" w:fill="CCFFCC"/>
            <w:vAlign w:val="center"/>
          </w:tcPr>
          <w:p w:rsidR="00A0693D" w:rsidRDefault="00A0693D" w:rsidP="00D843BC">
            <w:pPr>
              <w:spacing w:line="360" w:lineRule="auto"/>
              <w:rPr>
                <w:sz w:val="24"/>
              </w:rPr>
            </w:pPr>
            <w:r>
              <w:rPr>
                <w:rFonts w:hint="eastAsia"/>
                <w:sz w:val="24"/>
              </w:rPr>
              <w:t>2.8</w:t>
            </w:r>
          </w:p>
        </w:tc>
        <w:tc>
          <w:tcPr>
            <w:tcW w:w="540" w:type="dxa"/>
            <w:shd w:val="clear" w:color="auto" w:fill="CCFFCC"/>
            <w:vAlign w:val="center"/>
          </w:tcPr>
          <w:p w:rsidR="00A0693D" w:rsidRDefault="00A0693D" w:rsidP="00D843BC">
            <w:pPr>
              <w:spacing w:line="360" w:lineRule="auto"/>
              <w:rPr>
                <w:sz w:val="24"/>
              </w:rPr>
            </w:pPr>
            <w:r>
              <w:rPr>
                <w:sz w:val="24"/>
              </w:rPr>
              <w:t>2.8</w:t>
            </w:r>
          </w:p>
        </w:tc>
        <w:tc>
          <w:tcPr>
            <w:tcW w:w="584" w:type="dxa"/>
            <w:shd w:val="clear" w:color="auto" w:fill="CCFFCC"/>
            <w:vAlign w:val="center"/>
          </w:tcPr>
          <w:p w:rsidR="00A0693D" w:rsidRDefault="00A0693D" w:rsidP="00D843BC">
            <w:pPr>
              <w:spacing w:line="360" w:lineRule="auto"/>
              <w:rPr>
                <w:sz w:val="24"/>
              </w:rPr>
            </w:pPr>
            <w:r>
              <w:rPr>
                <w:sz w:val="24"/>
              </w:rPr>
              <w:t>2.8</w:t>
            </w:r>
          </w:p>
        </w:tc>
        <w:tc>
          <w:tcPr>
            <w:tcW w:w="567" w:type="dxa"/>
            <w:shd w:val="clear" w:color="auto" w:fill="CCFFCC"/>
            <w:vAlign w:val="center"/>
          </w:tcPr>
          <w:p w:rsidR="00A0693D" w:rsidRDefault="00A0693D" w:rsidP="00D843BC">
            <w:pPr>
              <w:spacing w:line="360" w:lineRule="auto"/>
              <w:rPr>
                <w:sz w:val="24"/>
              </w:rPr>
            </w:pPr>
            <w:r>
              <w:rPr>
                <w:sz w:val="24"/>
              </w:rPr>
              <w:t>2.</w:t>
            </w:r>
            <w:r>
              <w:rPr>
                <w:rFonts w:hint="eastAsia"/>
                <w:sz w:val="24"/>
              </w:rPr>
              <w:t>7</w:t>
            </w:r>
          </w:p>
        </w:tc>
        <w:tc>
          <w:tcPr>
            <w:tcW w:w="499" w:type="dxa"/>
            <w:shd w:val="clear" w:color="auto" w:fill="CCFFCC"/>
            <w:vAlign w:val="center"/>
          </w:tcPr>
          <w:p w:rsidR="00A0693D" w:rsidRDefault="00A0693D" w:rsidP="00D843BC">
            <w:pPr>
              <w:spacing w:line="360" w:lineRule="auto"/>
              <w:rPr>
                <w:sz w:val="24"/>
              </w:rPr>
            </w:pPr>
            <w:r>
              <w:rPr>
                <w:sz w:val="24"/>
              </w:rPr>
              <w:t>2.8</w:t>
            </w:r>
          </w:p>
        </w:tc>
        <w:tc>
          <w:tcPr>
            <w:tcW w:w="567" w:type="dxa"/>
            <w:shd w:val="clear" w:color="auto" w:fill="CCFFCC"/>
            <w:vAlign w:val="center"/>
          </w:tcPr>
          <w:p w:rsidR="00A0693D" w:rsidRDefault="00A0693D" w:rsidP="00D843BC">
            <w:pPr>
              <w:spacing w:line="360" w:lineRule="auto"/>
              <w:rPr>
                <w:sz w:val="24"/>
              </w:rPr>
            </w:pPr>
            <w:r>
              <w:rPr>
                <w:sz w:val="24"/>
              </w:rPr>
              <w:t>2.</w:t>
            </w:r>
            <w:r>
              <w:rPr>
                <w:rFonts w:hint="eastAsia"/>
                <w:sz w:val="24"/>
              </w:rPr>
              <w:t>4</w:t>
            </w:r>
          </w:p>
        </w:tc>
        <w:tc>
          <w:tcPr>
            <w:tcW w:w="567" w:type="dxa"/>
            <w:shd w:val="clear" w:color="auto" w:fill="CCFFCC"/>
            <w:vAlign w:val="center"/>
          </w:tcPr>
          <w:p w:rsidR="00A0693D" w:rsidRDefault="00A0693D" w:rsidP="00D843BC">
            <w:pPr>
              <w:spacing w:line="360" w:lineRule="auto"/>
              <w:rPr>
                <w:sz w:val="24"/>
              </w:rPr>
            </w:pPr>
            <w:r>
              <w:rPr>
                <w:sz w:val="24"/>
              </w:rPr>
              <w:t>2.</w:t>
            </w:r>
            <w:r>
              <w:rPr>
                <w:rFonts w:hint="eastAsia"/>
                <w:sz w:val="24"/>
              </w:rPr>
              <w:t>5</w:t>
            </w:r>
          </w:p>
        </w:tc>
        <w:tc>
          <w:tcPr>
            <w:tcW w:w="544" w:type="dxa"/>
            <w:shd w:val="clear" w:color="auto" w:fill="CCFFCC"/>
            <w:vAlign w:val="center"/>
          </w:tcPr>
          <w:p w:rsidR="00A0693D" w:rsidRDefault="00A0693D" w:rsidP="00D843BC">
            <w:pPr>
              <w:spacing w:line="360" w:lineRule="auto"/>
              <w:rPr>
                <w:sz w:val="24"/>
              </w:rPr>
            </w:pPr>
            <w:r>
              <w:rPr>
                <w:sz w:val="24"/>
              </w:rPr>
              <w:t>2.</w:t>
            </w:r>
            <w:r>
              <w:rPr>
                <w:rFonts w:hint="eastAsia"/>
                <w:sz w:val="24"/>
              </w:rPr>
              <w:t>5</w:t>
            </w:r>
          </w:p>
        </w:tc>
        <w:tc>
          <w:tcPr>
            <w:tcW w:w="495" w:type="dxa"/>
            <w:shd w:val="clear" w:color="auto" w:fill="CCFFCC"/>
            <w:vAlign w:val="center"/>
          </w:tcPr>
          <w:p w:rsidR="00A0693D" w:rsidRDefault="00A0693D" w:rsidP="00D843BC">
            <w:pPr>
              <w:spacing w:line="360" w:lineRule="auto"/>
              <w:rPr>
                <w:sz w:val="24"/>
              </w:rPr>
            </w:pPr>
            <w:r>
              <w:rPr>
                <w:sz w:val="24"/>
              </w:rPr>
              <w:t>2.</w:t>
            </w:r>
            <w:r>
              <w:rPr>
                <w:rFonts w:hint="eastAsia"/>
                <w:sz w:val="24"/>
              </w:rPr>
              <w:t>5</w:t>
            </w:r>
          </w:p>
        </w:tc>
        <w:tc>
          <w:tcPr>
            <w:tcW w:w="567" w:type="dxa"/>
            <w:shd w:val="clear" w:color="auto" w:fill="CCFFCC"/>
            <w:vAlign w:val="center"/>
          </w:tcPr>
          <w:p w:rsidR="00A0693D" w:rsidRDefault="00A0693D" w:rsidP="00D843BC">
            <w:pPr>
              <w:spacing w:line="360" w:lineRule="auto"/>
              <w:rPr>
                <w:sz w:val="24"/>
              </w:rPr>
            </w:pPr>
            <w:r>
              <w:rPr>
                <w:sz w:val="24"/>
              </w:rPr>
              <w:t>2.</w:t>
            </w:r>
            <w:r>
              <w:rPr>
                <w:rFonts w:hint="eastAsia"/>
                <w:sz w:val="24"/>
              </w:rPr>
              <w:t>2</w:t>
            </w:r>
          </w:p>
        </w:tc>
        <w:tc>
          <w:tcPr>
            <w:tcW w:w="498" w:type="dxa"/>
            <w:shd w:val="clear" w:color="auto" w:fill="CCFFCC"/>
            <w:vAlign w:val="center"/>
          </w:tcPr>
          <w:p w:rsidR="00A0693D" w:rsidRDefault="00A0693D" w:rsidP="00D843BC">
            <w:pPr>
              <w:spacing w:line="360" w:lineRule="auto"/>
              <w:rPr>
                <w:sz w:val="24"/>
              </w:rPr>
            </w:pPr>
            <w:r>
              <w:rPr>
                <w:sz w:val="24"/>
              </w:rPr>
              <w:t>2.</w:t>
            </w:r>
            <w:r>
              <w:rPr>
                <w:rFonts w:hint="eastAsia"/>
                <w:sz w:val="24"/>
              </w:rPr>
              <w:t>4</w:t>
            </w:r>
          </w:p>
        </w:tc>
        <w:tc>
          <w:tcPr>
            <w:tcW w:w="510" w:type="dxa"/>
            <w:shd w:val="clear" w:color="auto" w:fill="CCFFCC"/>
            <w:vAlign w:val="center"/>
          </w:tcPr>
          <w:p w:rsidR="00A0693D" w:rsidRDefault="00A0693D" w:rsidP="00D843BC">
            <w:pPr>
              <w:spacing w:line="360" w:lineRule="auto"/>
              <w:rPr>
                <w:sz w:val="24"/>
              </w:rPr>
            </w:pPr>
            <w:r>
              <w:rPr>
                <w:sz w:val="24"/>
              </w:rPr>
              <w:t>2.</w:t>
            </w:r>
            <w:r>
              <w:rPr>
                <w:rFonts w:hint="eastAsia"/>
                <w:sz w:val="24"/>
              </w:rPr>
              <w:t>5</w:t>
            </w:r>
          </w:p>
        </w:tc>
        <w:tc>
          <w:tcPr>
            <w:tcW w:w="495" w:type="dxa"/>
            <w:shd w:val="clear" w:color="auto" w:fill="CCFFCC"/>
            <w:vAlign w:val="center"/>
          </w:tcPr>
          <w:p w:rsidR="00A0693D" w:rsidRDefault="00A0693D" w:rsidP="00D843BC">
            <w:pPr>
              <w:spacing w:line="360" w:lineRule="auto"/>
              <w:rPr>
                <w:sz w:val="24"/>
              </w:rPr>
            </w:pPr>
            <w:r>
              <w:rPr>
                <w:sz w:val="24"/>
              </w:rPr>
              <w:t>2.</w:t>
            </w:r>
            <w:r>
              <w:rPr>
                <w:rFonts w:hint="eastAsia"/>
                <w:sz w:val="24"/>
              </w:rPr>
              <w:t>4</w:t>
            </w:r>
          </w:p>
        </w:tc>
        <w:tc>
          <w:tcPr>
            <w:tcW w:w="538" w:type="dxa"/>
            <w:shd w:val="clear" w:color="auto" w:fill="CCFFCC"/>
            <w:vAlign w:val="center"/>
          </w:tcPr>
          <w:p w:rsidR="00A0693D" w:rsidRDefault="00A0693D" w:rsidP="00D843BC">
            <w:pPr>
              <w:spacing w:line="360" w:lineRule="auto"/>
              <w:rPr>
                <w:sz w:val="24"/>
              </w:rPr>
            </w:pPr>
            <w:r>
              <w:rPr>
                <w:sz w:val="24"/>
              </w:rPr>
              <w:t>2.</w:t>
            </w:r>
            <w:r>
              <w:rPr>
                <w:rFonts w:hint="eastAsia"/>
                <w:sz w:val="24"/>
              </w:rPr>
              <w:t>3</w:t>
            </w:r>
          </w:p>
        </w:tc>
      </w:tr>
      <w:tr w:rsidR="00A0693D" w:rsidTr="00D843BC">
        <w:trPr>
          <w:cantSplit/>
          <w:trHeight w:val="363"/>
          <w:jc w:val="center"/>
        </w:trPr>
        <w:tc>
          <w:tcPr>
            <w:tcW w:w="640" w:type="dxa"/>
            <w:vMerge/>
            <w:vAlign w:val="center"/>
          </w:tcPr>
          <w:p w:rsidR="00A0693D" w:rsidRDefault="00A0693D" w:rsidP="00D843BC">
            <w:pPr>
              <w:spacing w:line="360" w:lineRule="auto"/>
              <w:rPr>
                <w:sz w:val="24"/>
              </w:rPr>
            </w:pPr>
          </w:p>
        </w:tc>
        <w:tc>
          <w:tcPr>
            <w:tcW w:w="1342" w:type="dxa"/>
            <w:vAlign w:val="bottom"/>
          </w:tcPr>
          <w:p w:rsidR="00A0693D" w:rsidRDefault="00A0693D" w:rsidP="00D843BC">
            <w:pPr>
              <w:spacing w:line="360" w:lineRule="auto"/>
              <w:rPr>
                <w:sz w:val="24"/>
              </w:rPr>
            </w:pPr>
            <w:r>
              <w:rPr>
                <w:sz w:val="24"/>
              </w:rPr>
              <w:t>CPI (year-on-year, %)</w:t>
            </w:r>
          </w:p>
        </w:tc>
        <w:tc>
          <w:tcPr>
            <w:tcW w:w="600" w:type="dxa"/>
            <w:vAlign w:val="center"/>
          </w:tcPr>
          <w:p w:rsidR="00A0693D" w:rsidRDefault="00A0693D" w:rsidP="00D843BC">
            <w:pPr>
              <w:spacing w:line="360" w:lineRule="auto"/>
              <w:rPr>
                <w:sz w:val="24"/>
              </w:rPr>
            </w:pPr>
            <w:bookmarkStart w:id="101" w:name="OLE_LINK29"/>
            <w:r>
              <w:rPr>
                <w:sz w:val="24"/>
              </w:rPr>
              <w:t>0.4</w:t>
            </w:r>
          </w:p>
        </w:tc>
        <w:tc>
          <w:tcPr>
            <w:tcW w:w="600" w:type="dxa"/>
            <w:vAlign w:val="center"/>
          </w:tcPr>
          <w:p w:rsidR="00A0693D" w:rsidRDefault="00A0693D" w:rsidP="00D843BC">
            <w:pPr>
              <w:spacing w:line="360" w:lineRule="auto"/>
              <w:rPr>
                <w:sz w:val="24"/>
              </w:rPr>
            </w:pPr>
            <w:r>
              <w:rPr>
                <w:sz w:val="24"/>
              </w:rPr>
              <w:t>0.</w:t>
            </w:r>
            <w:r>
              <w:rPr>
                <w:rFonts w:hint="eastAsia"/>
                <w:sz w:val="24"/>
              </w:rPr>
              <w:t>7</w:t>
            </w:r>
          </w:p>
        </w:tc>
        <w:tc>
          <w:tcPr>
            <w:tcW w:w="540" w:type="dxa"/>
            <w:vAlign w:val="center"/>
          </w:tcPr>
          <w:p w:rsidR="00A0693D" w:rsidRDefault="00A0693D" w:rsidP="00D843BC">
            <w:pPr>
              <w:spacing w:line="360" w:lineRule="auto"/>
              <w:rPr>
                <w:sz w:val="24"/>
              </w:rPr>
            </w:pPr>
            <w:r>
              <w:rPr>
                <w:sz w:val="24"/>
              </w:rPr>
              <w:t>0.</w:t>
            </w:r>
            <w:r>
              <w:rPr>
                <w:rFonts w:hint="eastAsia"/>
                <w:sz w:val="24"/>
              </w:rPr>
              <w:t>7</w:t>
            </w:r>
          </w:p>
        </w:tc>
        <w:tc>
          <w:tcPr>
            <w:tcW w:w="584" w:type="dxa"/>
            <w:vAlign w:val="center"/>
          </w:tcPr>
          <w:p w:rsidR="00A0693D" w:rsidRDefault="00A0693D" w:rsidP="00D843BC">
            <w:pPr>
              <w:spacing w:line="360" w:lineRule="auto"/>
              <w:rPr>
                <w:sz w:val="24"/>
              </w:rPr>
            </w:pPr>
            <w:bookmarkStart w:id="102" w:name="OLE_LINK30"/>
            <w:bookmarkEnd w:id="101"/>
            <w:r>
              <w:rPr>
                <w:sz w:val="24"/>
              </w:rPr>
              <w:t>0.</w:t>
            </w:r>
            <w:r>
              <w:rPr>
                <w:rFonts w:hint="eastAsia"/>
                <w:sz w:val="24"/>
              </w:rPr>
              <w:t>2</w:t>
            </w:r>
          </w:p>
        </w:tc>
        <w:tc>
          <w:tcPr>
            <w:tcW w:w="567" w:type="dxa"/>
            <w:vAlign w:val="center"/>
          </w:tcPr>
          <w:p w:rsidR="00A0693D" w:rsidRDefault="00A0693D" w:rsidP="00D843BC">
            <w:pPr>
              <w:spacing w:line="360" w:lineRule="auto"/>
              <w:rPr>
                <w:sz w:val="24"/>
              </w:rPr>
            </w:pPr>
            <w:r>
              <w:rPr>
                <w:sz w:val="24"/>
              </w:rPr>
              <w:t>0.</w:t>
            </w:r>
            <w:r>
              <w:rPr>
                <w:rFonts w:hint="eastAsia"/>
                <w:sz w:val="24"/>
              </w:rPr>
              <w:t>6</w:t>
            </w:r>
          </w:p>
        </w:tc>
        <w:tc>
          <w:tcPr>
            <w:tcW w:w="499" w:type="dxa"/>
            <w:vAlign w:val="center"/>
          </w:tcPr>
          <w:p w:rsidR="00A0693D" w:rsidRDefault="00A0693D" w:rsidP="00D843BC">
            <w:pPr>
              <w:spacing w:line="360" w:lineRule="auto"/>
              <w:rPr>
                <w:sz w:val="24"/>
              </w:rPr>
            </w:pPr>
            <w:r>
              <w:rPr>
                <w:rFonts w:hint="eastAsia"/>
                <w:sz w:val="24"/>
              </w:rPr>
              <w:t>1.0</w:t>
            </w:r>
          </w:p>
        </w:tc>
        <w:tc>
          <w:tcPr>
            <w:tcW w:w="567" w:type="dxa"/>
            <w:vAlign w:val="center"/>
          </w:tcPr>
          <w:p w:rsidR="00A0693D" w:rsidRDefault="00A0693D" w:rsidP="00D843BC">
            <w:pPr>
              <w:spacing w:line="360" w:lineRule="auto"/>
              <w:rPr>
                <w:sz w:val="24"/>
              </w:rPr>
            </w:pPr>
            <w:bookmarkStart w:id="103" w:name="OLE_LINK31"/>
            <w:bookmarkEnd w:id="102"/>
            <w:r>
              <w:rPr>
                <w:rFonts w:hint="eastAsia"/>
                <w:sz w:val="24"/>
              </w:rPr>
              <w:t>1.4</w:t>
            </w:r>
          </w:p>
        </w:tc>
        <w:tc>
          <w:tcPr>
            <w:tcW w:w="567" w:type="dxa"/>
            <w:vAlign w:val="center"/>
          </w:tcPr>
          <w:p w:rsidR="00A0693D" w:rsidRDefault="00A0693D" w:rsidP="00D843BC">
            <w:pPr>
              <w:spacing w:line="360" w:lineRule="auto"/>
              <w:rPr>
                <w:sz w:val="24"/>
              </w:rPr>
            </w:pPr>
            <w:r>
              <w:rPr>
                <w:rFonts w:hint="eastAsia"/>
                <w:sz w:val="24"/>
              </w:rPr>
              <w:t>1.5</w:t>
            </w:r>
          </w:p>
        </w:tc>
        <w:tc>
          <w:tcPr>
            <w:tcW w:w="544" w:type="dxa"/>
            <w:vAlign w:val="center"/>
          </w:tcPr>
          <w:p w:rsidR="00A0693D" w:rsidRDefault="00A0693D" w:rsidP="00D843BC">
            <w:pPr>
              <w:spacing w:line="360" w:lineRule="auto"/>
              <w:rPr>
                <w:sz w:val="24"/>
              </w:rPr>
            </w:pPr>
            <w:r>
              <w:rPr>
                <w:sz w:val="24"/>
              </w:rPr>
              <w:t>1.</w:t>
            </w:r>
            <w:r>
              <w:rPr>
                <w:rFonts w:hint="eastAsia"/>
                <w:sz w:val="24"/>
              </w:rPr>
              <w:t>1</w:t>
            </w:r>
          </w:p>
        </w:tc>
        <w:bookmarkEnd w:id="103"/>
        <w:tc>
          <w:tcPr>
            <w:tcW w:w="495" w:type="dxa"/>
            <w:vAlign w:val="center"/>
          </w:tcPr>
          <w:p w:rsidR="00A0693D" w:rsidRDefault="00A0693D" w:rsidP="00D843BC">
            <w:pPr>
              <w:spacing w:line="360" w:lineRule="auto"/>
              <w:rPr>
                <w:sz w:val="24"/>
              </w:rPr>
            </w:pPr>
            <w:r>
              <w:rPr>
                <w:rFonts w:hint="eastAsia"/>
                <w:sz w:val="24"/>
              </w:rPr>
              <w:t>0.6</w:t>
            </w:r>
          </w:p>
        </w:tc>
        <w:tc>
          <w:tcPr>
            <w:tcW w:w="567" w:type="dxa"/>
            <w:vAlign w:val="center"/>
          </w:tcPr>
          <w:p w:rsidR="00A0693D" w:rsidRDefault="00A0693D" w:rsidP="00D843BC">
            <w:pPr>
              <w:spacing w:line="360" w:lineRule="auto"/>
              <w:rPr>
                <w:sz w:val="24"/>
              </w:rPr>
            </w:pPr>
            <w:r>
              <w:rPr>
                <w:rFonts w:hint="eastAsia"/>
                <w:sz w:val="24"/>
              </w:rPr>
              <w:t>0.7</w:t>
            </w:r>
          </w:p>
        </w:tc>
        <w:tc>
          <w:tcPr>
            <w:tcW w:w="498" w:type="dxa"/>
            <w:vAlign w:val="center"/>
          </w:tcPr>
          <w:p w:rsidR="00A0693D" w:rsidRDefault="00A0693D" w:rsidP="00D843BC">
            <w:pPr>
              <w:spacing w:line="360" w:lineRule="auto"/>
              <w:rPr>
                <w:sz w:val="24"/>
              </w:rPr>
            </w:pPr>
            <w:r>
              <w:rPr>
                <w:rFonts w:hint="eastAsia"/>
                <w:sz w:val="24"/>
              </w:rPr>
              <w:t>0.7</w:t>
            </w:r>
          </w:p>
        </w:tc>
        <w:tc>
          <w:tcPr>
            <w:tcW w:w="510" w:type="dxa"/>
            <w:vAlign w:val="center"/>
          </w:tcPr>
          <w:p w:rsidR="00A0693D" w:rsidRDefault="00A0693D" w:rsidP="00D843BC">
            <w:pPr>
              <w:spacing w:line="360" w:lineRule="auto"/>
              <w:rPr>
                <w:sz w:val="24"/>
              </w:rPr>
            </w:pPr>
            <w:bookmarkStart w:id="104" w:name="OLE_LINK32"/>
            <w:r>
              <w:rPr>
                <w:rFonts w:hint="eastAsia"/>
                <w:sz w:val="24"/>
              </w:rPr>
              <w:t>0.9</w:t>
            </w:r>
          </w:p>
        </w:tc>
        <w:tc>
          <w:tcPr>
            <w:tcW w:w="495" w:type="dxa"/>
            <w:vAlign w:val="center"/>
          </w:tcPr>
          <w:p w:rsidR="00A0693D" w:rsidRDefault="00A0693D" w:rsidP="00D843BC">
            <w:pPr>
              <w:spacing w:line="360" w:lineRule="auto"/>
              <w:rPr>
                <w:sz w:val="24"/>
              </w:rPr>
            </w:pPr>
            <w:r>
              <w:rPr>
                <w:rFonts w:hint="eastAsia"/>
                <w:sz w:val="24"/>
              </w:rPr>
              <w:t>1.3</w:t>
            </w:r>
          </w:p>
        </w:tc>
        <w:tc>
          <w:tcPr>
            <w:tcW w:w="538" w:type="dxa"/>
            <w:vAlign w:val="center"/>
          </w:tcPr>
          <w:p w:rsidR="00A0693D" w:rsidRDefault="00A0693D" w:rsidP="00D843BC">
            <w:pPr>
              <w:spacing w:line="360" w:lineRule="auto"/>
              <w:rPr>
                <w:sz w:val="24"/>
              </w:rPr>
            </w:pPr>
            <w:r>
              <w:rPr>
                <w:rFonts w:hint="eastAsia"/>
                <w:sz w:val="24"/>
              </w:rPr>
              <w:t>1.2</w:t>
            </w:r>
          </w:p>
        </w:tc>
        <w:bookmarkEnd w:id="104"/>
      </w:tr>
      <w:tr w:rsidR="00A0693D" w:rsidTr="00D843BC">
        <w:trPr>
          <w:cantSplit/>
          <w:trHeight w:val="363"/>
          <w:jc w:val="center"/>
        </w:trPr>
        <w:tc>
          <w:tcPr>
            <w:tcW w:w="640" w:type="dxa"/>
            <w:vMerge/>
            <w:shd w:val="clear" w:color="auto" w:fill="auto"/>
            <w:vAlign w:val="center"/>
          </w:tcPr>
          <w:p w:rsidR="00A0693D" w:rsidRDefault="00A0693D" w:rsidP="00D843BC">
            <w:pPr>
              <w:spacing w:line="360" w:lineRule="auto"/>
              <w:rPr>
                <w:sz w:val="24"/>
              </w:rPr>
            </w:pPr>
          </w:p>
        </w:tc>
        <w:tc>
          <w:tcPr>
            <w:tcW w:w="1342" w:type="dxa"/>
            <w:shd w:val="clear" w:color="auto" w:fill="CCFFCC"/>
            <w:vAlign w:val="bottom"/>
          </w:tcPr>
          <w:p w:rsidR="00A0693D" w:rsidRDefault="00A0693D" w:rsidP="00D843BC">
            <w:pPr>
              <w:spacing w:line="360" w:lineRule="auto"/>
              <w:rPr>
                <w:sz w:val="24"/>
              </w:rPr>
            </w:pPr>
            <w:r>
              <w:rPr>
                <w:sz w:val="24"/>
              </w:rPr>
              <w:t>NIKKEI 225 (end of the period)</w:t>
            </w:r>
          </w:p>
        </w:tc>
        <w:tc>
          <w:tcPr>
            <w:tcW w:w="600" w:type="dxa"/>
            <w:shd w:val="clear" w:color="auto" w:fill="CCFFCC"/>
            <w:vAlign w:val="center"/>
          </w:tcPr>
          <w:p w:rsidR="00A0693D" w:rsidRDefault="00A0693D" w:rsidP="00D843BC">
            <w:pPr>
              <w:spacing w:line="360" w:lineRule="auto"/>
              <w:rPr>
                <w:sz w:val="24"/>
              </w:rPr>
            </w:pPr>
            <w:r>
              <w:rPr>
                <w:rFonts w:hint="eastAsia"/>
                <w:sz w:val="24"/>
              </w:rPr>
              <w:t>19925</w:t>
            </w:r>
          </w:p>
        </w:tc>
        <w:tc>
          <w:tcPr>
            <w:tcW w:w="600" w:type="dxa"/>
            <w:shd w:val="clear" w:color="auto" w:fill="CCFFCC"/>
            <w:vAlign w:val="center"/>
          </w:tcPr>
          <w:p w:rsidR="00A0693D" w:rsidRDefault="00A0693D" w:rsidP="00D843BC">
            <w:pPr>
              <w:spacing w:line="360" w:lineRule="auto"/>
              <w:rPr>
                <w:sz w:val="24"/>
              </w:rPr>
            </w:pPr>
            <w:r>
              <w:rPr>
                <w:rFonts w:hint="eastAsia"/>
                <w:sz w:val="24"/>
              </w:rPr>
              <w:t>19646</w:t>
            </w:r>
          </w:p>
        </w:tc>
        <w:tc>
          <w:tcPr>
            <w:tcW w:w="540" w:type="dxa"/>
            <w:shd w:val="clear" w:color="auto" w:fill="CCFFCC"/>
            <w:vAlign w:val="center"/>
          </w:tcPr>
          <w:p w:rsidR="00A0693D" w:rsidRDefault="00A0693D" w:rsidP="00D843BC">
            <w:pPr>
              <w:spacing w:line="360" w:lineRule="auto"/>
              <w:rPr>
                <w:sz w:val="24"/>
              </w:rPr>
            </w:pPr>
            <w:r>
              <w:rPr>
                <w:rFonts w:hint="eastAsia"/>
                <w:sz w:val="24"/>
              </w:rPr>
              <w:t>20356</w:t>
            </w:r>
          </w:p>
        </w:tc>
        <w:tc>
          <w:tcPr>
            <w:tcW w:w="584" w:type="dxa"/>
            <w:shd w:val="clear" w:color="auto" w:fill="CCFFCC"/>
            <w:vAlign w:val="center"/>
          </w:tcPr>
          <w:p w:rsidR="00A0693D" w:rsidRDefault="00A0693D" w:rsidP="00D843BC">
            <w:pPr>
              <w:spacing w:line="360" w:lineRule="auto"/>
              <w:rPr>
                <w:sz w:val="24"/>
              </w:rPr>
            </w:pPr>
            <w:bookmarkStart w:id="105" w:name="OLE_LINK34"/>
            <w:r>
              <w:rPr>
                <w:rFonts w:hint="eastAsia"/>
                <w:sz w:val="24"/>
              </w:rPr>
              <w:t>22011</w:t>
            </w:r>
          </w:p>
        </w:tc>
        <w:tc>
          <w:tcPr>
            <w:tcW w:w="567" w:type="dxa"/>
            <w:shd w:val="clear" w:color="auto" w:fill="CCFFCC"/>
            <w:vAlign w:val="center"/>
          </w:tcPr>
          <w:p w:rsidR="00A0693D" w:rsidRDefault="00A0693D" w:rsidP="00D843BC">
            <w:pPr>
              <w:spacing w:line="360" w:lineRule="auto"/>
              <w:rPr>
                <w:sz w:val="24"/>
              </w:rPr>
            </w:pPr>
            <w:r>
              <w:rPr>
                <w:rFonts w:hint="eastAsia"/>
                <w:sz w:val="24"/>
              </w:rPr>
              <w:t>22725</w:t>
            </w:r>
          </w:p>
        </w:tc>
        <w:tc>
          <w:tcPr>
            <w:tcW w:w="499" w:type="dxa"/>
            <w:shd w:val="clear" w:color="auto" w:fill="CCFFCC"/>
            <w:vAlign w:val="center"/>
          </w:tcPr>
          <w:p w:rsidR="00A0693D" w:rsidRDefault="00A0693D" w:rsidP="00D843BC">
            <w:pPr>
              <w:spacing w:line="360" w:lineRule="auto"/>
              <w:rPr>
                <w:sz w:val="24"/>
              </w:rPr>
            </w:pPr>
            <w:r>
              <w:rPr>
                <w:rFonts w:hint="eastAsia"/>
                <w:sz w:val="24"/>
              </w:rPr>
              <w:t>22765</w:t>
            </w:r>
          </w:p>
        </w:tc>
        <w:tc>
          <w:tcPr>
            <w:tcW w:w="567" w:type="dxa"/>
            <w:shd w:val="clear" w:color="auto" w:fill="CCFFCC"/>
            <w:vAlign w:val="center"/>
          </w:tcPr>
          <w:p w:rsidR="00A0693D" w:rsidRDefault="00A0693D" w:rsidP="00D843BC">
            <w:pPr>
              <w:spacing w:line="360" w:lineRule="auto"/>
              <w:rPr>
                <w:sz w:val="24"/>
              </w:rPr>
            </w:pPr>
            <w:bookmarkStart w:id="106" w:name="OLE_LINK35"/>
            <w:bookmarkEnd w:id="105"/>
            <w:r>
              <w:rPr>
                <w:rFonts w:hint="eastAsia"/>
                <w:sz w:val="24"/>
              </w:rPr>
              <w:t>23098</w:t>
            </w:r>
          </w:p>
        </w:tc>
        <w:tc>
          <w:tcPr>
            <w:tcW w:w="567" w:type="dxa"/>
            <w:shd w:val="clear" w:color="auto" w:fill="CCFFCC"/>
            <w:vAlign w:val="center"/>
          </w:tcPr>
          <w:p w:rsidR="00A0693D" w:rsidRDefault="00A0693D" w:rsidP="00D843BC">
            <w:pPr>
              <w:spacing w:line="360" w:lineRule="auto"/>
              <w:rPr>
                <w:sz w:val="24"/>
              </w:rPr>
            </w:pPr>
            <w:r>
              <w:rPr>
                <w:rFonts w:hint="eastAsia"/>
                <w:sz w:val="24"/>
              </w:rPr>
              <w:t>22068</w:t>
            </w:r>
          </w:p>
        </w:tc>
        <w:tc>
          <w:tcPr>
            <w:tcW w:w="544" w:type="dxa"/>
            <w:shd w:val="clear" w:color="auto" w:fill="CCFFCC"/>
            <w:vAlign w:val="center"/>
          </w:tcPr>
          <w:p w:rsidR="00A0693D" w:rsidRDefault="00A0693D" w:rsidP="00D843BC">
            <w:pPr>
              <w:spacing w:line="360" w:lineRule="auto"/>
              <w:rPr>
                <w:sz w:val="24"/>
              </w:rPr>
            </w:pPr>
            <w:r>
              <w:rPr>
                <w:rFonts w:hint="eastAsia"/>
                <w:sz w:val="24"/>
              </w:rPr>
              <w:t>21454</w:t>
            </w:r>
          </w:p>
        </w:tc>
        <w:bookmarkEnd w:id="106"/>
        <w:tc>
          <w:tcPr>
            <w:tcW w:w="495" w:type="dxa"/>
            <w:shd w:val="clear" w:color="auto" w:fill="CCFFCC"/>
            <w:vAlign w:val="center"/>
          </w:tcPr>
          <w:p w:rsidR="00A0693D" w:rsidRDefault="00A0693D" w:rsidP="00D843BC">
            <w:pPr>
              <w:spacing w:line="360" w:lineRule="auto"/>
              <w:rPr>
                <w:sz w:val="24"/>
              </w:rPr>
            </w:pPr>
            <w:r>
              <w:rPr>
                <w:rFonts w:hint="eastAsia"/>
                <w:sz w:val="24"/>
              </w:rPr>
              <w:t>22468</w:t>
            </w:r>
          </w:p>
        </w:tc>
        <w:tc>
          <w:tcPr>
            <w:tcW w:w="567" w:type="dxa"/>
            <w:shd w:val="clear" w:color="auto" w:fill="CCFFCC"/>
            <w:vAlign w:val="center"/>
          </w:tcPr>
          <w:p w:rsidR="00A0693D" w:rsidRDefault="00A0693D" w:rsidP="00D843BC">
            <w:pPr>
              <w:spacing w:line="360" w:lineRule="auto"/>
              <w:rPr>
                <w:sz w:val="24"/>
              </w:rPr>
            </w:pPr>
            <w:r>
              <w:rPr>
                <w:rFonts w:hint="eastAsia"/>
                <w:sz w:val="24"/>
              </w:rPr>
              <w:t>22202</w:t>
            </w:r>
          </w:p>
        </w:tc>
        <w:tc>
          <w:tcPr>
            <w:tcW w:w="498" w:type="dxa"/>
            <w:shd w:val="clear" w:color="auto" w:fill="CCFFCC"/>
            <w:vAlign w:val="center"/>
          </w:tcPr>
          <w:p w:rsidR="00A0693D" w:rsidRDefault="00A0693D" w:rsidP="00D843BC">
            <w:pPr>
              <w:spacing w:line="360" w:lineRule="auto"/>
              <w:rPr>
                <w:sz w:val="24"/>
              </w:rPr>
            </w:pPr>
            <w:r>
              <w:rPr>
                <w:rFonts w:hint="eastAsia"/>
                <w:sz w:val="24"/>
              </w:rPr>
              <w:t>22304</w:t>
            </w:r>
          </w:p>
        </w:tc>
        <w:tc>
          <w:tcPr>
            <w:tcW w:w="510" w:type="dxa"/>
            <w:shd w:val="clear" w:color="auto" w:fill="CCFFCC"/>
            <w:vAlign w:val="center"/>
          </w:tcPr>
          <w:p w:rsidR="00A0693D" w:rsidRDefault="00A0693D" w:rsidP="00D843BC">
            <w:pPr>
              <w:spacing w:line="360" w:lineRule="auto"/>
              <w:rPr>
                <w:sz w:val="24"/>
              </w:rPr>
            </w:pPr>
            <w:r>
              <w:rPr>
                <w:rFonts w:hint="eastAsia"/>
                <w:sz w:val="24"/>
              </w:rPr>
              <w:t>22554</w:t>
            </w:r>
          </w:p>
        </w:tc>
        <w:tc>
          <w:tcPr>
            <w:tcW w:w="495" w:type="dxa"/>
            <w:shd w:val="clear" w:color="auto" w:fill="CCFFCC"/>
            <w:vAlign w:val="center"/>
          </w:tcPr>
          <w:p w:rsidR="00A0693D" w:rsidRDefault="00A0693D" w:rsidP="00D843BC">
            <w:pPr>
              <w:spacing w:line="360" w:lineRule="auto"/>
              <w:rPr>
                <w:sz w:val="24"/>
              </w:rPr>
            </w:pPr>
            <w:r>
              <w:rPr>
                <w:rFonts w:hint="eastAsia"/>
                <w:sz w:val="24"/>
              </w:rPr>
              <w:t>22865</w:t>
            </w:r>
          </w:p>
        </w:tc>
        <w:tc>
          <w:tcPr>
            <w:tcW w:w="538" w:type="dxa"/>
            <w:shd w:val="clear" w:color="auto" w:fill="CCFFCC"/>
            <w:vAlign w:val="center"/>
          </w:tcPr>
          <w:p w:rsidR="00A0693D" w:rsidRDefault="00A0693D" w:rsidP="00D843BC">
            <w:pPr>
              <w:spacing w:line="360" w:lineRule="auto"/>
              <w:rPr>
                <w:sz w:val="24"/>
              </w:rPr>
            </w:pPr>
            <w:r>
              <w:rPr>
                <w:rFonts w:hint="eastAsia"/>
                <w:sz w:val="24"/>
              </w:rPr>
              <w:t>24120</w:t>
            </w:r>
          </w:p>
        </w:tc>
      </w:tr>
    </w:tbl>
    <w:p w:rsidR="00A0693D" w:rsidRDefault="00A0693D" w:rsidP="00A0693D">
      <w:pPr>
        <w:spacing w:line="360" w:lineRule="auto"/>
        <w:rPr>
          <w:sz w:val="24"/>
        </w:rPr>
      </w:pPr>
      <w:r>
        <w:rPr>
          <w:sz w:val="24"/>
        </w:rPr>
        <w:t> </w:t>
      </w:r>
    </w:p>
    <w:p w:rsidR="00A0693D" w:rsidRDefault="00A0693D" w:rsidP="00A0693D">
      <w:pPr>
        <w:spacing w:line="360" w:lineRule="auto"/>
        <w:rPr>
          <w:sz w:val="24"/>
        </w:rPr>
      </w:pPr>
      <w:r>
        <w:rPr>
          <w:sz w:val="24"/>
        </w:rPr>
        <w:t>Sources: Statistical Bureaus and Central Banks of the Relevant Economies.</w:t>
      </w:r>
    </w:p>
    <w:p w:rsidR="001031BB" w:rsidRDefault="001031BB" w:rsidP="001031BB">
      <w:pPr>
        <w:spacing w:line="360" w:lineRule="auto"/>
        <w:rPr>
          <w:sz w:val="24"/>
        </w:rPr>
      </w:pPr>
    </w:p>
    <w:p w:rsidR="001031BB" w:rsidRDefault="001031BB" w:rsidP="001031BB">
      <w:pPr>
        <w:spacing w:line="360" w:lineRule="auto"/>
        <w:rPr>
          <w:b/>
          <w:sz w:val="24"/>
        </w:rPr>
      </w:pPr>
      <w:r>
        <w:rPr>
          <w:b/>
          <w:sz w:val="24"/>
        </w:rPr>
        <w:t>2. Developments in global financial markets</w:t>
      </w:r>
    </w:p>
    <w:p w:rsidR="001031BB" w:rsidRDefault="001031BB" w:rsidP="001031BB">
      <w:pPr>
        <w:spacing w:line="360" w:lineRule="auto"/>
        <w:rPr>
          <w:sz w:val="24"/>
        </w:rPr>
      </w:pPr>
      <w:r>
        <w:rPr>
          <w:rFonts w:hint="eastAsia"/>
          <w:b/>
          <w:sz w:val="24"/>
        </w:rPr>
        <w:t xml:space="preserve">The appreciation momentum of the </w:t>
      </w:r>
      <w:r>
        <w:rPr>
          <w:b/>
          <w:sz w:val="24"/>
        </w:rPr>
        <w:t>USD Index</w:t>
      </w:r>
      <w:r>
        <w:rPr>
          <w:rFonts w:hint="eastAsia"/>
          <w:b/>
          <w:sz w:val="24"/>
        </w:rPr>
        <w:t xml:space="preserve"> weakened. The Japanese yen, the euro</w:t>
      </w:r>
      <w:r>
        <w:rPr>
          <w:b/>
          <w:sz w:val="24"/>
        </w:rPr>
        <w:t>,</w:t>
      </w:r>
      <w:r>
        <w:rPr>
          <w:rFonts w:hint="eastAsia"/>
          <w:b/>
          <w:sz w:val="24"/>
        </w:rPr>
        <w:t xml:space="preserve"> and the British pound </w:t>
      </w:r>
      <w:r>
        <w:rPr>
          <w:b/>
          <w:sz w:val="24"/>
        </w:rPr>
        <w:t>all fell</w:t>
      </w:r>
      <w:r>
        <w:rPr>
          <w:rFonts w:hint="eastAsia"/>
          <w:b/>
          <w:sz w:val="24"/>
        </w:rPr>
        <w:t xml:space="preserve"> against the USD, and </w:t>
      </w:r>
      <w:r>
        <w:rPr>
          <w:b/>
          <w:sz w:val="24"/>
        </w:rPr>
        <w:t>the currency in</w:t>
      </w:r>
      <w:r>
        <w:rPr>
          <w:rFonts w:hint="eastAsia"/>
          <w:b/>
          <w:sz w:val="24"/>
        </w:rPr>
        <w:t xml:space="preserve"> some emerging market economies continued to lose value. </w:t>
      </w:r>
      <w:r>
        <w:rPr>
          <w:rFonts w:hint="eastAsia"/>
          <w:sz w:val="24"/>
        </w:rPr>
        <w:t>At end-September, the</w:t>
      </w:r>
      <w:r>
        <w:rPr>
          <w:sz w:val="24"/>
        </w:rPr>
        <w:t xml:space="preserve"> USD Index closed at </w:t>
      </w:r>
      <w:r>
        <w:rPr>
          <w:rFonts w:hint="eastAsia"/>
          <w:sz w:val="24"/>
        </w:rPr>
        <w:t>95.15</w:t>
      </w:r>
      <w:r>
        <w:rPr>
          <w:sz w:val="24"/>
        </w:rPr>
        <w:t xml:space="preserve">, </w:t>
      </w:r>
      <w:r>
        <w:rPr>
          <w:rFonts w:hint="eastAsia"/>
          <w:sz w:val="24"/>
        </w:rPr>
        <w:t>up</w:t>
      </w:r>
      <w:r>
        <w:rPr>
          <w:sz w:val="24"/>
        </w:rPr>
        <w:t xml:space="preserve"> </w:t>
      </w:r>
      <w:r>
        <w:rPr>
          <w:rFonts w:hint="eastAsia"/>
          <w:sz w:val="24"/>
        </w:rPr>
        <w:t>0</w:t>
      </w:r>
      <w:r>
        <w:rPr>
          <w:sz w:val="24"/>
        </w:rPr>
        <w:t>.</w:t>
      </w:r>
      <w:r>
        <w:rPr>
          <w:rFonts w:hint="eastAsia"/>
          <w:sz w:val="24"/>
        </w:rPr>
        <w:t>68</w:t>
      </w:r>
      <w:r>
        <w:rPr>
          <w:sz w:val="24"/>
        </w:rPr>
        <w:t xml:space="preserve"> percent from end-</w:t>
      </w:r>
      <w:r>
        <w:rPr>
          <w:rFonts w:hint="eastAsia"/>
          <w:sz w:val="24"/>
        </w:rPr>
        <w:t>June</w:t>
      </w:r>
      <w:r>
        <w:rPr>
          <w:sz w:val="24"/>
        </w:rPr>
        <w:t xml:space="preserve">. The </w:t>
      </w:r>
      <w:r>
        <w:rPr>
          <w:rFonts w:hint="eastAsia"/>
          <w:sz w:val="24"/>
        </w:rPr>
        <w:t>exchange rates of</w:t>
      </w:r>
      <w:r>
        <w:rPr>
          <w:sz w:val="24"/>
        </w:rPr>
        <w:t xml:space="preserve"> the </w:t>
      </w:r>
      <w:r>
        <w:rPr>
          <w:rFonts w:hint="eastAsia"/>
          <w:sz w:val="24"/>
        </w:rPr>
        <w:t>euro</w:t>
      </w:r>
      <w:r>
        <w:rPr>
          <w:sz w:val="24"/>
        </w:rPr>
        <w:t>,</w:t>
      </w:r>
      <w:r>
        <w:rPr>
          <w:rFonts w:hint="eastAsia"/>
          <w:sz w:val="24"/>
        </w:rPr>
        <w:t xml:space="preserve"> </w:t>
      </w:r>
      <w:r>
        <w:rPr>
          <w:sz w:val="24"/>
        </w:rPr>
        <w:t xml:space="preserve">the </w:t>
      </w:r>
      <w:r>
        <w:rPr>
          <w:rFonts w:hint="eastAsia"/>
          <w:sz w:val="24"/>
        </w:rPr>
        <w:t xml:space="preserve">British pound, and </w:t>
      </w:r>
      <w:r>
        <w:rPr>
          <w:sz w:val="24"/>
        </w:rPr>
        <w:t>the</w:t>
      </w:r>
      <w:r>
        <w:rPr>
          <w:rFonts w:hint="eastAsia"/>
          <w:sz w:val="24"/>
        </w:rPr>
        <w:t xml:space="preserve"> </w:t>
      </w:r>
      <w:r>
        <w:rPr>
          <w:sz w:val="24"/>
        </w:rPr>
        <w:t>Japanese yen</w:t>
      </w:r>
      <w:r>
        <w:rPr>
          <w:rFonts w:hint="eastAsia"/>
          <w:sz w:val="24"/>
        </w:rPr>
        <w:t xml:space="preserve"> </w:t>
      </w:r>
      <w:r>
        <w:rPr>
          <w:sz w:val="24"/>
        </w:rPr>
        <w:t>w</w:t>
      </w:r>
      <w:r>
        <w:rPr>
          <w:rFonts w:hint="eastAsia"/>
          <w:sz w:val="24"/>
        </w:rPr>
        <w:t>ere</w:t>
      </w:r>
      <w:r>
        <w:rPr>
          <w:sz w:val="24"/>
        </w:rPr>
        <w:t xml:space="preserve"> at USD 1</w:t>
      </w:r>
      <w:r>
        <w:rPr>
          <w:rFonts w:hint="eastAsia"/>
          <w:sz w:val="24"/>
        </w:rPr>
        <w:t>.1608</w:t>
      </w:r>
      <w:r>
        <w:rPr>
          <w:sz w:val="24"/>
        </w:rPr>
        <w:t xml:space="preserve"> per euro, USD 1.</w:t>
      </w:r>
      <w:r>
        <w:rPr>
          <w:rFonts w:hint="eastAsia"/>
          <w:sz w:val="24"/>
        </w:rPr>
        <w:t>3028</w:t>
      </w:r>
      <w:r>
        <w:rPr>
          <w:sz w:val="24"/>
        </w:rPr>
        <w:t xml:space="preserve"> per pound,</w:t>
      </w:r>
      <w:r>
        <w:rPr>
          <w:rFonts w:hint="eastAsia"/>
          <w:sz w:val="24"/>
        </w:rPr>
        <w:t xml:space="preserve"> and </w:t>
      </w:r>
      <w:r>
        <w:rPr>
          <w:sz w:val="24"/>
        </w:rPr>
        <w:t>1</w:t>
      </w:r>
      <w:r>
        <w:rPr>
          <w:rFonts w:hint="eastAsia"/>
          <w:sz w:val="24"/>
        </w:rPr>
        <w:t>13</w:t>
      </w:r>
      <w:r>
        <w:rPr>
          <w:sz w:val="24"/>
        </w:rPr>
        <w:t>.</w:t>
      </w:r>
      <w:r>
        <w:rPr>
          <w:rFonts w:hint="eastAsia"/>
          <w:sz w:val="24"/>
        </w:rPr>
        <w:t>68</w:t>
      </w:r>
      <w:r>
        <w:rPr>
          <w:sz w:val="24"/>
        </w:rPr>
        <w:t xml:space="preserve"> yen per USD, </w:t>
      </w:r>
      <w:r>
        <w:rPr>
          <w:rFonts w:hint="eastAsia"/>
          <w:sz w:val="24"/>
        </w:rPr>
        <w:t>off 0.64 percent, 1.36 percent</w:t>
      </w:r>
      <w:r>
        <w:rPr>
          <w:sz w:val="24"/>
        </w:rPr>
        <w:t>,</w:t>
      </w:r>
      <w:r>
        <w:rPr>
          <w:rFonts w:hint="eastAsia"/>
          <w:sz w:val="24"/>
        </w:rPr>
        <w:t xml:space="preserve"> and 2</w:t>
      </w:r>
      <w:r>
        <w:rPr>
          <w:sz w:val="24"/>
        </w:rPr>
        <w:t>.</w:t>
      </w:r>
      <w:r>
        <w:rPr>
          <w:rFonts w:hint="eastAsia"/>
          <w:sz w:val="24"/>
        </w:rPr>
        <w:t>66</w:t>
      </w:r>
      <w:r>
        <w:rPr>
          <w:sz w:val="24"/>
        </w:rPr>
        <w:t xml:space="preserve"> percent </w:t>
      </w:r>
      <w:r>
        <w:rPr>
          <w:rFonts w:hint="eastAsia"/>
          <w:sz w:val="24"/>
        </w:rPr>
        <w:t>respectively, from</w:t>
      </w:r>
      <w:r>
        <w:rPr>
          <w:sz w:val="24"/>
        </w:rPr>
        <w:t xml:space="preserve"> end</w:t>
      </w:r>
      <w:r>
        <w:rPr>
          <w:rFonts w:hint="eastAsia"/>
          <w:sz w:val="24"/>
        </w:rPr>
        <w:t>-June</w:t>
      </w:r>
      <w:r>
        <w:rPr>
          <w:sz w:val="24"/>
        </w:rPr>
        <w:t>. Among the emerging market currencies, the</w:t>
      </w:r>
      <w:r>
        <w:rPr>
          <w:rFonts w:hint="eastAsia"/>
          <w:sz w:val="24"/>
        </w:rPr>
        <w:t xml:space="preserve"> Argentine peso, the Turkish lira, </w:t>
      </w:r>
      <w:r>
        <w:rPr>
          <w:sz w:val="24"/>
        </w:rPr>
        <w:t>the Indian rupee</w:t>
      </w:r>
      <w:r>
        <w:rPr>
          <w:rFonts w:hint="eastAsia"/>
          <w:sz w:val="24"/>
        </w:rPr>
        <w:t>, the</w:t>
      </w:r>
      <w:r>
        <w:rPr>
          <w:sz w:val="24"/>
        </w:rPr>
        <w:t xml:space="preserve"> Russian ruble,</w:t>
      </w:r>
      <w:r>
        <w:rPr>
          <w:rFonts w:hint="eastAsia"/>
          <w:sz w:val="24"/>
        </w:rPr>
        <w:t xml:space="preserve"> and </w:t>
      </w:r>
      <w:r>
        <w:rPr>
          <w:sz w:val="24"/>
        </w:rPr>
        <w:t>the Brazilian real</w:t>
      </w:r>
      <w:r>
        <w:rPr>
          <w:rFonts w:hint="eastAsia"/>
          <w:sz w:val="24"/>
        </w:rPr>
        <w:t xml:space="preserve"> depreciated</w:t>
      </w:r>
      <w:r>
        <w:rPr>
          <w:sz w:val="24"/>
        </w:rPr>
        <w:t xml:space="preserve"> against the USD by </w:t>
      </w:r>
      <w:r>
        <w:rPr>
          <w:rFonts w:hint="eastAsia"/>
          <w:sz w:val="24"/>
        </w:rPr>
        <w:t>30</w:t>
      </w:r>
      <w:r>
        <w:rPr>
          <w:sz w:val="24"/>
        </w:rPr>
        <w:t>.</w:t>
      </w:r>
      <w:r>
        <w:rPr>
          <w:rFonts w:hint="eastAsia"/>
          <w:sz w:val="24"/>
        </w:rPr>
        <w:t>04</w:t>
      </w:r>
      <w:r>
        <w:rPr>
          <w:sz w:val="24"/>
        </w:rPr>
        <w:t xml:space="preserve"> percent, </w:t>
      </w:r>
      <w:r>
        <w:rPr>
          <w:rFonts w:hint="eastAsia"/>
          <w:sz w:val="24"/>
        </w:rPr>
        <w:t>24</w:t>
      </w:r>
      <w:r>
        <w:rPr>
          <w:sz w:val="24"/>
        </w:rPr>
        <w:t>.</w:t>
      </w:r>
      <w:r>
        <w:rPr>
          <w:rFonts w:hint="eastAsia"/>
          <w:sz w:val="24"/>
        </w:rPr>
        <w:t>26</w:t>
      </w:r>
      <w:r>
        <w:rPr>
          <w:sz w:val="24"/>
        </w:rPr>
        <w:t xml:space="preserve"> percent,</w:t>
      </w:r>
      <w:r>
        <w:rPr>
          <w:rFonts w:hint="eastAsia"/>
          <w:sz w:val="24"/>
        </w:rPr>
        <w:t xml:space="preserve"> 5.59 percent, 4</w:t>
      </w:r>
      <w:r>
        <w:rPr>
          <w:sz w:val="24"/>
        </w:rPr>
        <w:t>.</w:t>
      </w:r>
      <w:r>
        <w:rPr>
          <w:rFonts w:hint="eastAsia"/>
          <w:sz w:val="24"/>
        </w:rPr>
        <w:t>25</w:t>
      </w:r>
      <w:r>
        <w:rPr>
          <w:sz w:val="24"/>
        </w:rPr>
        <w:t xml:space="preserve"> percent</w:t>
      </w:r>
      <w:r>
        <w:rPr>
          <w:rFonts w:hint="eastAsia"/>
          <w:sz w:val="24"/>
        </w:rPr>
        <w:t xml:space="preserve">, </w:t>
      </w:r>
      <w:r>
        <w:rPr>
          <w:sz w:val="24"/>
        </w:rPr>
        <w:t xml:space="preserve">and </w:t>
      </w:r>
      <w:r>
        <w:rPr>
          <w:rFonts w:hint="eastAsia"/>
          <w:sz w:val="24"/>
        </w:rPr>
        <w:t xml:space="preserve">4.23 </w:t>
      </w:r>
      <w:r>
        <w:rPr>
          <w:sz w:val="24"/>
        </w:rPr>
        <w:t>percent respectively compared with end-</w:t>
      </w:r>
      <w:r>
        <w:rPr>
          <w:rFonts w:hint="eastAsia"/>
          <w:sz w:val="24"/>
        </w:rPr>
        <w:t>June. T</w:t>
      </w:r>
      <w:r>
        <w:rPr>
          <w:sz w:val="24"/>
        </w:rPr>
        <w:t>he Mexican peso</w:t>
      </w:r>
      <w:r>
        <w:rPr>
          <w:rFonts w:hint="eastAsia"/>
          <w:sz w:val="24"/>
        </w:rPr>
        <w:t xml:space="preserve"> appreciated 6.42 percent against the </w:t>
      </w:r>
      <w:r>
        <w:rPr>
          <w:sz w:val="24"/>
        </w:rPr>
        <w:t>USD</w:t>
      </w:r>
      <w:r>
        <w:rPr>
          <w:rFonts w:hint="eastAsia"/>
          <w:sz w:val="24"/>
        </w:rPr>
        <w:t xml:space="preserve"> during the same period.</w:t>
      </w:r>
    </w:p>
    <w:p w:rsidR="001031BB" w:rsidRDefault="001031BB" w:rsidP="001031BB">
      <w:pPr>
        <w:spacing w:line="360" w:lineRule="auto"/>
        <w:rPr>
          <w:sz w:val="24"/>
        </w:rPr>
      </w:pPr>
    </w:p>
    <w:p w:rsidR="001031BB" w:rsidRDefault="001031BB" w:rsidP="001031BB">
      <w:pPr>
        <w:spacing w:line="360" w:lineRule="auto"/>
        <w:rPr>
          <w:sz w:val="24"/>
        </w:rPr>
      </w:pPr>
      <w:r>
        <w:rPr>
          <w:b/>
          <w:sz w:val="24"/>
        </w:rPr>
        <w:t xml:space="preserve">Global money-market rates generally </w:t>
      </w:r>
      <w:r>
        <w:rPr>
          <w:rFonts w:hint="eastAsia"/>
          <w:b/>
          <w:sz w:val="24"/>
        </w:rPr>
        <w:t>edg</w:t>
      </w:r>
      <w:r>
        <w:rPr>
          <w:b/>
          <w:sz w:val="24"/>
        </w:rPr>
        <w:t>ed up</w:t>
      </w:r>
      <w:r>
        <w:rPr>
          <w:rFonts w:hint="eastAsia"/>
          <w:b/>
          <w:sz w:val="24"/>
        </w:rPr>
        <w:t>.</w:t>
      </w:r>
      <w:r>
        <w:rPr>
          <w:b/>
          <w:sz w:val="24"/>
        </w:rPr>
        <w:t xml:space="preserve"> </w:t>
      </w:r>
      <w:r>
        <w:rPr>
          <w:rFonts w:hint="eastAsia"/>
          <w:sz w:val="24"/>
        </w:rPr>
        <w:t>D</w:t>
      </w:r>
      <w:r>
        <w:rPr>
          <w:sz w:val="24"/>
        </w:rPr>
        <w:t>ue to</w:t>
      </w:r>
      <w:r>
        <w:rPr>
          <w:rFonts w:hint="eastAsia"/>
          <w:sz w:val="24"/>
        </w:rPr>
        <w:t xml:space="preserve"> continuous</w:t>
      </w:r>
      <w:r>
        <w:rPr>
          <w:sz w:val="24"/>
        </w:rPr>
        <w:t xml:space="preserve"> interest-rate hikes by the Fed, the USD Libor</w:t>
      </w:r>
      <w:r>
        <w:rPr>
          <w:rFonts w:hint="eastAsia"/>
          <w:sz w:val="24"/>
        </w:rPr>
        <w:t xml:space="preserve"> in the London interbank market rose slightly</w:t>
      </w:r>
      <w:r>
        <w:rPr>
          <w:sz w:val="24"/>
        </w:rPr>
        <w:t xml:space="preserve">. </w:t>
      </w:r>
      <w:r>
        <w:rPr>
          <w:rFonts w:hint="eastAsia"/>
          <w:sz w:val="24"/>
        </w:rPr>
        <w:t xml:space="preserve">The one-year Libor stood at 2.9186 percent as of September 28, up 15 basis points (bps) from end-June. </w:t>
      </w:r>
      <w:r>
        <w:rPr>
          <w:sz w:val="24"/>
        </w:rPr>
        <w:t>The</w:t>
      </w:r>
      <w:r>
        <w:rPr>
          <w:rFonts w:hint="eastAsia"/>
          <w:sz w:val="24"/>
        </w:rPr>
        <w:t xml:space="preserve"> </w:t>
      </w:r>
      <w:r>
        <w:rPr>
          <w:sz w:val="24"/>
        </w:rPr>
        <w:t>E</w:t>
      </w:r>
      <w:r>
        <w:rPr>
          <w:rFonts w:hint="eastAsia"/>
          <w:sz w:val="24"/>
        </w:rPr>
        <w:t xml:space="preserve">uro </w:t>
      </w:r>
      <w:r>
        <w:rPr>
          <w:sz w:val="24"/>
        </w:rPr>
        <w:t>A</w:t>
      </w:r>
      <w:r>
        <w:rPr>
          <w:rFonts w:hint="eastAsia"/>
          <w:sz w:val="24"/>
        </w:rPr>
        <w:t xml:space="preserve">rea </w:t>
      </w:r>
      <w:r>
        <w:rPr>
          <w:sz w:val="24"/>
        </w:rPr>
        <w:t>I</w:t>
      </w:r>
      <w:r>
        <w:rPr>
          <w:rFonts w:hint="eastAsia"/>
          <w:sz w:val="24"/>
        </w:rPr>
        <w:t xml:space="preserve">nterbank </w:t>
      </w:r>
      <w:r>
        <w:rPr>
          <w:sz w:val="24"/>
        </w:rPr>
        <w:t>L</w:t>
      </w:r>
      <w:r>
        <w:rPr>
          <w:rFonts w:hint="eastAsia"/>
          <w:sz w:val="24"/>
        </w:rPr>
        <w:t xml:space="preserve">ending </w:t>
      </w:r>
      <w:r>
        <w:rPr>
          <w:sz w:val="24"/>
        </w:rPr>
        <w:t>R</w:t>
      </w:r>
      <w:r>
        <w:rPr>
          <w:rFonts w:hint="eastAsia"/>
          <w:sz w:val="24"/>
        </w:rPr>
        <w:t>ate (</w:t>
      </w:r>
      <w:r>
        <w:rPr>
          <w:sz w:val="24"/>
        </w:rPr>
        <w:t>Euribor</w:t>
      </w:r>
      <w:r>
        <w:rPr>
          <w:rFonts w:hint="eastAsia"/>
          <w:sz w:val="24"/>
        </w:rPr>
        <w:t>)</w:t>
      </w:r>
      <w:r>
        <w:rPr>
          <w:sz w:val="24"/>
        </w:rPr>
        <w:t xml:space="preserve"> </w:t>
      </w:r>
      <w:r>
        <w:rPr>
          <w:rFonts w:hint="eastAsia"/>
          <w:sz w:val="24"/>
        </w:rPr>
        <w:t xml:space="preserve">edged up </w:t>
      </w:r>
      <w:r>
        <w:rPr>
          <w:sz w:val="24"/>
        </w:rPr>
        <w:t xml:space="preserve">due to </w:t>
      </w:r>
      <w:r>
        <w:rPr>
          <w:rFonts w:hint="eastAsia"/>
          <w:sz w:val="24"/>
        </w:rPr>
        <w:t xml:space="preserve">expectations </w:t>
      </w:r>
      <w:r>
        <w:rPr>
          <w:sz w:val="24"/>
        </w:rPr>
        <w:t>of a</w:t>
      </w:r>
      <w:r>
        <w:rPr>
          <w:rFonts w:hint="eastAsia"/>
          <w:sz w:val="24"/>
        </w:rPr>
        <w:t xml:space="preserve"> policy tightening by the</w:t>
      </w:r>
      <w:r>
        <w:rPr>
          <w:sz w:val="24"/>
        </w:rPr>
        <w:t xml:space="preserve"> European Central Bank (ECB). As of </w:t>
      </w:r>
      <w:r>
        <w:rPr>
          <w:rFonts w:hint="eastAsia"/>
          <w:sz w:val="24"/>
        </w:rPr>
        <w:t>September 28</w:t>
      </w:r>
      <w:r>
        <w:rPr>
          <w:sz w:val="24"/>
        </w:rPr>
        <w:t>, the 1-year Euribor registered –0.1</w:t>
      </w:r>
      <w:r>
        <w:rPr>
          <w:rFonts w:hint="eastAsia"/>
          <w:sz w:val="24"/>
        </w:rPr>
        <w:t xml:space="preserve">590 </w:t>
      </w:r>
      <w:r>
        <w:rPr>
          <w:sz w:val="24"/>
        </w:rPr>
        <w:t xml:space="preserve">percent, </w:t>
      </w:r>
      <w:r>
        <w:rPr>
          <w:rFonts w:hint="eastAsia"/>
          <w:sz w:val="24"/>
        </w:rPr>
        <w:t xml:space="preserve">with </w:t>
      </w:r>
      <w:r>
        <w:rPr>
          <w:sz w:val="24"/>
        </w:rPr>
        <w:t>a</w:t>
      </w:r>
      <w:r>
        <w:rPr>
          <w:rFonts w:hint="eastAsia"/>
          <w:sz w:val="24"/>
        </w:rPr>
        <w:t xml:space="preserve"> gain</w:t>
      </w:r>
      <w:r>
        <w:rPr>
          <w:sz w:val="24"/>
        </w:rPr>
        <w:t xml:space="preserve"> of </w:t>
      </w:r>
      <w:r>
        <w:rPr>
          <w:rFonts w:hint="eastAsia"/>
          <w:sz w:val="24"/>
        </w:rPr>
        <w:t>2</w:t>
      </w:r>
      <w:r>
        <w:rPr>
          <w:sz w:val="24"/>
        </w:rPr>
        <w:t>.</w:t>
      </w:r>
      <w:r>
        <w:rPr>
          <w:rFonts w:hint="eastAsia"/>
          <w:sz w:val="24"/>
        </w:rPr>
        <w:t>2</w:t>
      </w:r>
      <w:r>
        <w:rPr>
          <w:sz w:val="24"/>
        </w:rPr>
        <w:t xml:space="preserve"> bp</w:t>
      </w:r>
      <w:r>
        <w:rPr>
          <w:rFonts w:hint="eastAsia"/>
          <w:sz w:val="24"/>
        </w:rPr>
        <w:t>s</w:t>
      </w:r>
      <w:r>
        <w:rPr>
          <w:sz w:val="24"/>
        </w:rPr>
        <w:t xml:space="preserve"> </w:t>
      </w:r>
      <w:r>
        <w:rPr>
          <w:rFonts w:hint="eastAsia"/>
          <w:sz w:val="24"/>
        </w:rPr>
        <w:t>over end-June</w:t>
      </w:r>
      <w:r>
        <w:rPr>
          <w:sz w:val="24"/>
        </w:rPr>
        <w:t>.</w:t>
      </w:r>
    </w:p>
    <w:p w:rsidR="001031BB" w:rsidRDefault="001031BB" w:rsidP="001031BB">
      <w:pPr>
        <w:spacing w:line="360" w:lineRule="auto"/>
        <w:rPr>
          <w:sz w:val="24"/>
        </w:rPr>
      </w:pPr>
    </w:p>
    <w:p w:rsidR="001031BB" w:rsidRDefault="001031BB" w:rsidP="001031BB">
      <w:pPr>
        <w:spacing w:line="360" w:lineRule="auto"/>
        <w:rPr>
          <w:sz w:val="24"/>
        </w:rPr>
      </w:pPr>
      <w:r>
        <w:rPr>
          <w:rFonts w:hint="eastAsia"/>
          <w:b/>
          <w:sz w:val="24"/>
        </w:rPr>
        <w:t xml:space="preserve">The yields of government bonds </w:t>
      </w:r>
      <w:r>
        <w:rPr>
          <w:b/>
          <w:sz w:val="24"/>
        </w:rPr>
        <w:t xml:space="preserve">in the major economies </w:t>
      </w:r>
      <w:r>
        <w:rPr>
          <w:rFonts w:hint="eastAsia"/>
          <w:b/>
          <w:sz w:val="24"/>
        </w:rPr>
        <w:t>generally rose</w:t>
      </w:r>
      <w:r>
        <w:rPr>
          <w:b/>
          <w:sz w:val="24"/>
        </w:rPr>
        <w:t>.</w:t>
      </w:r>
      <w:r>
        <w:rPr>
          <w:rFonts w:hint="eastAsia"/>
          <w:sz w:val="24"/>
        </w:rPr>
        <w:t xml:space="preserve"> </w:t>
      </w:r>
      <w:r>
        <w:rPr>
          <w:sz w:val="24"/>
        </w:rPr>
        <w:t xml:space="preserve"> As of end-</w:t>
      </w:r>
      <w:r>
        <w:rPr>
          <w:rFonts w:hint="eastAsia"/>
          <w:sz w:val="24"/>
        </w:rPr>
        <w:t>September</w:t>
      </w:r>
      <w:r>
        <w:rPr>
          <w:sz w:val="24"/>
        </w:rPr>
        <w:t>, the yield of 10-year U</w:t>
      </w:r>
      <w:r>
        <w:rPr>
          <w:rFonts w:hint="eastAsia"/>
          <w:sz w:val="24"/>
        </w:rPr>
        <w:t>.</w:t>
      </w:r>
      <w:r>
        <w:rPr>
          <w:sz w:val="24"/>
        </w:rPr>
        <w:t>S</w:t>
      </w:r>
      <w:r>
        <w:rPr>
          <w:rFonts w:hint="eastAsia"/>
          <w:sz w:val="24"/>
        </w:rPr>
        <w:t>.</w:t>
      </w:r>
      <w:r>
        <w:rPr>
          <w:sz w:val="24"/>
        </w:rPr>
        <w:t xml:space="preserve"> Treasuries</w:t>
      </w:r>
      <w:r>
        <w:rPr>
          <w:rFonts w:hint="eastAsia"/>
          <w:sz w:val="24"/>
        </w:rPr>
        <w:t xml:space="preserve"> closed at 3.056 percent, up 20.5 bps from end-June. Meanwhile</w:t>
      </w:r>
      <w:r>
        <w:rPr>
          <w:sz w:val="24"/>
        </w:rPr>
        <w:t>,</w:t>
      </w:r>
      <w:r>
        <w:rPr>
          <w:rFonts w:hint="eastAsia"/>
          <w:sz w:val="24"/>
        </w:rPr>
        <w:t xml:space="preserve"> th</w:t>
      </w:r>
      <w:r>
        <w:rPr>
          <w:sz w:val="24"/>
        </w:rPr>
        <w:t>e yield</w:t>
      </w:r>
      <w:r>
        <w:rPr>
          <w:rFonts w:hint="eastAsia"/>
          <w:sz w:val="24"/>
        </w:rPr>
        <w:t>s of</w:t>
      </w:r>
      <w:r>
        <w:rPr>
          <w:sz w:val="24"/>
        </w:rPr>
        <w:t xml:space="preserve"> </w:t>
      </w:r>
      <w:r>
        <w:rPr>
          <w:rFonts w:hint="eastAsia"/>
          <w:sz w:val="24"/>
        </w:rPr>
        <w:t xml:space="preserve">10-year </w:t>
      </w:r>
      <w:r>
        <w:rPr>
          <w:sz w:val="24"/>
        </w:rPr>
        <w:t>German</w:t>
      </w:r>
      <w:r>
        <w:rPr>
          <w:rFonts w:hint="eastAsia"/>
          <w:sz w:val="24"/>
        </w:rPr>
        <w:t>, UK, French</w:t>
      </w:r>
      <w:r>
        <w:rPr>
          <w:sz w:val="24"/>
        </w:rPr>
        <w:t>,</w:t>
      </w:r>
      <w:r>
        <w:rPr>
          <w:rFonts w:hint="eastAsia"/>
          <w:sz w:val="24"/>
        </w:rPr>
        <w:t xml:space="preserve"> and Japanese</w:t>
      </w:r>
      <w:r>
        <w:rPr>
          <w:sz w:val="24"/>
        </w:rPr>
        <w:t xml:space="preserve"> government bonds closed at </w:t>
      </w:r>
      <w:r>
        <w:rPr>
          <w:rFonts w:hint="eastAsia"/>
          <w:sz w:val="24"/>
        </w:rPr>
        <w:t>0.474</w:t>
      </w:r>
      <w:r>
        <w:rPr>
          <w:sz w:val="24"/>
        </w:rPr>
        <w:t xml:space="preserve"> percent, 1.</w:t>
      </w:r>
      <w:r>
        <w:rPr>
          <w:rFonts w:hint="eastAsia"/>
          <w:sz w:val="24"/>
        </w:rPr>
        <w:t>574</w:t>
      </w:r>
      <w:r>
        <w:rPr>
          <w:sz w:val="24"/>
        </w:rPr>
        <w:t xml:space="preserve"> percent, </w:t>
      </w:r>
      <w:r>
        <w:rPr>
          <w:rFonts w:hint="eastAsia"/>
          <w:sz w:val="24"/>
        </w:rPr>
        <w:t xml:space="preserve">0.808 percent, </w:t>
      </w:r>
      <w:r>
        <w:rPr>
          <w:sz w:val="24"/>
        </w:rPr>
        <w:t>and 0.</w:t>
      </w:r>
      <w:r>
        <w:rPr>
          <w:rFonts w:hint="eastAsia"/>
          <w:sz w:val="24"/>
        </w:rPr>
        <w:t>126</w:t>
      </w:r>
      <w:r>
        <w:rPr>
          <w:sz w:val="24"/>
        </w:rPr>
        <w:t xml:space="preserve"> percent, </w:t>
      </w:r>
      <w:r>
        <w:rPr>
          <w:rFonts w:hint="eastAsia"/>
          <w:sz w:val="24"/>
        </w:rPr>
        <w:t>up</w:t>
      </w:r>
      <w:r>
        <w:rPr>
          <w:sz w:val="24"/>
        </w:rPr>
        <w:t xml:space="preserve"> </w:t>
      </w:r>
      <w:r>
        <w:rPr>
          <w:rFonts w:hint="eastAsia"/>
          <w:sz w:val="24"/>
        </w:rPr>
        <w:t xml:space="preserve">16.6 </w:t>
      </w:r>
      <w:r>
        <w:rPr>
          <w:sz w:val="24"/>
        </w:rPr>
        <w:t xml:space="preserve">bps, </w:t>
      </w:r>
      <w:r>
        <w:rPr>
          <w:rFonts w:hint="eastAsia"/>
          <w:sz w:val="24"/>
        </w:rPr>
        <w:t>29.5</w:t>
      </w:r>
      <w:r>
        <w:rPr>
          <w:sz w:val="24"/>
        </w:rPr>
        <w:t xml:space="preserve"> bps, </w:t>
      </w:r>
      <w:r>
        <w:rPr>
          <w:rFonts w:hint="eastAsia"/>
          <w:sz w:val="24"/>
        </w:rPr>
        <w:t>14 bps</w:t>
      </w:r>
      <w:r>
        <w:rPr>
          <w:sz w:val="24"/>
        </w:rPr>
        <w:t>,</w:t>
      </w:r>
      <w:r>
        <w:rPr>
          <w:rFonts w:hint="eastAsia"/>
          <w:sz w:val="24"/>
        </w:rPr>
        <w:t xml:space="preserve"> </w:t>
      </w:r>
      <w:r>
        <w:rPr>
          <w:sz w:val="24"/>
        </w:rPr>
        <w:t xml:space="preserve">and </w:t>
      </w:r>
      <w:r>
        <w:rPr>
          <w:rFonts w:hint="eastAsia"/>
          <w:sz w:val="24"/>
        </w:rPr>
        <w:t>9.5</w:t>
      </w:r>
      <w:r>
        <w:rPr>
          <w:sz w:val="24"/>
        </w:rPr>
        <w:t xml:space="preserve"> bp</w:t>
      </w:r>
      <w:r>
        <w:rPr>
          <w:rFonts w:hint="eastAsia"/>
          <w:sz w:val="24"/>
        </w:rPr>
        <w:t>s</w:t>
      </w:r>
      <w:r>
        <w:rPr>
          <w:sz w:val="24"/>
        </w:rPr>
        <w:t xml:space="preserve"> respectively </w:t>
      </w:r>
      <w:r>
        <w:rPr>
          <w:rFonts w:hint="eastAsia"/>
          <w:sz w:val="24"/>
        </w:rPr>
        <w:t>from</w:t>
      </w:r>
      <w:r>
        <w:rPr>
          <w:sz w:val="24"/>
        </w:rPr>
        <w:t xml:space="preserve"> end</w:t>
      </w:r>
      <w:r>
        <w:rPr>
          <w:rFonts w:hint="eastAsia"/>
          <w:sz w:val="24"/>
        </w:rPr>
        <w:t>-June</w:t>
      </w:r>
      <w:r>
        <w:rPr>
          <w:sz w:val="24"/>
        </w:rPr>
        <w:t xml:space="preserve">. Among the emerging market economies, the yields of 10-year </w:t>
      </w:r>
      <w:r>
        <w:rPr>
          <w:rFonts w:hint="eastAsia"/>
          <w:sz w:val="24"/>
        </w:rPr>
        <w:t xml:space="preserve">Turkish, Brazilian, </w:t>
      </w:r>
      <w:r>
        <w:rPr>
          <w:sz w:val="24"/>
        </w:rPr>
        <w:t xml:space="preserve">Russian, </w:t>
      </w:r>
      <w:r>
        <w:rPr>
          <w:rFonts w:hint="eastAsia"/>
          <w:sz w:val="24"/>
        </w:rPr>
        <w:t>Mexican</w:t>
      </w:r>
      <w:r>
        <w:rPr>
          <w:sz w:val="24"/>
        </w:rPr>
        <w:t>,</w:t>
      </w:r>
      <w:r>
        <w:rPr>
          <w:rFonts w:hint="eastAsia"/>
          <w:sz w:val="24"/>
        </w:rPr>
        <w:t xml:space="preserve"> </w:t>
      </w:r>
      <w:r>
        <w:rPr>
          <w:sz w:val="24"/>
        </w:rPr>
        <w:t xml:space="preserve">and </w:t>
      </w:r>
      <w:r>
        <w:rPr>
          <w:rFonts w:hint="eastAsia"/>
          <w:sz w:val="24"/>
        </w:rPr>
        <w:t>Indian</w:t>
      </w:r>
      <w:r>
        <w:rPr>
          <w:sz w:val="24"/>
        </w:rPr>
        <w:t xml:space="preserve"> government bonds </w:t>
      </w:r>
      <w:r>
        <w:rPr>
          <w:rFonts w:hint="eastAsia"/>
          <w:sz w:val="24"/>
        </w:rPr>
        <w:t>rose 101 bps, 1.5 bps, 87 bps, 34 bps</w:t>
      </w:r>
      <w:r>
        <w:rPr>
          <w:sz w:val="24"/>
        </w:rPr>
        <w:t>,</w:t>
      </w:r>
      <w:r>
        <w:rPr>
          <w:rFonts w:hint="eastAsia"/>
          <w:sz w:val="24"/>
        </w:rPr>
        <w:t xml:space="preserve"> and 12.1 bps respectively</w:t>
      </w:r>
      <w:r>
        <w:rPr>
          <w:sz w:val="24"/>
        </w:rPr>
        <w:t xml:space="preserve"> </w:t>
      </w:r>
      <w:r>
        <w:rPr>
          <w:rFonts w:hint="eastAsia"/>
          <w:sz w:val="24"/>
        </w:rPr>
        <w:t>from end-June. T</w:t>
      </w:r>
      <w:r>
        <w:rPr>
          <w:sz w:val="24"/>
        </w:rPr>
        <w:t xml:space="preserve">he yield of </w:t>
      </w:r>
      <w:r>
        <w:rPr>
          <w:rFonts w:hint="eastAsia"/>
          <w:sz w:val="24"/>
        </w:rPr>
        <w:t>9</w:t>
      </w:r>
      <w:r>
        <w:rPr>
          <w:sz w:val="24"/>
        </w:rPr>
        <w:t>-year</w:t>
      </w:r>
      <w:r>
        <w:rPr>
          <w:rFonts w:hint="eastAsia"/>
          <w:sz w:val="24"/>
        </w:rPr>
        <w:t xml:space="preserve"> Argentine government bonds rose 104.6 bps during the same period.   </w:t>
      </w:r>
    </w:p>
    <w:p w:rsidR="001031BB" w:rsidRDefault="001031BB" w:rsidP="001031BB">
      <w:pPr>
        <w:spacing w:line="360" w:lineRule="auto"/>
        <w:rPr>
          <w:sz w:val="24"/>
        </w:rPr>
      </w:pPr>
    </w:p>
    <w:p w:rsidR="001031BB" w:rsidRDefault="001031BB" w:rsidP="001031BB">
      <w:pPr>
        <w:spacing w:line="360" w:lineRule="auto"/>
        <w:rPr>
          <w:sz w:val="24"/>
        </w:rPr>
      </w:pPr>
      <w:r>
        <w:rPr>
          <w:b/>
          <w:sz w:val="24"/>
        </w:rPr>
        <w:t>The s</w:t>
      </w:r>
      <w:r>
        <w:rPr>
          <w:rFonts w:hint="eastAsia"/>
          <w:b/>
          <w:sz w:val="24"/>
        </w:rPr>
        <w:t xml:space="preserve">tock markets in </w:t>
      </w:r>
      <w:r>
        <w:rPr>
          <w:b/>
          <w:sz w:val="24"/>
        </w:rPr>
        <w:t xml:space="preserve">the </w:t>
      </w:r>
      <w:r>
        <w:rPr>
          <w:rFonts w:hint="eastAsia"/>
          <w:b/>
          <w:sz w:val="24"/>
        </w:rPr>
        <w:t>major economies generally r</w:t>
      </w:r>
      <w:r>
        <w:rPr>
          <w:b/>
          <w:sz w:val="24"/>
        </w:rPr>
        <w:t>ose</w:t>
      </w:r>
      <w:r>
        <w:rPr>
          <w:rFonts w:hint="eastAsia"/>
          <w:b/>
          <w:sz w:val="24"/>
        </w:rPr>
        <w:t>, but</w:t>
      </w:r>
      <w:r>
        <w:rPr>
          <w:b/>
          <w:sz w:val="24"/>
        </w:rPr>
        <w:t xml:space="preserve"> recently they have</w:t>
      </w:r>
      <w:r>
        <w:rPr>
          <w:rFonts w:hint="eastAsia"/>
          <w:b/>
          <w:sz w:val="24"/>
        </w:rPr>
        <w:t xml:space="preserve"> experienced greater volatility.</w:t>
      </w:r>
      <w:r>
        <w:rPr>
          <w:sz w:val="24"/>
        </w:rPr>
        <w:t xml:space="preserve"> As of end-</w:t>
      </w:r>
      <w:r>
        <w:rPr>
          <w:rFonts w:hint="eastAsia"/>
          <w:sz w:val="24"/>
        </w:rPr>
        <w:t>September</w:t>
      </w:r>
      <w:r>
        <w:rPr>
          <w:sz w:val="24"/>
        </w:rPr>
        <w:t>, the U</w:t>
      </w:r>
      <w:r>
        <w:rPr>
          <w:rFonts w:hint="eastAsia"/>
          <w:sz w:val="24"/>
        </w:rPr>
        <w:t>.</w:t>
      </w:r>
      <w:r>
        <w:rPr>
          <w:sz w:val="24"/>
        </w:rPr>
        <w:t>S</w:t>
      </w:r>
      <w:r>
        <w:rPr>
          <w:rFonts w:hint="eastAsia"/>
          <w:sz w:val="24"/>
        </w:rPr>
        <w:t>.</w:t>
      </w:r>
      <w:r>
        <w:rPr>
          <w:sz w:val="24"/>
        </w:rPr>
        <w:t xml:space="preserve"> Dow Jones Industrial Average, the Japanese Nikkei 225, </w:t>
      </w:r>
      <w:r>
        <w:rPr>
          <w:rFonts w:hint="eastAsia"/>
          <w:sz w:val="24"/>
        </w:rPr>
        <w:t xml:space="preserve">and </w:t>
      </w:r>
      <w:r>
        <w:rPr>
          <w:sz w:val="24"/>
        </w:rPr>
        <w:t xml:space="preserve">the </w:t>
      </w:r>
      <w:r>
        <w:rPr>
          <w:rFonts w:hint="eastAsia"/>
          <w:sz w:val="24"/>
        </w:rPr>
        <w:t xml:space="preserve">Euro </w:t>
      </w:r>
      <w:r>
        <w:rPr>
          <w:sz w:val="24"/>
        </w:rPr>
        <w:t xml:space="preserve">STOXX 50 </w:t>
      </w:r>
      <w:r>
        <w:rPr>
          <w:rFonts w:hint="eastAsia"/>
          <w:sz w:val="24"/>
        </w:rPr>
        <w:t>added</w:t>
      </w:r>
      <w:r>
        <w:rPr>
          <w:sz w:val="24"/>
        </w:rPr>
        <w:t xml:space="preserve"> </w:t>
      </w:r>
      <w:r>
        <w:rPr>
          <w:rFonts w:hint="eastAsia"/>
          <w:sz w:val="24"/>
        </w:rPr>
        <w:t>9.01</w:t>
      </w:r>
      <w:r>
        <w:rPr>
          <w:sz w:val="24"/>
        </w:rPr>
        <w:t xml:space="preserve"> percent, </w:t>
      </w:r>
      <w:r>
        <w:rPr>
          <w:rFonts w:hint="eastAsia"/>
          <w:sz w:val="24"/>
        </w:rPr>
        <w:t>8</w:t>
      </w:r>
      <w:r>
        <w:rPr>
          <w:sz w:val="24"/>
        </w:rPr>
        <w:t>.</w:t>
      </w:r>
      <w:r>
        <w:rPr>
          <w:rFonts w:hint="eastAsia"/>
          <w:sz w:val="24"/>
        </w:rPr>
        <w:t>14</w:t>
      </w:r>
      <w:r>
        <w:rPr>
          <w:sz w:val="24"/>
        </w:rPr>
        <w:t xml:space="preserve"> percent,</w:t>
      </w:r>
      <w:r>
        <w:rPr>
          <w:rFonts w:hint="eastAsia"/>
          <w:sz w:val="24"/>
        </w:rPr>
        <w:t xml:space="preserve"> </w:t>
      </w:r>
      <w:r>
        <w:rPr>
          <w:sz w:val="24"/>
        </w:rPr>
        <w:t xml:space="preserve">and </w:t>
      </w:r>
      <w:r>
        <w:rPr>
          <w:rFonts w:hint="eastAsia"/>
          <w:sz w:val="24"/>
        </w:rPr>
        <w:t>0</w:t>
      </w:r>
      <w:r>
        <w:rPr>
          <w:sz w:val="24"/>
        </w:rPr>
        <w:t>.</w:t>
      </w:r>
      <w:r>
        <w:rPr>
          <w:rFonts w:hint="eastAsia"/>
          <w:sz w:val="24"/>
        </w:rPr>
        <w:t>11</w:t>
      </w:r>
      <w:r>
        <w:rPr>
          <w:sz w:val="24"/>
        </w:rPr>
        <w:t xml:space="preserve"> percent respectively over end</w:t>
      </w:r>
      <w:r>
        <w:rPr>
          <w:rFonts w:hint="eastAsia"/>
          <w:sz w:val="24"/>
        </w:rPr>
        <w:t>-June, wh</w:t>
      </w:r>
      <w:r>
        <w:rPr>
          <w:sz w:val="24"/>
        </w:rPr>
        <w:t>ereas</w:t>
      </w:r>
      <w:r>
        <w:rPr>
          <w:rFonts w:hint="eastAsia"/>
          <w:sz w:val="24"/>
        </w:rPr>
        <w:t xml:space="preserve"> </w:t>
      </w:r>
      <w:r>
        <w:rPr>
          <w:sz w:val="24"/>
        </w:rPr>
        <w:t>the German DAX and the UK FTSE 100</w:t>
      </w:r>
      <w:r>
        <w:rPr>
          <w:rFonts w:hint="eastAsia"/>
          <w:sz w:val="24"/>
        </w:rPr>
        <w:t xml:space="preserve"> lost 0.48 percent and 1.66 percent respectively during the same period. Among the </w:t>
      </w:r>
      <w:r>
        <w:rPr>
          <w:sz w:val="24"/>
        </w:rPr>
        <w:t>emerging market economies</w:t>
      </w:r>
      <w:r>
        <w:rPr>
          <w:rFonts w:hint="eastAsia"/>
          <w:sz w:val="24"/>
        </w:rPr>
        <w:t>, the Indian SENSEX, the Mexican MXX, the Argentine BUSE MERVAL, the Turkish BIST30, the Brazilian BOVESPA</w:t>
      </w:r>
      <w:r>
        <w:rPr>
          <w:sz w:val="24"/>
        </w:rPr>
        <w:t>,</w:t>
      </w:r>
      <w:r>
        <w:rPr>
          <w:rFonts w:hint="eastAsia"/>
          <w:sz w:val="24"/>
        </w:rPr>
        <w:t xml:space="preserve"> and the Russian RTS gained</w:t>
      </w:r>
      <w:r>
        <w:rPr>
          <w:sz w:val="24"/>
        </w:rPr>
        <w:t xml:space="preserve"> </w:t>
      </w:r>
      <w:r>
        <w:rPr>
          <w:rFonts w:hint="eastAsia"/>
          <w:sz w:val="24"/>
        </w:rPr>
        <w:t>2.</w:t>
      </w:r>
      <w:r>
        <w:rPr>
          <w:sz w:val="24"/>
        </w:rPr>
        <w:t>2</w:t>
      </w:r>
      <w:r>
        <w:rPr>
          <w:rFonts w:hint="eastAsia"/>
          <w:sz w:val="24"/>
        </w:rPr>
        <w:t>7</w:t>
      </w:r>
      <w:r>
        <w:rPr>
          <w:sz w:val="24"/>
        </w:rPr>
        <w:t xml:space="preserve"> percent, </w:t>
      </w:r>
      <w:r>
        <w:rPr>
          <w:rFonts w:hint="eastAsia"/>
          <w:sz w:val="24"/>
        </w:rPr>
        <w:t>3.86 percent, 28.52 percent</w:t>
      </w:r>
      <w:r>
        <w:rPr>
          <w:sz w:val="24"/>
        </w:rPr>
        <w:t>,</w:t>
      </w:r>
      <w:r>
        <w:rPr>
          <w:rFonts w:hint="eastAsia"/>
          <w:sz w:val="24"/>
        </w:rPr>
        <w:t xml:space="preserve"> 4.95 percent, 9.04 percent, and 3.28</w:t>
      </w:r>
      <w:r>
        <w:rPr>
          <w:sz w:val="24"/>
        </w:rPr>
        <w:t xml:space="preserve"> percent respectively</w:t>
      </w:r>
      <w:r>
        <w:rPr>
          <w:rFonts w:hint="eastAsia"/>
          <w:sz w:val="24"/>
        </w:rPr>
        <w:t xml:space="preserve"> during the same period</w:t>
      </w:r>
      <w:r>
        <w:rPr>
          <w:sz w:val="24"/>
        </w:rPr>
        <w:t>.</w:t>
      </w:r>
      <w:r>
        <w:rPr>
          <w:rFonts w:hint="eastAsia"/>
          <w:sz w:val="24"/>
        </w:rPr>
        <w:t xml:space="preserve"> In October, the U.S. stock market saw a significant correction</w:t>
      </w:r>
      <w:r>
        <w:rPr>
          <w:sz w:val="24"/>
        </w:rPr>
        <w:t>,</w:t>
      </w:r>
      <w:r>
        <w:rPr>
          <w:rFonts w:hint="eastAsia"/>
          <w:sz w:val="24"/>
        </w:rPr>
        <w:t xml:space="preserve"> with </w:t>
      </w:r>
      <w:r>
        <w:rPr>
          <w:sz w:val="24"/>
        </w:rPr>
        <w:t xml:space="preserve">the </w:t>
      </w:r>
      <w:r>
        <w:rPr>
          <w:rFonts w:hint="eastAsia"/>
          <w:sz w:val="24"/>
        </w:rPr>
        <w:t>Dow Jones Industrial Average falling by 5.07 percent, and</w:t>
      </w:r>
      <w:r>
        <w:rPr>
          <w:sz w:val="24"/>
        </w:rPr>
        <w:t xml:space="preserve"> accordingly</w:t>
      </w:r>
      <w:r>
        <w:rPr>
          <w:rFonts w:hint="eastAsia"/>
          <w:sz w:val="24"/>
        </w:rPr>
        <w:t xml:space="preserve"> global stock markets broadly experienc</w:t>
      </w:r>
      <w:r>
        <w:rPr>
          <w:sz w:val="24"/>
        </w:rPr>
        <w:t>ed</w:t>
      </w:r>
      <w:r>
        <w:rPr>
          <w:rFonts w:hint="eastAsia"/>
          <w:sz w:val="24"/>
        </w:rPr>
        <w:t xml:space="preserve"> a downward fluctuation. The </w:t>
      </w:r>
      <w:r>
        <w:rPr>
          <w:sz w:val="24"/>
        </w:rPr>
        <w:t xml:space="preserve">Japanese Nikkei 225, </w:t>
      </w:r>
      <w:r>
        <w:rPr>
          <w:rFonts w:hint="eastAsia"/>
          <w:sz w:val="24"/>
        </w:rPr>
        <w:t>the Euro</w:t>
      </w:r>
      <w:r>
        <w:rPr>
          <w:sz w:val="24"/>
        </w:rPr>
        <w:t xml:space="preserve"> STOXX 50</w:t>
      </w:r>
      <w:r>
        <w:rPr>
          <w:rFonts w:hint="eastAsia"/>
          <w:sz w:val="24"/>
        </w:rPr>
        <w:t xml:space="preserve">, the German Frankfurt DAX, and the </w:t>
      </w:r>
      <w:r>
        <w:rPr>
          <w:sz w:val="24"/>
        </w:rPr>
        <w:t>UK FTSE 100</w:t>
      </w:r>
      <w:r>
        <w:rPr>
          <w:rFonts w:hint="eastAsia"/>
          <w:sz w:val="24"/>
        </w:rPr>
        <w:t xml:space="preserve"> lost 9.12 percent, 5.93 percent, 6.53 percent</w:t>
      </w:r>
      <w:r>
        <w:rPr>
          <w:sz w:val="24"/>
        </w:rPr>
        <w:t>,</w:t>
      </w:r>
      <w:r>
        <w:rPr>
          <w:rFonts w:hint="eastAsia"/>
          <w:sz w:val="24"/>
        </w:rPr>
        <w:t xml:space="preserve"> and 5.09 percent respectively. Meanwhile, the emerging market economies also experienced sharp </w:t>
      </w:r>
      <w:r>
        <w:rPr>
          <w:sz w:val="24"/>
        </w:rPr>
        <w:t xml:space="preserve">stock-market </w:t>
      </w:r>
      <w:r>
        <w:rPr>
          <w:rFonts w:hint="eastAsia"/>
          <w:sz w:val="24"/>
        </w:rPr>
        <w:t>fluctuations, with the Mexican MXX and the Argentine BUSE MERVAL falling sharply by more than 10 percent.</w:t>
      </w:r>
    </w:p>
    <w:p w:rsidR="001031BB" w:rsidRDefault="001031BB" w:rsidP="001031BB">
      <w:pPr>
        <w:spacing w:line="360" w:lineRule="auto"/>
        <w:rPr>
          <w:sz w:val="24"/>
        </w:rPr>
      </w:pPr>
    </w:p>
    <w:p w:rsidR="001031BB" w:rsidRDefault="001031BB" w:rsidP="001031BB">
      <w:pPr>
        <w:spacing w:line="360" w:lineRule="auto"/>
        <w:rPr>
          <w:b/>
          <w:sz w:val="24"/>
        </w:rPr>
      </w:pPr>
      <w:r>
        <w:rPr>
          <w:b/>
          <w:sz w:val="24"/>
        </w:rPr>
        <w:t>3. Monetary policies in the major economies</w:t>
      </w:r>
    </w:p>
    <w:p w:rsidR="001031BB" w:rsidRDefault="001031BB" w:rsidP="001031BB">
      <w:pPr>
        <w:spacing w:line="360" w:lineRule="auto"/>
        <w:rPr>
          <w:sz w:val="24"/>
        </w:rPr>
      </w:pPr>
      <w:r>
        <w:rPr>
          <w:rFonts w:hint="eastAsia"/>
          <w:b/>
          <w:sz w:val="24"/>
        </w:rPr>
        <w:t xml:space="preserve">The advanced economies were moving </w:t>
      </w:r>
      <w:r>
        <w:rPr>
          <w:b/>
          <w:sz w:val="24"/>
        </w:rPr>
        <w:t>in the direction of</w:t>
      </w:r>
      <w:r>
        <w:rPr>
          <w:rFonts w:hint="eastAsia"/>
          <w:b/>
          <w:sz w:val="24"/>
        </w:rPr>
        <w:t xml:space="preserve"> policy normalization.</w:t>
      </w:r>
      <w:r>
        <w:rPr>
          <w:rFonts w:hint="eastAsia"/>
          <w:sz w:val="24"/>
        </w:rPr>
        <w:t xml:space="preserve"> </w:t>
      </w:r>
      <w:r>
        <w:rPr>
          <w:sz w:val="24"/>
        </w:rPr>
        <w:lastRenderedPageBreak/>
        <w:t xml:space="preserve">The U.S. Fed </w:t>
      </w:r>
      <w:r>
        <w:rPr>
          <w:rFonts w:hint="eastAsia"/>
          <w:sz w:val="24"/>
        </w:rPr>
        <w:t>hiked rate</w:t>
      </w:r>
      <w:r>
        <w:rPr>
          <w:sz w:val="24"/>
        </w:rPr>
        <w:t>s</w:t>
      </w:r>
      <w:r>
        <w:rPr>
          <w:rFonts w:hint="eastAsia"/>
          <w:sz w:val="24"/>
        </w:rPr>
        <w:t xml:space="preserve"> in September, the ECB announced that it would exit from</w:t>
      </w:r>
      <w:r>
        <w:rPr>
          <w:sz w:val="24"/>
        </w:rPr>
        <w:t xml:space="preserve"> the</w:t>
      </w:r>
      <w:r>
        <w:rPr>
          <w:rFonts w:hint="eastAsia"/>
          <w:sz w:val="24"/>
        </w:rPr>
        <w:t xml:space="preserve"> quantitative easing (QE) by the end of 2018, the Bank of England (BOE) raised rate</w:t>
      </w:r>
      <w:r>
        <w:rPr>
          <w:sz w:val="24"/>
        </w:rPr>
        <w:t>s</w:t>
      </w:r>
      <w:r>
        <w:rPr>
          <w:rFonts w:hint="eastAsia"/>
          <w:sz w:val="24"/>
        </w:rPr>
        <w:t xml:space="preserve"> in August</w:t>
      </w:r>
      <w:r>
        <w:rPr>
          <w:sz w:val="24"/>
        </w:rPr>
        <w:t>,</w:t>
      </w:r>
      <w:r>
        <w:rPr>
          <w:rFonts w:hint="eastAsia"/>
          <w:sz w:val="24"/>
        </w:rPr>
        <w:t xml:space="preserve"> whereas the accommodative</w:t>
      </w:r>
      <w:r>
        <w:rPr>
          <w:sz w:val="24"/>
        </w:rPr>
        <w:t> stance</w:t>
      </w:r>
      <w:r>
        <w:rPr>
          <w:rFonts w:hint="eastAsia"/>
          <w:sz w:val="24"/>
        </w:rPr>
        <w:t xml:space="preserve"> </w:t>
      </w:r>
      <w:r>
        <w:rPr>
          <w:sz w:val="24"/>
        </w:rPr>
        <w:t xml:space="preserve">of the </w:t>
      </w:r>
      <w:r>
        <w:rPr>
          <w:rFonts w:hint="eastAsia"/>
          <w:sz w:val="24"/>
        </w:rPr>
        <w:t xml:space="preserve">Bank of Japan (BOJ) </w:t>
      </w:r>
      <w:r>
        <w:rPr>
          <w:sz w:val="24"/>
        </w:rPr>
        <w:t>remained</w:t>
      </w:r>
      <w:r>
        <w:rPr>
          <w:rFonts w:hint="eastAsia"/>
          <w:sz w:val="24"/>
        </w:rPr>
        <w:t xml:space="preserve"> </w:t>
      </w:r>
      <w:r>
        <w:rPr>
          <w:sz w:val="24"/>
        </w:rPr>
        <w:t>unchanged.</w:t>
      </w:r>
      <w:r>
        <w:rPr>
          <w:rFonts w:hint="eastAsia"/>
          <w:sz w:val="24"/>
        </w:rPr>
        <w:t xml:space="preserve"> </w:t>
      </w:r>
      <w:r>
        <w:rPr>
          <w:sz w:val="24"/>
        </w:rPr>
        <w:t xml:space="preserve">On </w:t>
      </w:r>
      <w:r>
        <w:rPr>
          <w:rFonts w:hint="eastAsia"/>
          <w:sz w:val="24"/>
        </w:rPr>
        <w:t>September</w:t>
      </w:r>
      <w:r>
        <w:rPr>
          <w:sz w:val="24"/>
        </w:rPr>
        <w:t xml:space="preserve"> </w:t>
      </w:r>
      <w:r>
        <w:rPr>
          <w:rFonts w:hint="eastAsia"/>
          <w:sz w:val="24"/>
        </w:rPr>
        <w:t>26</w:t>
      </w:r>
      <w:r>
        <w:rPr>
          <w:sz w:val="24"/>
        </w:rPr>
        <w:t xml:space="preserve">, the Fed raised the federal funds rate by 25 bps to the </w:t>
      </w:r>
      <w:r>
        <w:rPr>
          <w:rFonts w:hint="eastAsia"/>
          <w:sz w:val="24"/>
        </w:rPr>
        <w:t>2</w:t>
      </w:r>
      <w:r>
        <w:rPr>
          <w:sz w:val="24"/>
        </w:rPr>
        <w:t>.</w:t>
      </w:r>
      <w:r>
        <w:rPr>
          <w:rFonts w:hint="eastAsia"/>
          <w:sz w:val="24"/>
        </w:rPr>
        <w:t>00</w:t>
      </w:r>
      <w:r>
        <w:rPr>
          <w:sz w:val="24"/>
        </w:rPr>
        <w:t>–</w:t>
      </w:r>
      <w:r>
        <w:rPr>
          <w:rFonts w:hint="eastAsia"/>
          <w:sz w:val="24"/>
        </w:rPr>
        <w:t>2.25</w:t>
      </w:r>
      <w:r>
        <w:rPr>
          <w:sz w:val="24"/>
        </w:rPr>
        <w:t xml:space="preserve"> percent range,</w:t>
      </w:r>
      <w:r>
        <w:rPr>
          <w:rFonts w:hint="eastAsia"/>
          <w:sz w:val="24"/>
        </w:rPr>
        <w:t xml:space="preserve"> deleted the wording on maintaining</w:t>
      </w:r>
      <w:r>
        <w:rPr>
          <w:sz w:val="24"/>
        </w:rPr>
        <w:t xml:space="preserve"> an</w:t>
      </w:r>
      <w:r>
        <w:rPr>
          <w:rFonts w:hint="eastAsia"/>
          <w:sz w:val="24"/>
        </w:rPr>
        <w:t xml:space="preserve"> accommodative policy</w:t>
      </w:r>
      <w:r>
        <w:rPr>
          <w:sz w:val="24"/>
        </w:rPr>
        <w:t> stance</w:t>
      </w:r>
      <w:r>
        <w:rPr>
          <w:rFonts w:hint="eastAsia"/>
          <w:sz w:val="24"/>
        </w:rPr>
        <w:t xml:space="preserve"> in </w:t>
      </w:r>
      <w:r>
        <w:rPr>
          <w:sz w:val="24"/>
        </w:rPr>
        <w:t>its</w:t>
      </w:r>
      <w:r>
        <w:rPr>
          <w:rFonts w:hint="eastAsia"/>
          <w:sz w:val="24"/>
        </w:rPr>
        <w:t xml:space="preserve"> statement, </w:t>
      </w:r>
      <w:r>
        <w:rPr>
          <w:sz w:val="24"/>
        </w:rPr>
        <w:t>kept</w:t>
      </w:r>
      <w:r>
        <w:rPr>
          <w:rFonts w:hint="eastAsia"/>
          <w:sz w:val="24"/>
        </w:rPr>
        <w:t xml:space="preserve"> the projection for the federal funds rate unchanged at 2.4 percent and 3.1 percent for 2018 and 2019 respectively, and also </w:t>
      </w:r>
      <w:r>
        <w:rPr>
          <w:sz w:val="24"/>
        </w:rPr>
        <w:t>kept</w:t>
      </w:r>
      <w:r>
        <w:rPr>
          <w:rFonts w:hint="eastAsia"/>
          <w:sz w:val="24"/>
        </w:rPr>
        <w:t xml:space="preserve"> the frequency of the expected rate hikes unchanged at four times and three times for 2018 and 2019 respectively</w:t>
      </w:r>
      <w:r>
        <w:rPr>
          <w:sz w:val="24"/>
        </w:rPr>
        <w:t xml:space="preserve">. </w:t>
      </w:r>
      <w:r>
        <w:rPr>
          <w:rFonts w:hint="eastAsia"/>
          <w:sz w:val="24"/>
        </w:rPr>
        <w:t>The Fed continued to shrink its balance sheet, as the</w:t>
      </w:r>
      <w:r>
        <w:rPr>
          <w:sz w:val="24"/>
        </w:rPr>
        <w:t xml:space="preserve"> decreasing cap for Treasury securities </w:t>
      </w:r>
      <w:r>
        <w:rPr>
          <w:rFonts w:hint="eastAsia"/>
          <w:sz w:val="24"/>
        </w:rPr>
        <w:t>was raised</w:t>
      </w:r>
      <w:r>
        <w:rPr>
          <w:sz w:val="24"/>
        </w:rPr>
        <w:t xml:space="preserve"> </w:t>
      </w:r>
      <w:r>
        <w:rPr>
          <w:rFonts w:hint="eastAsia"/>
          <w:sz w:val="24"/>
        </w:rPr>
        <w:t>from</w:t>
      </w:r>
      <w:r>
        <w:rPr>
          <w:sz w:val="24"/>
        </w:rPr>
        <w:t xml:space="preserve"> USD </w:t>
      </w:r>
      <w:r>
        <w:rPr>
          <w:rFonts w:hint="eastAsia"/>
          <w:sz w:val="24"/>
        </w:rPr>
        <w:t>24</w:t>
      </w:r>
      <w:r>
        <w:rPr>
          <w:sz w:val="24"/>
        </w:rPr>
        <w:t xml:space="preserve"> billion</w:t>
      </w:r>
      <w:r>
        <w:rPr>
          <w:rFonts w:hint="eastAsia"/>
          <w:sz w:val="24"/>
        </w:rPr>
        <w:t xml:space="preserve"> in September </w:t>
      </w:r>
      <w:r>
        <w:rPr>
          <w:sz w:val="24"/>
        </w:rPr>
        <w:t xml:space="preserve">to USD </w:t>
      </w:r>
      <w:r>
        <w:rPr>
          <w:rFonts w:hint="eastAsia"/>
          <w:sz w:val="24"/>
        </w:rPr>
        <w:t>30</w:t>
      </w:r>
      <w:r>
        <w:rPr>
          <w:sz w:val="24"/>
        </w:rPr>
        <w:t xml:space="preserve"> billion in </w:t>
      </w:r>
      <w:r>
        <w:rPr>
          <w:rFonts w:hint="eastAsia"/>
          <w:sz w:val="24"/>
        </w:rPr>
        <w:t>October</w:t>
      </w:r>
      <w:r>
        <w:rPr>
          <w:sz w:val="24"/>
        </w:rPr>
        <w:t xml:space="preserve">, and that for agency debts and mortgage-backed securities (MBS) </w:t>
      </w:r>
      <w:r>
        <w:rPr>
          <w:rFonts w:hint="eastAsia"/>
          <w:sz w:val="24"/>
        </w:rPr>
        <w:t xml:space="preserve">was raised from </w:t>
      </w:r>
      <w:r>
        <w:rPr>
          <w:sz w:val="24"/>
        </w:rPr>
        <w:t xml:space="preserve">USD </w:t>
      </w:r>
      <w:r>
        <w:rPr>
          <w:rFonts w:hint="eastAsia"/>
          <w:sz w:val="24"/>
        </w:rPr>
        <w:t>16</w:t>
      </w:r>
      <w:r>
        <w:rPr>
          <w:sz w:val="24"/>
        </w:rPr>
        <w:t xml:space="preserve"> billion</w:t>
      </w:r>
      <w:r>
        <w:rPr>
          <w:rFonts w:hint="eastAsia"/>
          <w:sz w:val="24"/>
        </w:rPr>
        <w:t xml:space="preserve"> in September to </w:t>
      </w:r>
      <w:r>
        <w:rPr>
          <w:sz w:val="24"/>
        </w:rPr>
        <w:t xml:space="preserve">USD </w:t>
      </w:r>
      <w:r>
        <w:rPr>
          <w:rFonts w:hint="eastAsia"/>
          <w:sz w:val="24"/>
        </w:rPr>
        <w:t>20</w:t>
      </w:r>
      <w:r>
        <w:rPr>
          <w:sz w:val="24"/>
        </w:rPr>
        <w:t xml:space="preserve"> billion</w:t>
      </w:r>
      <w:r>
        <w:rPr>
          <w:rFonts w:hint="eastAsia"/>
          <w:sz w:val="24"/>
        </w:rPr>
        <w:t xml:space="preserve"> </w:t>
      </w:r>
      <w:r>
        <w:rPr>
          <w:sz w:val="24"/>
        </w:rPr>
        <w:t xml:space="preserve">in </w:t>
      </w:r>
      <w:r>
        <w:rPr>
          <w:rFonts w:hint="eastAsia"/>
          <w:sz w:val="24"/>
        </w:rPr>
        <w:t>October</w:t>
      </w:r>
      <w:r>
        <w:rPr>
          <w:sz w:val="24"/>
        </w:rPr>
        <w:t>.</w:t>
      </w:r>
    </w:p>
    <w:p w:rsidR="001031BB" w:rsidRDefault="001031BB" w:rsidP="001031BB">
      <w:pPr>
        <w:spacing w:line="360" w:lineRule="auto"/>
        <w:rPr>
          <w:sz w:val="24"/>
        </w:rPr>
      </w:pPr>
    </w:p>
    <w:p w:rsidR="001031BB" w:rsidRDefault="001031BB" w:rsidP="001031BB">
      <w:pPr>
        <w:spacing w:line="360" w:lineRule="auto"/>
        <w:rPr>
          <w:sz w:val="24"/>
        </w:rPr>
      </w:pPr>
      <w:r>
        <w:rPr>
          <w:rFonts w:hint="eastAsia"/>
          <w:b/>
          <w:bCs/>
          <w:sz w:val="24"/>
        </w:rPr>
        <w:t>T</w:t>
      </w:r>
      <w:r>
        <w:rPr>
          <w:b/>
          <w:bCs/>
          <w:sz w:val="24"/>
        </w:rPr>
        <w:t>he ECB</w:t>
      </w:r>
      <w:r>
        <w:rPr>
          <w:sz w:val="24"/>
        </w:rPr>
        <w:t xml:space="preserve"> </w:t>
      </w:r>
      <w:r>
        <w:rPr>
          <w:rFonts w:hint="eastAsia"/>
          <w:sz w:val="24"/>
        </w:rPr>
        <w:t>announced o</w:t>
      </w:r>
      <w:r>
        <w:rPr>
          <w:sz w:val="24"/>
        </w:rPr>
        <w:t xml:space="preserve">n </w:t>
      </w:r>
      <w:r>
        <w:rPr>
          <w:rFonts w:hint="eastAsia"/>
          <w:sz w:val="24"/>
        </w:rPr>
        <w:t xml:space="preserve">July 26 and September 14 </w:t>
      </w:r>
      <w:r>
        <w:rPr>
          <w:sz w:val="24"/>
        </w:rPr>
        <w:t xml:space="preserve">that its </w:t>
      </w:r>
      <w:r>
        <w:rPr>
          <w:rFonts w:hint="eastAsia"/>
          <w:sz w:val="24"/>
        </w:rPr>
        <w:t>benchmark</w:t>
      </w:r>
      <w:r>
        <w:rPr>
          <w:sz w:val="24"/>
        </w:rPr>
        <w:t xml:space="preserve"> rates would remain unchanged </w:t>
      </w:r>
      <w:r>
        <w:rPr>
          <w:rFonts w:hint="eastAsia"/>
          <w:sz w:val="24"/>
        </w:rPr>
        <w:t>and</w:t>
      </w:r>
      <w:r>
        <w:rPr>
          <w:sz w:val="24"/>
        </w:rPr>
        <w:t xml:space="preserve"> they would remain </w:t>
      </w:r>
      <w:r>
        <w:rPr>
          <w:rFonts w:hint="eastAsia"/>
          <w:sz w:val="24"/>
        </w:rPr>
        <w:t xml:space="preserve">on hold at least through the summer of 2019. </w:t>
      </w:r>
      <w:r>
        <w:rPr>
          <w:sz w:val="24"/>
        </w:rPr>
        <w:t>In addition,</w:t>
      </w:r>
      <w:r>
        <w:rPr>
          <w:rFonts w:hint="eastAsia"/>
          <w:sz w:val="24"/>
        </w:rPr>
        <w:t xml:space="preserve"> it decided to </w:t>
      </w:r>
      <w:r>
        <w:rPr>
          <w:sz w:val="24"/>
        </w:rPr>
        <w:t>maintain its monthly asset-purchase program of EUR 30 billion until September</w:t>
      </w:r>
      <w:r>
        <w:rPr>
          <w:rFonts w:hint="eastAsia"/>
          <w:sz w:val="24"/>
        </w:rPr>
        <w:t xml:space="preserve">, </w:t>
      </w:r>
      <w:r>
        <w:rPr>
          <w:sz w:val="24"/>
        </w:rPr>
        <w:t xml:space="preserve">to </w:t>
      </w:r>
      <w:r>
        <w:rPr>
          <w:rFonts w:hint="eastAsia"/>
          <w:sz w:val="24"/>
        </w:rPr>
        <w:t xml:space="preserve">reduce it to </w:t>
      </w:r>
      <w:r>
        <w:rPr>
          <w:sz w:val="24"/>
        </w:rPr>
        <w:t xml:space="preserve">EUR </w:t>
      </w:r>
      <w:r>
        <w:rPr>
          <w:rFonts w:hint="eastAsia"/>
          <w:sz w:val="24"/>
        </w:rPr>
        <w:t>15</w:t>
      </w:r>
      <w:r>
        <w:rPr>
          <w:sz w:val="24"/>
        </w:rPr>
        <w:t xml:space="preserve"> billion</w:t>
      </w:r>
      <w:r>
        <w:rPr>
          <w:rFonts w:hint="eastAsia"/>
          <w:sz w:val="24"/>
        </w:rPr>
        <w:t xml:space="preserve"> from October to December, and exit from </w:t>
      </w:r>
      <w:r>
        <w:rPr>
          <w:sz w:val="24"/>
        </w:rPr>
        <w:t xml:space="preserve">the </w:t>
      </w:r>
      <w:r>
        <w:rPr>
          <w:rFonts w:hint="eastAsia"/>
          <w:sz w:val="24"/>
        </w:rPr>
        <w:t>QE by the end of 2018</w:t>
      </w:r>
      <w:r>
        <w:rPr>
          <w:sz w:val="24"/>
        </w:rPr>
        <w:t>.</w:t>
      </w:r>
      <w:r>
        <w:rPr>
          <w:rFonts w:hint="eastAsia"/>
          <w:sz w:val="24"/>
        </w:rPr>
        <w:t xml:space="preserve"> </w:t>
      </w:r>
      <w:r>
        <w:rPr>
          <w:sz w:val="24"/>
        </w:rPr>
        <w:t>In addition</w:t>
      </w:r>
      <w:r>
        <w:rPr>
          <w:rFonts w:hint="eastAsia"/>
          <w:sz w:val="24"/>
        </w:rPr>
        <w:t>, on September 14, the ECB cut its 2018 GDP growth forecast to 2.0 percent from</w:t>
      </w:r>
      <w:r>
        <w:rPr>
          <w:sz w:val="24"/>
        </w:rPr>
        <w:t xml:space="preserve"> its June forecast of</w:t>
      </w:r>
      <w:r>
        <w:rPr>
          <w:rFonts w:hint="eastAsia"/>
          <w:sz w:val="24"/>
        </w:rPr>
        <w:t xml:space="preserve"> 2.1 percent.</w:t>
      </w:r>
    </w:p>
    <w:p w:rsidR="001031BB" w:rsidRDefault="001031BB" w:rsidP="001031BB">
      <w:pPr>
        <w:spacing w:line="360" w:lineRule="auto"/>
        <w:rPr>
          <w:sz w:val="24"/>
        </w:rPr>
      </w:pPr>
    </w:p>
    <w:p w:rsidR="001031BB" w:rsidRDefault="001031BB" w:rsidP="001031BB">
      <w:pPr>
        <w:spacing w:line="360" w:lineRule="auto"/>
        <w:rPr>
          <w:sz w:val="24"/>
        </w:rPr>
      </w:pPr>
      <w:r>
        <w:rPr>
          <w:sz w:val="24"/>
        </w:rPr>
        <w:t xml:space="preserve">On </w:t>
      </w:r>
      <w:r>
        <w:rPr>
          <w:rFonts w:hint="eastAsia"/>
          <w:sz w:val="24"/>
        </w:rPr>
        <w:t>July 31</w:t>
      </w:r>
      <w:r>
        <w:rPr>
          <w:sz w:val="24"/>
        </w:rPr>
        <w:t xml:space="preserve">, </w:t>
      </w:r>
      <w:r w:rsidRPr="00FD5BB1">
        <w:rPr>
          <w:b/>
          <w:sz w:val="24"/>
        </w:rPr>
        <w:t>the BOJ</w:t>
      </w:r>
      <w:r>
        <w:rPr>
          <w:sz w:val="24"/>
        </w:rPr>
        <w:t xml:space="preserve"> decided to</w:t>
      </w:r>
      <w:r>
        <w:rPr>
          <w:rFonts w:hint="eastAsia"/>
          <w:sz w:val="24"/>
        </w:rPr>
        <w:t xml:space="preserve"> </w:t>
      </w:r>
      <w:r>
        <w:rPr>
          <w:sz w:val="24"/>
        </w:rPr>
        <w:t xml:space="preserve">strengthen its commitment to achieve an </w:t>
      </w:r>
      <w:r>
        <w:rPr>
          <w:rFonts w:hint="eastAsia"/>
          <w:sz w:val="24"/>
        </w:rPr>
        <w:t>inflation target of 2 percent</w:t>
      </w:r>
      <w:r>
        <w:rPr>
          <w:sz w:val="24"/>
        </w:rPr>
        <w:t xml:space="preserve"> by introducing forward guidance for policy rates, and to enhance the sustainability of </w:t>
      </w:r>
      <w:r>
        <w:rPr>
          <w:rFonts w:hint="eastAsia"/>
          <w:sz w:val="24"/>
        </w:rPr>
        <w:t>q</w:t>
      </w:r>
      <w:r>
        <w:rPr>
          <w:sz w:val="24"/>
        </w:rPr>
        <w:t xml:space="preserve">uantitative and </w:t>
      </w:r>
      <w:r>
        <w:rPr>
          <w:rFonts w:hint="eastAsia"/>
          <w:sz w:val="24"/>
        </w:rPr>
        <w:t>q</w:t>
      </w:r>
      <w:r>
        <w:rPr>
          <w:sz w:val="24"/>
        </w:rPr>
        <w:t xml:space="preserve">ualitative </w:t>
      </w:r>
      <w:r>
        <w:rPr>
          <w:rFonts w:hint="eastAsia"/>
          <w:sz w:val="24"/>
        </w:rPr>
        <w:t>m</w:t>
      </w:r>
      <w:r>
        <w:rPr>
          <w:sz w:val="24"/>
        </w:rPr>
        <w:t xml:space="preserve">onetary </w:t>
      </w:r>
      <w:r>
        <w:rPr>
          <w:rFonts w:hint="eastAsia"/>
          <w:sz w:val="24"/>
        </w:rPr>
        <w:t>e</w:t>
      </w:r>
      <w:r>
        <w:rPr>
          <w:sz w:val="24"/>
        </w:rPr>
        <w:t xml:space="preserve">asing (QQE) with </w:t>
      </w:r>
      <w:r>
        <w:rPr>
          <w:rFonts w:hint="eastAsia"/>
          <w:sz w:val="24"/>
        </w:rPr>
        <w:t>y</w:t>
      </w:r>
      <w:r>
        <w:rPr>
          <w:sz w:val="24"/>
        </w:rPr>
        <w:t xml:space="preserve">ield </w:t>
      </w:r>
      <w:r>
        <w:rPr>
          <w:rFonts w:hint="eastAsia"/>
          <w:sz w:val="24"/>
        </w:rPr>
        <w:t>c</w:t>
      </w:r>
      <w:r>
        <w:rPr>
          <w:sz w:val="24"/>
        </w:rPr>
        <w:t xml:space="preserve">urve </w:t>
      </w:r>
      <w:r>
        <w:rPr>
          <w:rFonts w:hint="eastAsia"/>
          <w:sz w:val="24"/>
        </w:rPr>
        <w:t>c</w:t>
      </w:r>
      <w:r>
        <w:rPr>
          <w:sz w:val="24"/>
        </w:rPr>
        <w:t>ontrol and</w:t>
      </w:r>
      <w:r>
        <w:rPr>
          <w:rFonts w:hint="eastAsia"/>
          <w:sz w:val="24"/>
        </w:rPr>
        <w:t xml:space="preserve"> maintaining interest rates at an extremely low level at least until 2019. In addition, the BOJ continued to </w:t>
      </w:r>
      <w:r>
        <w:rPr>
          <w:sz w:val="24"/>
        </w:rPr>
        <w:t>apply a negative interest rate of –0.1 percent to the Policy-Rate</w:t>
      </w:r>
      <w:r>
        <w:rPr>
          <w:rFonts w:hint="eastAsia"/>
          <w:sz w:val="24"/>
        </w:rPr>
        <w:t xml:space="preserve"> Balances in </w:t>
      </w:r>
      <w:r>
        <w:rPr>
          <w:sz w:val="24"/>
        </w:rPr>
        <w:t xml:space="preserve">the </w:t>
      </w:r>
      <w:r>
        <w:rPr>
          <w:rFonts w:hint="eastAsia"/>
          <w:sz w:val="24"/>
        </w:rPr>
        <w:t>current accounts held by financial institutions at the BOJ, and</w:t>
      </w:r>
      <w:r>
        <w:rPr>
          <w:sz w:val="24"/>
        </w:rPr>
        <w:t xml:space="preserve"> to</w:t>
      </w:r>
      <w:r>
        <w:rPr>
          <w:rFonts w:hint="eastAsia"/>
          <w:sz w:val="24"/>
        </w:rPr>
        <w:t xml:space="preserve"> keep the 10-year Japanese government bond (JGB) yield at </w:t>
      </w:r>
      <w:r>
        <w:rPr>
          <w:sz w:val="24"/>
        </w:rPr>
        <w:t>about</w:t>
      </w:r>
      <w:r>
        <w:rPr>
          <w:rFonts w:hint="eastAsia"/>
          <w:sz w:val="24"/>
        </w:rPr>
        <w:t xml:space="preserve"> zero percent</w:t>
      </w:r>
      <w:r>
        <w:rPr>
          <w:sz w:val="24"/>
        </w:rPr>
        <w:t xml:space="preserve">, </w:t>
      </w:r>
      <w:r>
        <w:rPr>
          <w:rFonts w:hint="eastAsia"/>
          <w:sz w:val="24"/>
        </w:rPr>
        <w:t xml:space="preserve">while allowing </w:t>
      </w:r>
      <w:r>
        <w:rPr>
          <w:sz w:val="24"/>
        </w:rPr>
        <w:t xml:space="preserve">the yield </w:t>
      </w:r>
      <w:r>
        <w:rPr>
          <w:rFonts w:hint="eastAsia"/>
          <w:sz w:val="24"/>
        </w:rPr>
        <w:t xml:space="preserve">to </w:t>
      </w:r>
      <w:r>
        <w:rPr>
          <w:sz w:val="24"/>
        </w:rPr>
        <w:t>move upward or downward</w:t>
      </w:r>
      <w:r>
        <w:rPr>
          <w:rFonts w:hint="eastAsia"/>
          <w:sz w:val="24"/>
        </w:rPr>
        <w:t xml:space="preserve"> within the </w:t>
      </w:r>
      <w:r>
        <w:rPr>
          <w:sz w:val="24"/>
        </w:rPr>
        <w:t>range of plus or minus 0.1 percent</w:t>
      </w:r>
      <w:r>
        <w:rPr>
          <w:rFonts w:hint="eastAsia"/>
          <w:sz w:val="24"/>
        </w:rPr>
        <w:t xml:space="preserve"> </w:t>
      </w:r>
      <w:r>
        <w:rPr>
          <w:sz w:val="24"/>
        </w:rPr>
        <w:t xml:space="preserve">depending on developments in economic activities and </w:t>
      </w:r>
      <w:r>
        <w:rPr>
          <w:sz w:val="24"/>
        </w:rPr>
        <w:lastRenderedPageBreak/>
        <w:t>prices</w:t>
      </w:r>
      <w:r>
        <w:rPr>
          <w:rFonts w:hint="eastAsia"/>
          <w:sz w:val="24"/>
        </w:rPr>
        <w:t xml:space="preserve">. It also decided </w:t>
      </w:r>
      <w:r>
        <w:rPr>
          <w:sz w:val="24"/>
        </w:rPr>
        <w:t xml:space="preserve">that its </w:t>
      </w:r>
      <w:r>
        <w:rPr>
          <w:rFonts w:hint="eastAsia"/>
          <w:sz w:val="24"/>
        </w:rPr>
        <w:t xml:space="preserve">JGB purchases </w:t>
      </w:r>
      <w:r>
        <w:rPr>
          <w:sz w:val="24"/>
        </w:rPr>
        <w:t xml:space="preserve">would remain </w:t>
      </w:r>
      <w:r>
        <w:rPr>
          <w:rFonts w:hint="eastAsia"/>
          <w:sz w:val="24"/>
        </w:rPr>
        <w:t xml:space="preserve">unchanged. </w:t>
      </w:r>
      <w:r>
        <w:rPr>
          <w:sz w:val="24"/>
        </w:rPr>
        <w:t xml:space="preserve">On </w:t>
      </w:r>
      <w:r>
        <w:rPr>
          <w:rFonts w:hint="eastAsia"/>
          <w:sz w:val="24"/>
        </w:rPr>
        <w:t>September 19</w:t>
      </w:r>
      <w:r>
        <w:rPr>
          <w:sz w:val="24"/>
        </w:rPr>
        <w:t>,</w:t>
      </w:r>
      <w:r>
        <w:rPr>
          <w:rFonts w:hint="eastAsia"/>
          <w:sz w:val="24"/>
        </w:rPr>
        <w:t xml:space="preserve"> the BOJ decided to keep</w:t>
      </w:r>
      <w:r>
        <w:rPr>
          <w:sz w:val="24"/>
        </w:rPr>
        <w:t xml:space="preserve"> on hold</w:t>
      </w:r>
      <w:r>
        <w:rPr>
          <w:rFonts w:hint="eastAsia"/>
          <w:sz w:val="24"/>
        </w:rPr>
        <w:t xml:space="preserve"> the interest rate applied to the </w:t>
      </w:r>
      <w:r>
        <w:rPr>
          <w:sz w:val="24"/>
        </w:rPr>
        <w:t>Policy-Rate</w:t>
      </w:r>
      <w:r>
        <w:rPr>
          <w:rFonts w:hint="eastAsia"/>
          <w:sz w:val="24"/>
        </w:rPr>
        <w:t xml:space="preserve"> Balances in current accounts held by financial institutions at the BOJ and the 10-year JGB yield, and JGB purchases </w:t>
      </w:r>
      <w:r>
        <w:rPr>
          <w:sz w:val="24"/>
        </w:rPr>
        <w:t xml:space="preserve">would remain </w:t>
      </w:r>
      <w:r>
        <w:rPr>
          <w:rFonts w:hint="eastAsia"/>
          <w:sz w:val="24"/>
        </w:rPr>
        <w:t xml:space="preserve">unchanged.  </w:t>
      </w:r>
      <w:r>
        <w:rPr>
          <w:sz w:val="24"/>
        </w:rPr>
        <w:t xml:space="preserve">      </w:t>
      </w:r>
    </w:p>
    <w:p w:rsidR="001031BB" w:rsidRDefault="001031BB" w:rsidP="001031BB">
      <w:pPr>
        <w:spacing w:line="360" w:lineRule="auto"/>
        <w:rPr>
          <w:sz w:val="24"/>
        </w:rPr>
      </w:pPr>
    </w:p>
    <w:p w:rsidR="001031BB" w:rsidRDefault="001031BB" w:rsidP="001031BB">
      <w:pPr>
        <w:spacing w:line="360" w:lineRule="auto"/>
        <w:rPr>
          <w:sz w:val="24"/>
        </w:rPr>
      </w:pPr>
      <w:r>
        <w:rPr>
          <w:rFonts w:hint="eastAsia"/>
          <w:sz w:val="24"/>
        </w:rPr>
        <w:t>O</w:t>
      </w:r>
      <w:r>
        <w:rPr>
          <w:sz w:val="24"/>
        </w:rPr>
        <w:t xml:space="preserve">n </w:t>
      </w:r>
      <w:r>
        <w:rPr>
          <w:rFonts w:hint="eastAsia"/>
          <w:sz w:val="24"/>
        </w:rPr>
        <w:t>August</w:t>
      </w:r>
      <w:r>
        <w:rPr>
          <w:sz w:val="24"/>
        </w:rPr>
        <w:t xml:space="preserve"> </w:t>
      </w:r>
      <w:r>
        <w:rPr>
          <w:rFonts w:hint="eastAsia"/>
          <w:sz w:val="24"/>
        </w:rPr>
        <w:t xml:space="preserve">2, </w:t>
      </w:r>
      <w:r w:rsidRPr="00FD5BB1">
        <w:rPr>
          <w:b/>
          <w:sz w:val="24"/>
        </w:rPr>
        <w:t>the BOE</w:t>
      </w:r>
      <w:r>
        <w:rPr>
          <w:sz w:val="24"/>
        </w:rPr>
        <w:t xml:space="preserve"> hiked its rate by 25 bps to 0.75 perce</w:t>
      </w:r>
      <w:r>
        <w:rPr>
          <w:rFonts w:hint="eastAsia"/>
          <w:sz w:val="24"/>
        </w:rPr>
        <w:t xml:space="preserve">nt, kept the stock of sterling non-financial investment-grade corporate bond purchases at GBP 10 billion unchanged, and also </w:t>
      </w:r>
      <w:r>
        <w:rPr>
          <w:sz w:val="24"/>
        </w:rPr>
        <w:t>kept</w:t>
      </w:r>
      <w:r>
        <w:rPr>
          <w:rFonts w:hint="eastAsia"/>
          <w:sz w:val="24"/>
        </w:rPr>
        <w:t xml:space="preserve"> the stock of UK government bond purchases at GBP 435 billion unchanged. On September 14, </w:t>
      </w:r>
      <w:r>
        <w:rPr>
          <w:sz w:val="24"/>
        </w:rPr>
        <w:t>BOE</w:t>
      </w:r>
      <w:r>
        <w:rPr>
          <w:rFonts w:hint="eastAsia"/>
          <w:sz w:val="24"/>
        </w:rPr>
        <w:t xml:space="preserve"> decided to </w:t>
      </w:r>
      <w:r>
        <w:rPr>
          <w:sz w:val="24"/>
        </w:rPr>
        <w:t>keep</w:t>
      </w:r>
      <w:r>
        <w:rPr>
          <w:rFonts w:hint="eastAsia"/>
          <w:sz w:val="24"/>
        </w:rPr>
        <w:t xml:space="preserve"> the benchmark rate and current scale of</w:t>
      </w:r>
      <w:r>
        <w:rPr>
          <w:sz w:val="24"/>
        </w:rPr>
        <w:t xml:space="preserve"> asset purchases</w:t>
      </w:r>
      <w:r>
        <w:rPr>
          <w:rFonts w:hint="eastAsia"/>
          <w:sz w:val="24"/>
        </w:rPr>
        <w:t xml:space="preserve"> unchanged</w:t>
      </w:r>
      <w:r>
        <w:rPr>
          <w:sz w:val="24"/>
        </w:rPr>
        <w:t>. </w:t>
      </w:r>
    </w:p>
    <w:p w:rsidR="001031BB" w:rsidRDefault="001031BB" w:rsidP="001031BB">
      <w:pPr>
        <w:spacing w:line="360" w:lineRule="auto"/>
        <w:rPr>
          <w:sz w:val="24"/>
        </w:rPr>
      </w:pPr>
    </w:p>
    <w:p w:rsidR="001031BB" w:rsidRDefault="001031BB" w:rsidP="001031BB">
      <w:pPr>
        <w:spacing w:line="360" w:lineRule="auto"/>
        <w:rPr>
          <w:sz w:val="24"/>
        </w:rPr>
      </w:pPr>
      <w:r>
        <w:rPr>
          <w:rFonts w:hint="eastAsia"/>
          <w:sz w:val="24"/>
        </w:rPr>
        <w:t xml:space="preserve">Having raised </w:t>
      </w:r>
      <w:r>
        <w:rPr>
          <w:sz w:val="24"/>
        </w:rPr>
        <w:t xml:space="preserve">the </w:t>
      </w:r>
      <w:r>
        <w:rPr>
          <w:rFonts w:hint="eastAsia"/>
          <w:sz w:val="24"/>
        </w:rPr>
        <w:t xml:space="preserve">interest rate by 25 basis points respectively in January and July </w:t>
      </w:r>
      <w:r>
        <w:rPr>
          <w:sz w:val="24"/>
        </w:rPr>
        <w:t xml:space="preserve">of </w:t>
      </w:r>
      <w:r>
        <w:rPr>
          <w:rFonts w:hint="eastAsia"/>
          <w:sz w:val="24"/>
        </w:rPr>
        <w:t xml:space="preserve">this year, </w:t>
      </w:r>
      <w:r w:rsidRPr="00FD5BB1">
        <w:rPr>
          <w:b/>
          <w:sz w:val="24"/>
        </w:rPr>
        <w:t>the Bank of Canada</w:t>
      </w:r>
      <w:r>
        <w:rPr>
          <w:rFonts w:hint="eastAsia"/>
          <w:sz w:val="24"/>
        </w:rPr>
        <w:t xml:space="preserve"> announced </w:t>
      </w:r>
      <w:r>
        <w:rPr>
          <w:sz w:val="24"/>
        </w:rPr>
        <w:t xml:space="preserve">it would </w:t>
      </w:r>
      <w:r>
        <w:rPr>
          <w:rFonts w:hint="eastAsia"/>
          <w:sz w:val="24"/>
        </w:rPr>
        <w:t xml:space="preserve">keep its overnight target rate unchanged at 1.5 percent. </w:t>
      </w:r>
    </w:p>
    <w:p w:rsidR="001031BB" w:rsidRDefault="001031BB" w:rsidP="001031BB">
      <w:pPr>
        <w:spacing w:line="360" w:lineRule="auto"/>
        <w:rPr>
          <w:sz w:val="24"/>
        </w:rPr>
      </w:pPr>
    </w:p>
    <w:p w:rsidR="001031BB" w:rsidRDefault="001031BB" w:rsidP="001031BB">
      <w:pPr>
        <w:spacing w:line="360" w:lineRule="auto"/>
        <w:rPr>
          <w:sz w:val="24"/>
        </w:rPr>
      </w:pPr>
      <w:r>
        <w:rPr>
          <w:rFonts w:hint="eastAsia"/>
          <w:b/>
          <w:sz w:val="24"/>
        </w:rPr>
        <w:t>The</w:t>
      </w:r>
      <w:r>
        <w:rPr>
          <w:b/>
          <w:sz w:val="24"/>
        </w:rPr>
        <w:t xml:space="preserve"> monetary-policy stances of the</w:t>
      </w:r>
      <w:r>
        <w:rPr>
          <w:rFonts w:hint="eastAsia"/>
          <w:b/>
          <w:sz w:val="24"/>
        </w:rPr>
        <w:t xml:space="preserve"> emerging market economies diverged</w:t>
      </w:r>
      <w:r>
        <w:rPr>
          <w:b/>
          <w:sz w:val="24"/>
        </w:rPr>
        <w:t xml:space="preserve">. </w:t>
      </w:r>
      <w:r>
        <w:rPr>
          <w:sz w:val="24"/>
        </w:rPr>
        <w:t xml:space="preserve">To stem the sliding currency and capital outflows, the Central Bank of Argentina increased its policy interest rate on </w:t>
      </w:r>
      <w:r>
        <w:rPr>
          <w:rFonts w:hint="eastAsia"/>
          <w:sz w:val="24"/>
        </w:rPr>
        <w:t>August</w:t>
      </w:r>
      <w:r>
        <w:rPr>
          <w:sz w:val="24"/>
        </w:rPr>
        <w:t xml:space="preserve"> </w:t>
      </w:r>
      <w:r>
        <w:rPr>
          <w:rFonts w:hint="eastAsia"/>
          <w:sz w:val="24"/>
        </w:rPr>
        <w:t>13 and</w:t>
      </w:r>
      <w:r>
        <w:rPr>
          <w:sz w:val="24"/>
        </w:rPr>
        <w:t xml:space="preserve"> August 3</w:t>
      </w:r>
      <w:r>
        <w:rPr>
          <w:rFonts w:hint="eastAsia"/>
          <w:sz w:val="24"/>
        </w:rPr>
        <w:t>0</w:t>
      </w:r>
      <w:r>
        <w:rPr>
          <w:sz w:val="24"/>
        </w:rPr>
        <w:t xml:space="preserve"> by </w:t>
      </w:r>
      <w:r>
        <w:rPr>
          <w:rFonts w:hint="eastAsia"/>
          <w:sz w:val="24"/>
        </w:rPr>
        <w:t>5</w:t>
      </w:r>
      <w:r>
        <w:rPr>
          <w:sz w:val="24"/>
        </w:rPr>
        <w:t>00 bps</w:t>
      </w:r>
      <w:r>
        <w:rPr>
          <w:rFonts w:hint="eastAsia"/>
          <w:sz w:val="24"/>
        </w:rPr>
        <w:t xml:space="preserve"> and</w:t>
      </w:r>
      <w:r>
        <w:rPr>
          <w:sz w:val="24"/>
        </w:rPr>
        <w:t xml:space="preserve"> </w:t>
      </w:r>
      <w:r>
        <w:rPr>
          <w:rFonts w:hint="eastAsia"/>
          <w:sz w:val="24"/>
        </w:rPr>
        <w:t>15</w:t>
      </w:r>
      <w:r>
        <w:rPr>
          <w:sz w:val="24"/>
        </w:rPr>
        <w:t>00 bps</w:t>
      </w:r>
      <w:r>
        <w:rPr>
          <w:rFonts w:hint="eastAsia"/>
          <w:sz w:val="24"/>
        </w:rPr>
        <w:t xml:space="preserve"> respectively and pushed the policy rate to 60</w:t>
      </w:r>
      <w:r>
        <w:rPr>
          <w:sz w:val="24"/>
        </w:rPr>
        <w:t xml:space="preserve"> percent.</w:t>
      </w:r>
      <w:r>
        <w:rPr>
          <w:rFonts w:hint="eastAsia"/>
          <w:sz w:val="24"/>
        </w:rPr>
        <w:t xml:space="preserve"> On September 28, </w:t>
      </w:r>
      <w:r>
        <w:rPr>
          <w:sz w:val="24"/>
        </w:rPr>
        <w:t>the Central Bank of Argentina</w:t>
      </w:r>
      <w:r>
        <w:rPr>
          <w:rFonts w:hint="eastAsia"/>
          <w:sz w:val="24"/>
        </w:rPr>
        <w:t xml:space="preserve"> adjusted its monetary</w:t>
      </w:r>
      <w:r>
        <w:rPr>
          <w:sz w:val="24"/>
        </w:rPr>
        <w:t>-</w:t>
      </w:r>
      <w:r>
        <w:rPr>
          <w:rFonts w:hint="eastAsia"/>
          <w:sz w:val="24"/>
        </w:rPr>
        <w:t>policy framework by adopting the average daily market bidding rate as the policy rate. T</w:t>
      </w:r>
      <w:r>
        <w:rPr>
          <w:sz w:val="24"/>
        </w:rPr>
        <w:t xml:space="preserve">he Central Bank of Turkey hiked the </w:t>
      </w:r>
      <w:r>
        <w:rPr>
          <w:rFonts w:hint="eastAsia"/>
          <w:sz w:val="24"/>
        </w:rPr>
        <w:t xml:space="preserve">policy </w:t>
      </w:r>
      <w:r>
        <w:rPr>
          <w:sz w:val="24"/>
        </w:rPr>
        <w:t xml:space="preserve">rate on </w:t>
      </w:r>
      <w:r>
        <w:rPr>
          <w:rFonts w:hint="eastAsia"/>
          <w:sz w:val="24"/>
        </w:rPr>
        <w:t>September 14</w:t>
      </w:r>
      <w:r>
        <w:rPr>
          <w:sz w:val="24"/>
        </w:rPr>
        <w:t xml:space="preserve"> by </w:t>
      </w:r>
      <w:r>
        <w:rPr>
          <w:rFonts w:hint="eastAsia"/>
          <w:sz w:val="24"/>
        </w:rPr>
        <w:t>625</w:t>
      </w:r>
      <w:r>
        <w:rPr>
          <w:sz w:val="24"/>
        </w:rPr>
        <w:t xml:space="preserve"> bps to </w:t>
      </w:r>
      <w:r>
        <w:rPr>
          <w:rFonts w:hint="eastAsia"/>
          <w:sz w:val="24"/>
        </w:rPr>
        <w:t>24</w:t>
      </w:r>
      <w:r>
        <w:rPr>
          <w:sz w:val="24"/>
        </w:rPr>
        <w:t xml:space="preserve"> percent</w:t>
      </w:r>
      <w:r>
        <w:rPr>
          <w:rFonts w:hint="eastAsia"/>
          <w:sz w:val="24"/>
        </w:rPr>
        <w:t xml:space="preserve"> to deal with depreciation pressure</w:t>
      </w:r>
      <w:r>
        <w:rPr>
          <w:sz w:val="24"/>
        </w:rPr>
        <w:t>s</w:t>
      </w:r>
      <w:r>
        <w:rPr>
          <w:rFonts w:hint="eastAsia"/>
          <w:sz w:val="24"/>
        </w:rPr>
        <w:t xml:space="preserve">. </w:t>
      </w:r>
      <w:r>
        <w:rPr>
          <w:sz w:val="24"/>
        </w:rPr>
        <w:t>Given the rising oil prices and the mounting inflationary pressures caused by the depreciation of</w:t>
      </w:r>
      <w:r>
        <w:rPr>
          <w:rFonts w:hint="eastAsia"/>
          <w:sz w:val="24"/>
        </w:rPr>
        <w:t xml:space="preserve"> </w:t>
      </w:r>
      <w:r>
        <w:rPr>
          <w:sz w:val="24"/>
        </w:rPr>
        <w:t xml:space="preserve">the </w:t>
      </w:r>
      <w:r>
        <w:rPr>
          <w:rFonts w:hint="eastAsia"/>
          <w:sz w:val="24"/>
        </w:rPr>
        <w:t>domestic</w:t>
      </w:r>
      <w:r>
        <w:rPr>
          <w:sz w:val="24"/>
        </w:rPr>
        <w:t xml:space="preserve"> currency, on</w:t>
      </w:r>
      <w:r>
        <w:rPr>
          <w:rFonts w:hint="eastAsia"/>
          <w:sz w:val="24"/>
        </w:rPr>
        <w:t xml:space="preserve"> August</w:t>
      </w:r>
      <w:r>
        <w:rPr>
          <w:sz w:val="24"/>
        </w:rPr>
        <w:t xml:space="preserve"> </w:t>
      </w:r>
      <w:r>
        <w:rPr>
          <w:rFonts w:hint="eastAsia"/>
          <w:sz w:val="24"/>
        </w:rPr>
        <w:t>1,</w:t>
      </w:r>
      <w:r>
        <w:rPr>
          <w:sz w:val="24"/>
        </w:rPr>
        <w:t xml:space="preserve"> the Reserve Bank of India raised the </w:t>
      </w:r>
      <w:r>
        <w:rPr>
          <w:rFonts w:hint="eastAsia"/>
          <w:sz w:val="24"/>
        </w:rPr>
        <w:t>benchmark</w:t>
      </w:r>
      <w:r>
        <w:rPr>
          <w:sz w:val="24"/>
        </w:rPr>
        <w:t xml:space="preserve"> rate by 25 bps to 6.</w:t>
      </w:r>
      <w:r>
        <w:rPr>
          <w:rFonts w:hint="eastAsia"/>
          <w:sz w:val="24"/>
        </w:rPr>
        <w:t>5</w:t>
      </w:r>
      <w:r>
        <w:rPr>
          <w:sz w:val="24"/>
        </w:rPr>
        <w:t xml:space="preserve"> percent</w:t>
      </w:r>
      <w:r>
        <w:rPr>
          <w:rFonts w:hint="eastAsia"/>
          <w:sz w:val="24"/>
        </w:rPr>
        <w:t xml:space="preserve"> and then </w:t>
      </w:r>
      <w:r>
        <w:rPr>
          <w:sz w:val="24"/>
        </w:rPr>
        <w:t>kept the</w:t>
      </w:r>
      <w:r>
        <w:rPr>
          <w:rFonts w:hint="eastAsia"/>
          <w:sz w:val="24"/>
        </w:rPr>
        <w:t xml:space="preserve"> benchmark rate unchanged on October 5. </w:t>
      </w:r>
      <w:r>
        <w:rPr>
          <w:sz w:val="24"/>
        </w:rPr>
        <w:t xml:space="preserve">To address </w:t>
      </w:r>
      <w:r>
        <w:rPr>
          <w:rFonts w:hint="eastAsia"/>
          <w:sz w:val="24"/>
        </w:rPr>
        <w:t xml:space="preserve">capital flows and current account deficits, the Bank Indonesia raised the policy rate by 25 bps respectively on August 15 and September 27 to 5.75 percent. </w:t>
      </w:r>
      <w:r>
        <w:rPr>
          <w:sz w:val="24"/>
        </w:rPr>
        <w:t xml:space="preserve">On </w:t>
      </w:r>
      <w:r>
        <w:rPr>
          <w:rFonts w:hint="eastAsia"/>
          <w:sz w:val="24"/>
        </w:rPr>
        <w:t>September</w:t>
      </w:r>
      <w:r>
        <w:rPr>
          <w:sz w:val="24"/>
        </w:rPr>
        <w:t xml:space="preserve"> 1</w:t>
      </w:r>
      <w:r>
        <w:rPr>
          <w:rFonts w:hint="eastAsia"/>
          <w:sz w:val="24"/>
        </w:rPr>
        <w:t>4,</w:t>
      </w:r>
      <w:r>
        <w:rPr>
          <w:sz w:val="24"/>
        </w:rPr>
        <w:t xml:space="preserve"> the Central Bank of the Russian Federation </w:t>
      </w:r>
      <w:r>
        <w:rPr>
          <w:rFonts w:hint="eastAsia"/>
          <w:sz w:val="24"/>
        </w:rPr>
        <w:t>hiked</w:t>
      </w:r>
      <w:r>
        <w:rPr>
          <w:sz w:val="24"/>
        </w:rPr>
        <w:t xml:space="preserve"> its key rate </w:t>
      </w:r>
      <w:r>
        <w:rPr>
          <w:rFonts w:hint="eastAsia"/>
          <w:sz w:val="24"/>
        </w:rPr>
        <w:t>to</w:t>
      </w:r>
      <w:r>
        <w:rPr>
          <w:sz w:val="24"/>
        </w:rPr>
        <w:t xml:space="preserve"> 7.</w:t>
      </w:r>
      <w:r>
        <w:rPr>
          <w:rFonts w:hint="eastAsia"/>
          <w:sz w:val="24"/>
        </w:rPr>
        <w:t>5</w:t>
      </w:r>
      <w:r>
        <w:rPr>
          <w:sz w:val="24"/>
        </w:rPr>
        <w:t xml:space="preserve"> percent</w:t>
      </w:r>
      <w:r>
        <w:rPr>
          <w:rFonts w:hint="eastAsia"/>
          <w:sz w:val="24"/>
        </w:rPr>
        <w:t xml:space="preserve">, which was </w:t>
      </w:r>
      <w:r>
        <w:rPr>
          <w:sz w:val="24"/>
        </w:rPr>
        <w:t>its</w:t>
      </w:r>
      <w:r>
        <w:rPr>
          <w:rFonts w:hint="eastAsia"/>
          <w:sz w:val="24"/>
        </w:rPr>
        <w:t xml:space="preserve"> first rate hike since the currency crisis in December 2014. </w:t>
      </w:r>
      <w:r>
        <w:rPr>
          <w:sz w:val="24"/>
        </w:rPr>
        <w:t>It is likely that</w:t>
      </w:r>
      <w:r>
        <w:rPr>
          <w:rFonts w:hint="eastAsia"/>
          <w:sz w:val="24"/>
        </w:rPr>
        <w:t xml:space="preserve"> its monetary</w:t>
      </w:r>
      <w:r>
        <w:rPr>
          <w:sz w:val="24"/>
        </w:rPr>
        <w:t>-</w:t>
      </w:r>
      <w:r>
        <w:rPr>
          <w:rFonts w:hint="eastAsia"/>
          <w:sz w:val="24"/>
        </w:rPr>
        <w:t>policy stance w</w:t>
      </w:r>
      <w:r>
        <w:rPr>
          <w:sz w:val="24"/>
        </w:rPr>
        <w:t xml:space="preserve">ill be </w:t>
      </w:r>
      <w:r>
        <w:rPr>
          <w:sz w:val="24"/>
        </w:rPr>
        <w:lastRenderedPageBreak/>
        <w:t>neutral</w:t>
      </w:r>
      <w:r>
        <w:rPr>
          <w:rFonts w:hint="eastAsia"/>
          <w:sz w:val="24"/>
        </w:rPr>
        <w:t xml:space="preserve"> in 2019.</w:t>
      </w:r>
      <w:r>
        <w:rPr>
          <w:sz w:val="24"/>
        </w:rPr>
        <w:t xml:space="preserve"> I</w:t>
      </w:r>
      <w:r>
        <w:rPr>
          <w:rFonts w:hint="eastAsia"/>
          <w:sz w:val="24"/>
        </w:rPr>
        <w:t>n the third quarter of 2018</w:t>
      </w:r>
      <w:r>
        <w:rPr>
          <w:sz w:val="24"/>
        </w:rPr>
        <w:t xml:space="preserve">, the Central Bank of Brazil </w:t>
      </w:r>
      <w:r>
        <w:rPr>
          <w:rFonts w:hint="eastAsia"/>
          <w:sz w:val="24"/>
        </w:rPr>
        <w:t xml:space="preserve">and </w:t>
      </w:r>
      <w:r>
        <w:rPr>
          <w:sz w:val="24"/>
        </w:rPr>
        <w:t>the Banco de Mexico</w:t>
      </w:r>
      <w:r>
        <w:rPr>
          <w:rFonts w:hint="eastAsia"/>
          <w:sz w:val="24"/>
        </w:rPr>
        <w:t xml:space="preserve"> </w:t>
      </w:r>
      <w:r>
        <w:rPr>
          <w:sz w:val="24"/>
        </w:rPr>
        <w:t xml:space="preserve">decided to keep </w:t>
      </w:r>
      <w:r>
        <w:rPr>
          <w:rFonts w:hint="eastAsia"/>
          <w:sz w:val="24"/>
        </w:rPr>
        <w:t>their</w:t>
      </w:r>
      <w:r>
        <w:rPr>
          <w:sz w:val="24"/>
        </w:rPr>
        <w:t xml:space="preserve"> </w:t>
      </w:r>
      <w:r>
        <w:rPr>
          <w:rFonts w:hint="eastAsia"/>
          <w:sz w:val="24"/>
        </w:rPr>
        <w:t>target</w:t>
      </w:r>
      <w:r>
        <w:rPr>
          <w:sz w:val="24"/>
        </w:rPr>
        <w:t xml:space="preserve"> rate unchanged at 6.5 percent</w:t>
      </w:r>
      <w:r>
        <w:rPr>
          <w:rFonts w:hint="eastAsia"/>
          <w:sz w:val="24"/>
        </w:rPr>
        <w:t xml:space="preserve"> and 7.5 percent respectively</w:t>
      </w:r>
      <w:r>
        <w:rPr>
          <w:sz w:val="24"/>
        </w:rPr>
        <w:t xml:space="preserve">.  </w:t>
      </w:r>
    </w:p>
    <w:p w:rsidR="001031BB" w:rsidRDefault="001031BB" w:rsidP="001031BB">
      <w:pPr>
        <w:spacing w:line="360" w:lineRule="auto"/>
        <w:rPr>
          <w:sz w:val="24"/>
        </w:rPr>
      </w:pPr>
    </w:p>
    <w:p w:rsidR="001031BB" w:rsidRDefault="001031BB" w:rsidP="001031BB">
      <w:pPr>
        <w:spacing w:line="360" w:lineRule="auto"/>
        <w:rPr>
          <w:b/>
          <w:sz w:val="24"/>
        </w:rPr>
      </w:pPr>
      <w:r>
        <w:rPr>
          <w:b/>
          <w:sz w:val="24"/>
        </w:rPr>
        <w:t>4. Global economic outlook and key risks</w:t>
      </w:r>
    </w:p>
    <w:p w:rsidR="001031BB" w:rsidRDefault="001031BB" w:rsidP="001031BB">
      <w:pPr>
        <w:spacing w:line="360" w:lineRule="auto"/>
        <w:rPr>
          <w:sz w:val="24"/>
        </w:rPr>
      </w:pPr>
      <w:r>
        <w:rPr>
          <w:rFonts w:hint="eastAsia"/>
          <w:sz w:val="24"/>
        </w:rPr>
        <w:t xml:space="preserve">In its updated </w:t>
      </w:r>
      <w:r w:rsidRPr="004578A3">
        <w:rPr>
          <w:iCs/>
          <w:sz w:val="24"/>
        </w:rPr>
        <w:t>October 2018</w:t>
      </w:r>
      <w:r>
        <w:rPr>
          <w:rFonts w:hint="eastAsia"/>
          <w:i/>
          <w:iCs/>
          <w:sz w:val="24"/>
        </w:rPr>
        <w:t xml:space="preserve"> World Economic Outlook</w:t>
      </w:r>
      <w:r>
        <w:rPr>
          <w:rFonts w:hint="eastAsia"/>
          <w:sz w:val="24"/>
        </w:rPr>
        <w:t xml:space="preserve">, the International Monetary Fund (IMF) lowered its July forecast </w:t>
      </w:r>
      <w:r>
        <w:rPr>
          <w:sz w:val="24"/>
        </w:rPr>
        <w:t xml:space="preserve">on global economic growth in both 2018 and 2019 </w:t>
      </w:r>
      <w:r>
        <w:rPr>
          <w:rFonts w:hint="eastAsia"/>
          <w:sz w:val="24"/>
        </w:rPr>
        <w:t>by 0.2 percentage point to 3.7 percent</w:t>
      </w:r>
      <w:r>
        <w:rPr>
          <w:sz w:val="24"/>
        </w:rPr>
        <w:t>.</w:t>
      </w:r>
      <w:r>
        <w:rPr>
          <w:rFonts w:hint="eastAsia"/>
          <w:sz w:val="24"/>
        </w:rPr>
        <w:t xml:space="preserve"> In particular, the 2018 growth forecast for the advanced economies remained unchanged, while that for the emerging market and developing economies was revised downward. Looking ahead, the global economy may face the following risks.</w:t>
      </w:r>
    </w:p>
    <w:p w:rsidR="001031BB" w:rsidRDefault="001031BB" w:rsidP="001031BB">
      <w:pPr>
        <w:spacing w:line="360" w:lineRule="auto"/>
        <w:rPr>
          <w:sz w:val="24"/>
        </w:rPr>
      </w:pPr>
    </w:p>
    <w:p w:rsidR="001031BB" w:rsidRDefault="001031BB" w:rsidP="001031BB">
      <w:pPr>
        <w:spacing w:line="360" w:lineRule="auto"/>
        <w:rPr>
          <w:sz w:val="24"/>
        </w:rPr>
      </w:pPr>
      <w:r>
        <w:rPr>
          <w:rFonts w:hint="eastAsia"/>
          <w:b/>
          <w:bCs/>
          <w:sz w:val="24"/>
        </w:rPr>
        <w:t xml:space="preserve">First, </w:t>
      </w:r>
      <w:r>
        <w:rPr>
          <w:b/>
          <w:bCs/>
          <w:sz w:val="24"/>
        </w:rPr>
        <w:t xml:space="preserve">escalation of </w:t>
      </w:r>
      <w:r>
        <w:rPr>
          <w:rFonts w:hint="eastAsia"/>
          <w:b/>
          <w:bCs/>
          <w:sz w:val="24"/>
        </w:rPr>
        <w:t xml:space="preserve">global trade </w:t>
      </w:r>
      <w:r>
        <w:rPr>
          <w:b/>
          <w:bCs/>
          <w:sz w:val="24"/>
        </w:rPr>
        <w:t>tension</w:t>
      </w:r>
      <w:r>
        <w:rPr>
          <w:rFonts w:hint="eastAsia"/>
          <w:b/>
          <w:bCs/>
          <w:sz w:val="24"/>
        </w:rPr>
        <w:t>s</w:t>
      </w:r>
      <w:r>
        <w:rPr>
          <w:b/>
          <w:bCs/>
          <w:sz w:val="24"/>
        </w:rPr>
        <w:t xml:space="preserve"> and an increase in</w:t>
      </w:r>
      <w:r>
        <w:rPr>
          <w:rFonts w:hint="eastAsia"/>
          <w:b/>
          <w:bCs/>
          <w:sz w:val="24"/>
        </w:rPr>
        <w:t xml:space="preserve"> policy uncertainties</w:t>
      </w:r>
      <w:r>
        <w:rPr>
          <w:b/>
          <w:bCs/>
          <w:sz w:val="24"/>
        </w:rPr>
        <w:t>.</w:t>
      </w:r>
      <w:r>
        <w:rPr>
          <w:rFonts w:hint="eastAsia"/>
          <w:b/>
          <w:bCs/>
          <w:sz w:val="24"/>
        </w:rPr>
        <w:t xml:space="preserve"> </w:t>
      </w:r>
      <w:r>
        <w:rPr>
          <w:sz w:val="24"/>
        </w:rPr>
        <w:t>T</w:t>
      </w:r>
      <w:r>
        <w:rPr>
          <w:rFonts w:hint="eastAsia"/>
          <w:sz w:val="24"/>
        </w:rPr>
        <w:t xml:space="preserve">he global economy has </w:t>
      </w:r>
      <w:r>
        <w:rPr>
          <w:sz w:val="24"/>
        </w:rPr>
        <w:t xml:space="preserve">recently experienced </w:t>
      </w:r>
      <w:r>
        <w:rPr>
          <w:rFonts w:hint="eastAsia"/>
          <w:sz w:val="24"/>
        </w:rPr>
        <w:t xml:space="preserve">profound adjustments, multilateralism and the free trade system have been affected, confidence in investment has been impaired, and volatility </w:t>
      </w:r>
      <w:r>
        <w:rPr>
          <w:sz w:val="24"/>
        </w:rPr>
        <w:t>in</w:t>
      </w:r>
      <w:r>
        <w:rPr>
          <w:rFonts w:hint="eastAsia"/>
          <w:sz w:val="24"/>
        </w:rPr>
        <w:t xml:space="preserve"> global financial market</w:t>
      </w:r>
      <w:r>
        <w:rPr>
          <w:sz w:val="24"/>
        </w:rPr>
        <w:t>s</w:t>
      </w:r>
      <w:r>
        <w:rPr>
          <w:rFonts w:hint="eastAsia"/>
          <w:sz w:val="24"/>
        </w:rPr>
        <w:t xml:space="preserve"> has increased. As global industrial structures and financial systems have become </w:t>
      </w:r>
      <w:r>
        <w:rPr>
          <w:sz w:val="24"/>
        </w:rPr>
        <w:t xml:space="preserve">more </w:t>
      </w:r>
      <w:r>
        <w:rPr>
          <w:rFonts w:hint="eastAsia"/>
          <w:sz w:val="24"/>
        </w:rPr>
        <w:t xml:space="preserve">interconnected due to economic globalization, the escalation of trade </w:t>
      </w:r>
      <w:r>
        <w:rPr>
          <w:sz w:val="24"/>
        </w:rPr>
        <w:t>tensions</w:t>
      </w:r>
      <w:r>
        <w:rPr>
          <w:rFonts w:hint="eastAsia"/>
          <w:sz w:val="24"/>
        </w:rPr>
        <w:t xml:space="preserve"> will take a toll on a wider range of global industrial chains. This may create greater macroeconomic risks and even</w:t>
      </w:r>
      <w:r>
        <w:rPr>
          <w:sz w:val="24"/>
        </w:rPr>
        <w:t xml:space="preserve"> turmoil in</w:t>
      </w:r>
      <w:r>
        <w:rPr>
          <w:rFonts w:hint="eastAsia"/>
          <w:sz w:val="24"/>
        </w:rPr>
        <w:t xml:space="preserve"> global financial market</w:t>
      </w:r>
      <w:r>
        <w:rPr>
          <w:sz w:val="24"/>
        </w:rPr>
        <w:t>s</w:t>
      </w:r>
      <w:r>
        <w:rPr>
          <w:rFonts w:hint="eastAsia"/>
          <w:sz w:val="24"/>
        </w:rPr>
        <w:t xml:space="preserve">, dragging down longer-term economic growth. </w:t>
      </w:r>
    </w:p>
    <w:p w:rsidR="001031BB" w:rsidRDefault="001031BB" w:rsidP="001031BB">
      <w:pPr>
        <w:spacing w:line="360" w:lineRule="auto"/>
        <w:rPr>
          <w:sz w:val="24"/>
        </w:rPr>
      </w:pPr>
    </w:p>
    <w:p w:rsidR="001031BB" w:rsidRDefault="001031BB" w:rsidP="001031BB">
      <w:pPr>
        <w:spacing w:line="360" w:lineRule="auto"/>
        <w:rPr>
          <w:sz w:val="24"/>
        </w:rPr>
      </w:pPr>
      <w:r>
        <w:rPr>
          <w:rFonts w:hint="eastAsia"/>
          <w:b/>
          <w:bCs/>
          <w:sz w:val="24"/>
        </w:rPr>
        <w:t xml:space="preserve">Second, </w:t>
      </w:r>
      <w:r>
        <w:rPr>
          <w:b/>
          <w:bCs/>
          <w:sz w:val="24"/>
        </w:rPr>
        <w:t xml:space="preserve">the </w:t>
      </w:r>
      <w:r>
        <w:rPr>
          <w:rFonts w:hint="eastAsia"/>
          <w:b/>
          <w:bCs/>
          <w:sz w:val="24"/>
        </w:rPr>
        <w:t xml:space="preserve">emerging markets </w:t>
      </w:r>
      <w:r>
        <w:rPr>
          <w:b/>
          <w:bCs/>
          <w:sz w:val="24"/>
        </w:rPr>
        <w:t xml:space="preserve">will </w:t>
      </w:r>
      <w:r>
        <w:rPr>
          <w:rFonts w:hint="eastAsia"/>
          <w:b/>
          <w:bCs/>
          <w:sz w:val="24"/>
        </w:rPr>
        <w:t xml:space="preserve">continue to </w:t>
      </w:r>
      <w:r>
        <w:rPr>
          <w:b/>
          <w:bCs/>
          <w:sz w:val="24"/>
        </w:rPr>
        <w:t xml:space="preserve">face </w:t>
      </w:r>
      <w:r>
        <w:rPr>
          <w:rFonts w:hint="eastAsia"/>
          <w:b/>
          <w:bCs/>
          <w:sz w:val="24"/>
        </w:rPr>
        <w:t>pressure</w:t>
      </w:r>
      <w:r>
        <w:rPr>
          <w:b/>
          <w:bCs/>
          <w:sz w:val="24"/>
        </w:rPr>
        <w:t>s</w:t>
      </w:r>
      <w:r>
        <w:rPr>
          <w:rFonts w:hint="eastAsia"/>
          <w:b/>
          <w:bCs/>
          <w:sz w:val="24"/>
        </w:rPr>
        <w:t xml:space="preserve"> in the context of </w:t>
      </w:r>
      <w:r>
        <w:rPr>
          <w:b/>
          <w:bCs/>
          <w:sz w:val="24"/>
        </w:rPr>
        <w:t xml:space="preserve">the </w:t>
      </w:r>
      <w:r>
        <w:rPr>
          <w:rFonts w:hint="eastAsia"/>
          <w:b/>
          <w:bCs/>
          <w:sz w:val="24"/>
        </w:rPr>
        <w:t xml:space="preserve">restructuring </w:t>
      </w:r>
      <w:r>
        <w:rPr>
          <w:b/>
          <w:bCs/>
          <w:sz w:val="24"/>
        </w:rPr>
        <w:t xml:space="preserve">of </w:t>
      </w:r>
      <w:r>
        <w:rPr>
          <w:rFonts w:hint="eastAsia"/>
          <w:b/>
          <w:bCs/>
          <w:sz w:val="24"/>
        </w:rPr>
        <w:t xml:space="preserve">the international trading system and </w:t>
      </w:r>
      <w:r>
        <w:rPr>
          <w:b/>
          <w:bCs/>
          <w:sz w:val="24"/>
        </w:rPr>
        <w:t xml:space="preserve">the </w:t>
      </w:r>
      <w:r>
        <w:rPr>
          <w:rFonts w:hint="eastAsia"/>
          <w:b/>
          <w:bCs/>
          <w:sz w:val="24"/>
        </w:rPr>
        <w:t xml:space="preserve">incompatibility </w:t>
      </w:r>
      <w:r>
        <w:rPr>
          <w:b/>
          <w:bCs/>
          <w:sz w:val="24"/>
        </w:rPr>
        <w:t>of the</w:t>
      </w:r>
      <w:r>
        <w:rPr>
          <w:rFonts w:hint="eastAsia"/>
          <w:b/>
          <w:bCs/>
          <w:sz w:val="24"/>
        </w:rPr>
        <w:t xml:space="preserve"> international trade system and </w:t>
      </w:r>
      <w:r>
        <w:rPr>
          <w:b/>
          <w:bCs/>
          <w:sz w:val="24"/>
        </w:rPr>
        <w:t xml:space="preserve">the </w:t>
      </w:r>
      <w:r>
        <w:rPr>
          <w:rFonts w:hint="eastAsia"/>
          <w:b/>
          <w:bCs/>
          <w:sz w:val="24"/>
        </w:rPr>
        <w:t>financial system.</w:t>
      </w:r>
      <w:r>
        <w:rPr>
          <w:rFonts w:hint="eastAsia"/>
          <w:sz w:val="24"/>
        </w:rPr>
        <w:t xml:space="preserve"> In 2017, there was a strong synchronous recovery in the global economy. However, </w:t>
      </w:r>
      <w:r>
        <w:rPr>
          <w:sz w:val="24"/>
        </w:rPr>
        <w:t xml:space="preserve">since 2018 </w:t>
      </w:r>
      <w:r>
        <w:rPr>
          <w:rFonts w:hint="eastAsia"/>
          <w:sz w:val="24"/>
        </w:rPr>
        <w:t xml:space="preserve">trade protectionism and unilateralism have </w:t>
      </w:r>
      <w:r>
        <w:rPr>
          <w:sz w:val="24"/>
        </w:rPr>
        <w:t>increased.</w:t>
      </w:r>
      <w:r>
        <w:rPr>
          <w:rFonts w:hint="eastAsia"/>
          <w:sz w:val="24"/>
        </w:rPr>
        <w:t xml:space="preserve"> The spillover effect of the recovery </w:t>
      </w:r>
      <w:r>
        <w:rPr>
          <w:sz w:val="24"/>
        </w:rPr>
        <w:t>in the</w:t>
      </w:r>
      <w:r>
        <w:rPr>
          <w:rFonts w:hint="eastAsia"/>
          <w:sz w:val="24"/>
        </w:rPr>
        <w:t xml:space="preserve"> developed economies through trade channels has been </w:t>
      </w:r>
      <w:r>
        <w:rPr>
          <w:sz w:val="24"/>
        </w:rPr>
        <w:t>negatively affected.</w:t>
      </w:r>
      <w:r>
        <w:rPr>
          <w:rFonts w:hint="eastAsia"/>
          <w:sz w:val="24"/>
        </w:rPr>
        <w:t xml:space="preserve"> The growth of </w:t>
      </w:r>
      <w:r>
        <w:rPr>
          <w:sz w:val="24"/>
        </w:rPr>
        <w:t xml:space="preserve">the </w:t>
      </w:r>
      <w:r>
        <w:rPr>
          <w:rFonts w:hint="eastAsia"/>
          <w:sz w:val="24"/>
        </w:rPr>
        <w:t>emerging economies has slowed down, and the synchronization of the global economy has weakened. At the same time, there were still large capital flows in the international financial sector, the spillover effect</w:t>
      </w:r>
      <w:r>
        <w:rPr>
          <w:sz w:val="24"/>
        </w:rPr>
        <w:t>s</w:t>
      </w:r>
      <w:r>
        <w:rPr>
          <w:rFonts w:hint="eastAsia"/>
          <w:sz w:val="24"/>
        </w:rPr>
        <w:t xml:space="preserve"> of </w:t>
      </w:r>
      <w:r>
        <w:rPr>
          <w:sz w:val="24"/>
        </w:rPr>
        <w:t xml:space="preserve">the </w:t>
      </w:r>
      <w:r>
        <w:rPr>
          <w:rFonts w:hint="eastAsia"/>
          <w:sz w:val="24"/>
        </w:rPr>
        <w:t xml:space="preserve">monetary policies of </w:t>
      </w:r>
      <w:r>
        <w:rPr>
          <w:sz w:val="24"/>
        </w:rPr>
        <w:t xml:space="preserve">the </w:t>
      </w:r>
      <w:r>
        <w:rPr>
          <w:rFonts w:hint="eastAsia"/>
          <w:sz w:val="24"/>
        </w:rPr>
        <w:lastRenderedPageBreak/>
        <w:t xml:space="preserve">major economies </w:t>
      </w:r>
      <w:r>
        <w:rPr>
          <w:sz w:val="24"/>
        </w:rPr>
        <w:t xml:space="preserve">became </w:t>
      </w:r>
      <w:r>
        <w:rPr>
          <w:rFonts w:hint="eastAsia"/>
          <w:sz w:val="24"/>
        </w:rPr>
        <w:t xml:space="preserve">more obvious, and </w:t>
      </w:r>
      <w:r>
        <w:rPr>
          <w:sz w:val="24"/>
        </w:rPr>
        <w:t xml:space="preserve">in general </w:t>
      </w:r>
      <w:r>
        <w:rPr>
          <w:rFonts w:hint="eastAsia"/>
          <w:sz w:val="24"/>
        </w:rPr>
        <w:t xml:space="preserve">the emerging market economies </w:t>
      </w:r>
      <w:r>
        <w:rPr>
          <w:sz w:val="24"/>
        </w:rPr>
        <w:t>came under</w:t>
      </w:r>
      <w:r>
        <w:rPr>
          <w:rFonts w:hint="eastAsia"/>
          <w:sz w:val="24"/>
        </w:rPr>
        <w:t xml:space="preserve"> pressure. Changes in different directions in the global trading system and financial system may further exacerbate global imbalances.</w:t>
      </w:r>
    </w:p>
    <w:p w:rsidR="001031BB" w:rsidRDefault="001031BB" w:rsidP="001031BB">
      <w:pPr>
        <w:spacing w:line="360" w:lineRule="auto"/>
        <w:rPr>
          <w:sz w:val="24"/>
        </w:rPr>
      </w:pPr>
    </w:p>
    <w:p w:rsidR="001031BB" w:rsidRDefault="001031BB" w:rsidP="001031BB">
      <w:pPr>
        <w:spacing w:line="360" w:lineRule="auto"/>
        <w:rPr>
          <w:sz w:val="24"/>
        </w:rPr>
      </w:pPr>
      <w:r>
        <w:rPr>
          <w:rFonts w:hint="eastAsia"/>
          <w:b/>
          <w:bCs/>
          <w:sz w:val="24"/>
        </w:rPr>
        <w:t>Third, the global economic cycle and the financial cycle w</w:t>
      </w:r>
      <w:r>
        <w:rPr>
          <w:b/>
          <w:bCs/>
          <w:sz w:val="24"/>
        </w:rPr>
        <w:t xml:space="preserve">ill </w:t>
      </w:r>
      <w:r>
        <w:rPr>
          <w:rFonts w:hint="eastAsia"/>
          <w:b/>
          <w:bCs/>
          <w:sz w:val="24"/>
        </w:rPr>
        <w:t xml:space="preserve">not </w:t>
      </w:r>
      <w:r>
        <w:rPr>
          <w:b/>
          <w:bCs/>
          <w:sz w:val="24"/>
        </w:rPr>
        <w:t xml:space="preserve">be </w:t>
      </w:r>
      <w:r>
        <w:rPr>
          <w:rFonts w:hint="eastAsia"/>
          <w:b/>
          <w:bCs/>
          <w:sz w:val="24"/>
        </w:rPr>
        <w:t xml:space="preserve">synchronized, and the impact of </w:t>
      </w:r>
      <w:r>
        <w:rPr>
          <w:b/>
          <w:bCs/>
          <w:sz w:val="24"/>
        </w:rPr>
        <w:t xml:space="preserve">the </w:t>
      </w:r>
      <w:r>
        <w:rPr>
          <w:rFonts w:hint="eastAsia"/>
          <w:b/>
          <w:bCs/>
          <w:sz w:val="24"/>
        </w:rPr>
        <w:t>major economic policy adjustments on the global economy and finance</w:t>
      </w:r>
      <w:r>
        <w:rPr>
          <w:b/>
          <w:bCs/>
          <w:sz w:val="24"/>
        </w:rPr>
        <w:t xml:space="preserve"> will</w:t>
      </w:r>
      <w:r>
        <w:rPr>
          <w:rFonts w:hint="eastAsia"/>
          <w:b/>
          <w:bCs/>
          <w:sz w:val="24"/>
        </w:rPr>
        <w:t xml:space="preserve"> increase. </w:t>
      </w:r>
      <w:r>
        <w:rPr>
          <w:rFonts w:hint="eastAsia"/>
          <w:sz w:val="24"/>
        </w:rPr>
        <w:t xml:space="preserve">The economic cycles of </w:t>
      </w:r>
      <w:r>
        <w:rPr>
          <w:sz w:val="24"/>
        </w:rPr>
        <w:t xml:space="preserve">the </w:t>
      </w:r>
      <w:r>
        <w:rPr>
          <w:rFonts w:hint="eastAsia"/>
          <w:sz w:val="24"/>
        </w:rPr>
        <w:t xml:space="preserve">emerging market economies and </w:t>
      </w:r>
      <w:r>
        <w:rPr>
          <w:sz w:val="24"/>
        </w:rPr>
        <w:t xml:space="preserve">the </w:t>
      </w:r>
      <w:r>
        <w:rPr>
          <w:rFonts w:hint="eastAsia"/>
          <w:sz w:val="24"/>
        </w:rPr>
        <w:t xml:space="preserve">developed economies diverged, as </w:t>
      </w:r>
      <w:r>
        <w:rPr>
          <w:sz w:val="24"/>
        </w:rPr>
        <w:t>did</w:t>
      </w:r>
      <w:r>
        <w:rPr>
          <w:rFonts w:hint="eastAsia"/>
          <w:sz w:val="24"/>
        </w:rPr>
        <w:t xml:space="preserve"> the economic and financial cycle</w:t>
      </w:r>
      <w:r>
        <w:rPr>
          <w:sz w:val="24"/>
        </w:rPr>
        <w:t>s</w:t>
      </w:r>
      <w:r>
        <w:rPr>
          <w:rFonts w:hint="eastAsia"/>
          <w:sz w:val="24"/>
        </w:rPr>
        <w:t xml:space="preserve"> </w:t>
      </w:r>
      <w:r>
        <w:rPr>
          <w:sz w:val="24"/>
        </w:rPr>
        <w:t>in</w:t>
      </w:r>
      <w:r>
        <w:rPr>
          <w:rFonts w:hint="eastAsia"/>
          <w:sz w:val="24"/>
        </w:rPr>
        <w:t xml:space="preserve"> the U.S. In this context, the rate hikes and the unwinding of the U.S. Fed may lead to a downturn </w:t>
      </w:r>
      <w:r>
        <w:rPr>
          <w:sz w:val="24"/>
        </w:rPr>
        <w:t>in</w:t>
      </w:r>
      <w:r>
        <w:rPr>
          <w:rFonts w:hint="eastAsia"/>
          <w:sz w:val="24"/>
        </w:rPr>
        <w:t xml:space="preserve"> the financial and economic cycle for </w:t>
      </w:r>
      <w:r>
        <w:rPr>
          <w:sz w:val="24"/>
        </w:rPr>
        <w:t xml:space="preserve">the </w:t>
      </w:r>
      <w:r>
        <w:rPr>
          <w:rFonts w:hint="eastAsia"/>
          <w:sz w:val="24"/>
        </w:rPr>
        <w:t xml:space="preserve">emerging economies, and </w:t>
      </w:r>
      <w:r>
        <w:rPr>
          <w:sz w:val="24"/>
        </w:rPr>
        <w:t xml:space="preserve">it may </w:t>
      </w:r>
      <w:r>
        <w:rPr>
          <w:rFonts w:hint="eastAsia"/>
          <w:sz w:val="24"/>
        </w:rPr>
        <w:t xml:space="preserve">also have an impact on the U.S., with an increase </w:t>
      </w:r>
      <w:r>
        <w:rPr>
          <w:sz w:val="24"/>
        </w:rPr>
        <w:t>in</w:t>
      </w:r>
      <w:r>
        <w:rPr>
          <w:rFonts w:hint="eastAsia"/>
          <w:sz w:val="24"/>
        </w:rPr>
        <w:t xml:space="preserve"> potential risks.</w:t>
      </w:r>
    </w:p>
    <w:p w:rsidR="001031BB" w:rsidRDefault="001031BB" w:rsidP="001031BB">
      <w:pPr>
        <w:spacing w:line="360" w:lineRule="auto"/>
        <w:rPr>
          <w:sz w:val="24"/>
        </w:rPr>
      </w:pPr>
    </w:p>
    <w:p w:rsidR="001031BB" w:rsidRDefault="001031BB" w:rsidP="001031BB">
      <w:pPr>
        <w:spacing w:line="360" w:lineRule="auto"/>
        <w:rPr>
          <w:sz w:val="24"/>
        </w:rPr>
      </w:pPr>
      <w:r>
        <w:rPr>
          <w:rFonts w:hint="eastAsia"/>
          <w:b/>
          <w:bCs/>
          <w:sz w:val="24"/>
        </w:rPr>
        <w:t xml:space="preserve">Fourth, the vulnerability of the global financial market </w:t>
      </w:r>
      <w:r>
        <w:rPr>
          <w:b/>
          <w:bCs/>
          <w:sz w:val="24"/>
        </w:rPr>
        <w:t>will</w:t>
      </w:r>
      <w:r>
        <w:rPr>
          <w:rFonts w:hint="eastAsia"/>
          <w:b/>
          <w:bCs/>
          <w:sz w:val="24"/>
        </w:rPr>
        <w:t xml:space="preserve"> increase. </w:t>
      </w:r>
      <w:r>
        <w:rPr>
          <w:sz w:val="24"/>
        </w:rPr>
        <w:t>The upbeat recover</w:t>
      </w:r>
      <w:r>
        <w:rPr>
          <w:rFonts w:hint="eastAsia"/>
          <w:sz w:val="24"/>
        </w:rPr>
        <w:t>i</w:t>
      </w:r>
      <w:r>
        <w:rPr>
          <w:sz w:val="24"/>
        </w:rPr>
        <w:t xml:space="preserve">es in the major advanced economies and the </w:t>
      </w:r>
      <w:r>
        <w:rPr>
          <w:rFonts w:hint="eastAsia"/>
          <w:sz w:val="24"/>
        </w:rPr>
        <w:t>relative</w:t>
      </w:r>
      <w:r>
        <w:rPr>
          <w:sz w:val="24"/>
        </w:rPr>
        <w:t>ly</w:t>
      </w:r>
      <w:r>
        <w:rPr>
          <w:rFonts w:hint="eastAsia"/>
          <w:sz w:val="24"/>
        </w:rPr>
        <w:t xml:space="preserve"> sufficient</w:t>
      </w:r>
      <w:r>
        <w:rPr>
          <w:sz w:val="24"/>
        </w:rPr>
        <w:t xml:space="preserve"> global liquidity have pushed up asset prices to historical highs. </w:t>
      </w:r>
      <w:r>
        <w:rPr>
          <w:rFonts w:hint="eastAsia"/>
          <w:sz w:val="24"/>
        </w:rPr>
        <w:t xml:space="preserve">If the pace of </w:t>
      </w:r>
      <w:r>
        <w:rPr>
          <w:sz w:val="24"/>
        </w:rPr>
        <w:t xml:space="preserve">the </w:t>
      </w:r>
      <w:r>
        <w:rPr>
          <w:rFonts w:hint="eastAsia"/>
          <w:sz w:val="24"/>
        </w:rPr>
        <w:t xml:space="preserve">tightening </w:t>
      </w:r>
      <w:r>
        <w:rPr>
          <w:sz w:val="24"/>
        </w:rPr>
        <w:t xml:space="preserve">of </w:t>
      </w:r>
      <w:r>
        <w:rPr>
          <w:rFonts w:hint="eastAsia"/>
          <w:sz w:val="24"/>
        </w:rPr>
        <w:t xml:space="preserve">global liquidity exceeds market expectations, it could lead to financial market volatility. In this context, uncertainties </w:t>
      </w:r>
      <w:r>
        <w:rPr>
          <w:sz w:val="24"/>
        </w:rPr>
        <w:t xml:space="preserve">about </w:t>
      </w:r>
      <w:r>
        <w:rPr>
          <w:rFonts w:hint="eastAsia"/>
          <w:sz w:val="24"/>
        </w:rPr>
        <w:t>the global economic outlook and policies may drive investors to be more risk-averse, triggering a retreat of investments and a</w:t>
      </w:r>
      <w:r>
        <w:rPr>
          <w:sz w:val="24"/>
        </w:rPr>
        <w:t xml:space="preserve"> change</w:t>
      </w:r>
      <w:r>
        <w:rPr>
          <w:rFonts w:hint="eastAsia"/>
          <w:sz w:val="24"/>
        </w:rPr>
        <w:t xml:space="preserve"> to safe</w:t>
      </w:r>
      <w:r>
        <w:rPr>
          <w:sz w:val="24"/>
        </w:rPr>
        <w:t>r</w:t>
      </w:r>
      <w:r>
        <w:rPr>
          <w:rFonts w:hint="eastAsia"/>
          <w:sz w:val="24"/>
        </w:rPr>
        <w:t xml:space="preserve"> assets.</w:t>
      </w:r>
    </w:p>
    <w:p w:rsidR="001031BB" w:rsidRDefault="001031BB" w:rsidP="001031BB">
      <w:pPr>
        <w:spacing w:line="360" w:lineRule="auto"/>
        <w:rPr>
          <w:sz w:val="24"/>
        </w:rPr>
      </w:pPr>
    </w:p>
    <w:p w:rsidR="001031BB" w:rsidRDefault="001031BB" w:rsidP="001031BB">
      <w:pPr>
        <w:spacing w:line="360" w:lineRule="auto"/>
        <w:rPr>
          <w:sz w:val="24"/>
        </w:rPr>
      </w:pPr>
      <w:r>
        <w:rPr>
          <w:rFonts w:hint="eastAsia"/>
          <w:sz w:val="24"/>
        </w:rPr>
        <w:t>In addition, geopolitical tensions have occurred in numerous places and risk factors and uncertainties have been growing at a rapid pace, exerting a greater impact on the global economy and financial markets. Meanwhile, risks from new technologies, such as FinTech, should not be neglected as they may pose additional challenges to global financial regulation and supervision.</w:t>
      </w:r>
    </w:p>
    <w:p w:rsidR="00E86627" w:rsidRPr="001031BB" w:rsidRDefault="00E86627" w:rsidP="00E86627"/>
    <w:p w:rsidR="005A0958" w:rsidRDefault="005A0958" w:rsidP="005A0958">
      <w:pPr>
        <w:pStyle w:val="2"/>
        <w:spacing w:before="0" w:after="0" w:line="360" w:lineRule="auto"/>
        <w:ind w:firstLineChars="0" w:firstLine="0"/>
        <w:rPr>
          <w:rFonts w:ascii="Times New Roman" w:eastAsia="宋体" w:hAnsi="Times New Roman"/>
          <w:bCs w:val="0"/>
          <w:sz w:val="24"/>
          <w:szCs w:val="24"/>
        </w:rPr>
      </w:pPr>
      <w:bookmarkStart w:id="107" w:name="_Toc532201096"/>
      <w:r>
        <w:rPr>
          <w:rFonts w:ascii="Times New Roman" w:eastAsia="宋体" w:hAnsi="Times New Roman"/>
          <w:bCs w:val="0"/>
          <w:sz w:val="24"/>
          <w:szCs w:val="24"/>
        </w:rPr>
        <w:t>II. Macroeconomic developments in China</w:t>
      </w:r>
      <w:bookmarkEnd w:id="107"/>
    </w:p>
    <w:p w:rsidR="005A0958" w:rsidRDefault="005A0958" w:rsidP="005A0958">
      <w:pPr>
        <w:spacing w:line="360" w:lineRule="auto"/>
        <w:rPr>
          <w:sz w:val="24"/>
        </w:rPr>
      </w:pPr>
      <w:r>
        <w:rPr>
          <w:rFonts w:hint="eastAsia"/>
          <w:sz w:val="24"/>
        </w:rPr>
        <w:t xml:space="preserve">Since the beginning of </w:t>
      </w:r>
      <w:r>
        <w:rPr>
          <w:sz w:val="24"/>
        </w:rPr>
        <w:t xml:space="preserve">2018, the Chinese economy </w:t>
      </w:r>
      <w:r>
        <w:rPr>
          <w:rFonts w:hint="eastAsia"/>
          <w:sz w:val="24"/>
        </w:rPr>
        <w:t xml:space="preserve">has grown steadily and </w:t>
      </w:r>
      <w:r>
        <w:rPr>
          <w:sz w:val="24"/>
        </w:rPr>
        <w:t xml:space="preserve">remained </w:t>
      </w:r>
      <w:r>
        <w:rPr>
          <w:rFonts w:hint="eastAsia"/>
          <w:sz w:val="24"/>
        </w:rPr>
        <w:t>resilient</w:t>
      </w:r>
      <w:r>
        <w:rPr>
          <w:sz w:val="24"/>
        </w:rPr>
        <w:t xml:space="preserve">. The structural reforms continued to </w:t>
      </w:r>
      <w:r>
        <w:rPr>
          <w:rFonts w:hint="eastAsia"/>
          <w:sz w:val="24"/>
        </w:rPr>
        <w:t>advance</w:t>
      </w:r>
      <w:r>
        <w:rPr>
          <w:sz w:val="24"/>
        </w:rPr>
        <w:t xml:space="preserve">, supply and demand remained generally balanced, </w:t>
      </w:r>
      <w:r>
        <w:rPr>
          <w:rFonts w:hint="eastAsia"/>
          <w:sz w:val="24"/>
        </w:rPr>
        <w:t xml:space="preserve">consumption contributed more to economic growth, </w:t>
      </w:r>
      <w:r>
        <w:rPr>
          <w:sz w:val="24"/>
        </w:rPr>
        <w:t xml:space="preserve">the </w:t>
      </w:r>
      <w:r>
        <w:rPr>
          <w:rFonts w:hint="eastAsia"/>
          <w:sz w:val="24"/>
        </w:rPr>
        <w:t xml:space="preserve">growth </w:t>
      </w:r>
      <w:r>
        <w:rPr>
          <w:rFonts w:hint="eastAsia"/>
          <w:sz w:val="24"/>
        </w:rPr>
        <w:lastRenderedPageBreak/>
        <w:t>rates of manufacturing investment</w:t>
      </w:r>
      <w:r>
        <w:rPr>
          <w:sz w:val="24"/>
        </w:rPr>
        <w:t>s</w:t>
      </w:r>
      <w:r>
        <w:rPr>
          <w:rFonts w:hint="eastAsia"/>
          <w:sz w:val="24"/>
        </w:rPr>
        <w:t xml:space="preserve"> and private investment</w:t>
      </w:r>
      <w:r>
        <w:rPr>
          <w:sz w:val="24"/>
        </w:rPr>
        <w:t>s</w:t>
      </w:r>
      <w:r>
        <w:rPr>
          <w:rFonts w:hint="eastAsia"/>
          <w:sz w:val="24"/>
        </w:rPr>
        <w:t xml:space="preserve"> recovered, import</w:t>
      </w:r>
      <w:r>
        <w:rPr>
          <w:sz w:val="24"/>
        </w:rPr>
        <w:t>s</w:t>
      </w:r>
      <w:r>
        <w:rPr>
          <w:rFonts w:hint="eastAsia"/>
          <w:sz w:val="24"/>
        </w:rPr>
        <w:t xml:space="preserve"> and export</w:t>
      </w:r>
      <w:r>
        <w:rPr>
          <w:sz w:val="24"/>
        </w:rPr>
        <w:t>s</w:t>
      </w:r>
      <w:r>
        <w:rPr>
          <w:rFonts w:hint="eastAsia"/>
          <w:sz w:val="24"/>
        </w:rPr>
        <w:t xml:space="preserve"> grew relatively </w:t>
      </w:r>
      <w:r>
        <w:rPr>
          <w:sz w:val="24"/>
        </w:rPr>
        <w:t>rapidly</w:t>
      </w:r>
      <w:r>
        <w:rPr>
          <w:rFonts w:hint="eastAsia"/>
          <w:sz w:val="24"/>
        </w:rPr>
        <w:t>, and overall prices and employment remained stable. That said, the growth rate of infrastructure investment</w:t>
      </w:r>
      <w:r>
        <w:rPr>
          <w:sz w:val="24"/>
        </w:rPr>
        <w:t>s</w:t>
      </w:r>
      <w:r>
        <w:rPr>
          <w:rFonts w:hint="eastAsia"/>
          <w:sz w:val="24"/>
        </w:rPr>
        <w:t xml:space="preserve"> declined and </w:t>
      </w:r>
      <w:r>
        <w:rPr>
          <w:sz w:val="24"/>
        </w:rPr>
        <w:t>the B</w:t>
      </w:r>
      <w:r>
        <w:rPr>
          <w:rFonts w:hint="eastAsia"/>
          <w:sz w:val="24"/>
        </w:rPr>
        <w:t xml:space="preserve">usiness </w:t>
      </w:r>
      <w:r>
        <w:rPr>
          <w:sz w:val="24"/>
        </w:rPr>
        <w:t>S</w:t>
      </w:r>
      <w:r>
        <w:rPr>
          <w:rFonts w:hint="eastAsia"/>
          <w:sz w:val="24"/>
        </w:rPr>
        <w:t xml:space="preserve">urvey </w:t>
      </w:r>
      <w:r>
        <w:rPr>
          <w:sz w:val="24"/>
        </w:rPr>
        <w:t>I</w:t>
      </w:r>
      <w:r>
        <w:rPr>
          <w:rFonts w:hint="eastAsia"/>
          <w:sz w:val="24"/>
        </w:rPr>
        <w:t xml:space="preserve">ndex fell, which called for attention to the downward pressures from external uncertainties and destabilizing factors. </w:t>
      </w:r>
      <w:r>
        <w:rPr>
          <w:sz w:val="24"/>
        </w:rPr>
        <w:t xml:space="preserve">Preliminary estimates show that GDP recorded RMB </w:t>
      </w:r>
      <w:r>
        <w:rPr>
          <w:rFonts w:hint="eastAsia"/>
          <w:sz w:val="24"/>
        </w:rPr>
        <w:t xml:space="preserve">65.1 </w:t>
      </w:r>
      <w:r>
        <w:rPr>
          <w:sz w:val="24"/>
        </w:rPr>
        <w:t xml:space="preserve">trillion during the first </w:t>
      </w:r>
      <w:r>
        <w:rPr>
          <w:rFonts w:hint="eastAsia"/>
          <w:sz w:val="24"/>
        </w:rPr>
        <w:t xml:space="preserve">three quarters </w:t>
      </w:r>
      <w:r>
        <w:rPr>
          <w:sz w:val="24"/>
        </w:rPr>
        <w:t>of the year, up 6.</w:t>
      </w:r>
      <w:r>
        <w:rPr>
          <w:rFonts w:hint="eastAsia"/>
          <w:sz w:val="24"/>
        </w:rPr>
        <w:t>7</w:t>
      </w:r>
      <w:r>
        <w:rPr>
          <w:sz w:val="24"/>
        </w:rPr>
        <w:t xml:space="preserve"> percent year on year in comparable terms</w:t>
      </w:r>
      <w:r>
        <w:rPr>
          <w:rFonts w:hint="eastAsia"/>
          <w:sz w:val="24"/>
        </w:rPr>
        <w:t>, and the economy grew 6.5 percent in the third quarter</w:t>
      </w:r>
      <w:r>
        <w:rPr>
          <w:sz w:val="24"/>
        </w:rPr>
        <w:t xml:space="preserve">. </w:t>
      </w:r>
      <w:r>
        <w:rPr>
          <w:rFonts w:hint="eastAsia"/>
          <w:sz w:val="24"/>
        </w:rPr>
        <w:t>During the first three quarters, t</w:t>
      </w:r>
      <w:r>
        <w:rPr>
          <w:sz w:val="24"/>
        </w:rPr>
        <w:t>he CPI went up 2.</w:t>
      </w:r>
      <w:r>
        <w:rPr>
          <w:rFonts w:hint="eastAsia"/>
          <w:sz w:val="24"/>
        </w:rPr>
        <w:t>1</w:t>
      </w:r>
      <w:r>
        <w:rPr>
          <w:sz w:val="24"/>
        </w:rPr>
        <w:t xml:space="preserve"> percent year on year</w:t>
      </w:r>
      <w:r>
        <w:rPr>
          <w:rFonts w:hint="eastAsia"/>
          <w:sz w:val="24"/>
        </w:rPr>
        <w:t>, whereas it rose 2.3 percent year on year in the third quarter.</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b/>
          <w:kern w:val="2"/>
          <w:sz w:val="24"/>
          <w:szCs w:val="24"/>
        </w:rPr>
      </w:pPr>
      <w:r>
        <w:rPr>
          <w:b/>
          <w:kern w:val="2"/>
          <w:sz w:val="24"/>
          <w:szCs w:val="24"/>
        </w:rPr>
        <w:t xml:space="preserve">1. </w:t>
      </w:r>
      <w:r>
        <w:rPr>
          <w:rFonts w:hint="eastAsia"/>
          <w:b/>
          <w:kern w:val="2"/>
          <w:sz w:val="24"/>
          <w:szCs w:val="24"/>
        </w:rPr>
        <w:t>C</w:t>
      </w:r>
      <w:r>
        <w:rPr>
          <w:b/>
          <w:kern w:val="2"/>
          <w:sz w:val="24"/>
          <w:szCs w:val="24"/>
        </w:rPr>
        <w:t>onsumption made</w:t>
      </w:r>
      <w:r>
        <w:rPr>
          <w:rFonts w:hint="eastAsia"/>
          <w:b/>
          <w:kern w:val="2"/>
          <w:sz w:val="24"/>
          <w:szCs w:val="24"/>
        </w:rPr>
        <w:t xml:space="preserve"> a relatively large contribution to economic growth, whereas the growth rates of manufacturing investment</w:t>
      </w:r>
      <w:r>
        <w:rPr>
          <w:b/>
          <w:kern w:val="2"/>
          <w:sz w:val="24"/>
          <w:szCs w:val="24"/>
        </w:rPr>
        <w:t>s</w:t>
      </w:r>
      <w:r>
        <w:rPr>
          <w:rFonts w:hint="eastAsia"/>
          <w:b/>
          <w:kern w:val="2"/>
          <w:sz w:val="24"/>
          <w:szCs w:val="24"/>
        </w:rPr>
        <w:t xml:space="preserve"> and private investment</w:t>
      </w:r>
      <w:r>
        <w:rPr>
          <w:b/>
          <w:kern w:val="2"/>
          <w:sz w:val="24"/>
          <w:szCs w:val="24"/>
        </w:rPr>
        <w:t>s</w:t>
      </w:r>
      <w:r>
        <w:rPr>
          <w:rFonts w:hint="eastAsia"/>
          <w:b/>
          <w:kern w:val="2"/>
          <w:sz w:val="24"/>
          <w:szCs w:val="24"/>
        </w:rPr>
        <w:t xml:space="preserve"> continued to recover</w:t>
      </w:r>
    </w:p>
    <w:p w:rsidR="005A0958" w:rsidRDefault="005A0958" w:rsidP="005A0958">
      <w:pPr>
        <w:pStyle w:val="p0"/>
        <w:spacing w:line="360" w:lineRule="auto"/>
        <w:rPr>
          <w:kern w:val="2"/>
          <w:sz w:val="24"/>
          <w:szCs w:val="24"/>
        </w:rPr>
      </w:pPr>
      <w:r>
        <w:rPr>
          <w:rFonts w:hint="eastAsia"/>
          <w:b/>
          <w:kern w:val="2"/>
          <w:sz w:val="24"/>
          <w:szCs w:val="24"/>
        </w:rPr>
        <w:t xml:space="preserve">Consumption continued to </w:t>
      </w:r>
      <w:r>
        <w:rPr>
          <w:b/>
          <w:kern w:val="2"/>
          <w:sz w:val="24"/>
          <w:szCs w:val="24"/>
        </w:rPr>
        <w:t>make</w:t>
      </w:r>
      <w:r>
        <w:rPr>
          <w:rFonts w:hint="eastAsia"/>
          <w:b/>
          <w:kern w:val="2"/>
          <w:sz w:val="24"/>
          <w:szCs w:val="24"/>
        </w:rPr>
        <w:t xml:space="preserve"> a large contribution to economic growth, and</w:t>
      </w:r>
      <w:r>
        <w:rPr>
          <w:b/>
          <w:kern w:val="2"/>
          <w:sz w:val="24"/>
          <w:szCs w:val="24"/>
        </w:rPr>
        <w:t xml:space="preserve"> the growth of online consumption accelerated. </w:t>
      </w:r>
      <w:r>
        <w:rPr>
          <w:sz w:val="24"/>
        </w:rPr>
        <w:t>During</w:t>
      </w:r>
      <w:r>
        <w:rPr>
          <w:kern w:val="2"/>
          <w:sz w:val="24"/>
          <w:szCs w:val="24"/>
        </w:rPr>
        <w:t xml:space="preserve"> the first </w:t>
      </w:r>
      <w:r>
        <w:rPr>
          <w:rFonts w:hint="eastAsia"/>
          <w:kern w:val="2"/>
          <w:sz w:val="24"/>
          <w:szCs w:val="24"/>
        </w:rPr>
        <w:t xml:space="preserve">three quarters </w:t>
      </w:r>
      <w:r>
        <w:rPr>
          <w:kern w:val="2"/>
          <w:sz w:val="24"/>
          <w:szCs w:val="24"/>
        </w:rPr>
        <w:t>of 2018, final consumption expenditures contributed 78.</w:t>
      </w:r>
      <w:r>
        <w:rPr>
          <w:rFonts w:hint="eastAsia"/>
          <w:kern w:val="2"/>
          <w:sz w:val="24"/>
          <w:szCs w:val="24"/>
        </w:rPr>
        <w:t>0</w:t>
      </w:r>
      <w:r>
        <w:rPr>
          <w:kern w:val="2"/>
          <w:sz w:val="24"/>
          <w:szCs w:val="24"/>
        </w:rPr>
        <w:t xml:space="preserve"> percent to GDP growth, </w:t>
      </w:r>
      <w:r>
        <w:rPr>
          <w:rFonts w:hint="eastAsia"/>
          <w:kern w:val="2"/>
          <w:sz w:val="24"/>
          <w:szCs w:val="24"/>
        </w:rPr>
        <w:t>46.2 percentage points higher than that of capital formation</w:t>
      </w:r>
      <w:r>
        <w:rPr>
          <w:kern w:val="2"/>
          <w:sz w:val="24"/>
          <w:szCs w:val="24"/>
        </w:rPr>
        <w:t>.</w:t>
      </w:r>
      <w:r>
        <w:rPr>
          <w:rFonts w:hint="eastAsia"/>
          <w:kern w:val="2"/>
          <w:sz w:val="24"/>
          <w:szCs w:val="24"/>
        </w:rPr>
        <w:t xml:space="preserve"> </w:t>
      </w:r>
      <w:r>
        <w:rPr>
          <w:kern w:val="2"/>
          <w:sz w:val="24"/>
          <w:szCs w:val="24"/>
        </w:rPr>
        <w:t>Total retail sales grew 9.</w:t>
      </w:r>
      <w:r>
        <w:rPr>
          <w:rFonts w:hint="eastAsia"/>
          <w:kern w:val="2"/>
          <w:sz w:val="24"/>
          <w:szCs w:val="24"/>
        </w:rPr>
        <w:t>3</w:t>
      </w:r>
      <w:r>
        <w:rPr>
          <w:kern w:val="2"/>
          <w:sz w:val="24"/>
          <w:szCs w:val="24"/>
        </w:rPr>
        <w:t xml:space="preserve"> percent year on year to RMB </w:t>
      </w:r>
      <w:r>
        <w:rPr>
          <w:rFonts w:hint="eastAsia"/>
          <w:kern w:val="2"/>
          <w:sz w:val="24"/>
          <w:szCs w:val="24"/>
        </w:rPr>
        <w:t>27</w:t>
      </w:r>
      <w:r>
        <w:rPr>
          <w:kern w:val="2"/>
          <w:sz w:val="24"/>
          <w:szCs w:val="24"/>
        </w:rPr>
        <w:t xml:space="preserve"> trillion. </w:t>
      </w:r>
      <w:r>
        <w:rPr>
          <w:rFonts w:hint="eastAsia"/>
          <w:kern w:val="2"/>
          <w:sz w:val="24"/>
          <w:szCs w:val="24"/>
        </w:rPr>
        <w:t>O</w:t>
      </w:r>
      <w:r>
        <w:rPr>
          <w:kern w:val="2"/>
          <w:sz w:val="24"/>
          <w:szCs w:val="24"/>
        </w:rPr>
        <w:t xml:space="preserve">nline retail sales </w:t>
      </w:r>
      <w:r>
        <w:rPr>
          <w:rFonts w:hint="eastAsia"/>
          <w:kern w:val="2"/>
          <w:sz w:val="24"/>
          <w:szCs w:val="24"/>
        </w:rPr>
        <w:t xml:space="preserve">grew 27.0 </w:t>
      </w:r>
      <w:r>
        <w:rPr>
          <w:kern w:val="2"/>
          <w:sz w:val="24"/>
          <w:szCs w:val="24"/>
        </w:rPr>
        <w:t xml:space="preserve">percent, reaching RMB </w:t>
      </w:r>
      <w:r>
        <w:rPr>
          <w:rFonts w:hint="eastAsia"/>
          <w:kern w:val="2"/>
          <w:sz w:val="24"/>
          <w:szCs w:val="24"/>
        </w:rPr>
        <w:t>6,278.5</w:t>
      </w:r>
      <w:r>
        <w:rPr>
          <w:kern w:val="2"/>
          <w:sz w:val="24"/>
          <w:szCs w:val="24"/>
        </w:rPr>
        <w:t xml:space="preserve"> </w:t>
      </w:r>
      <w:r>
        <w:rPr>
          <w:rFonts w:hint="eastAsia"/>
          <w:kern w:val="2"/>
          <w:sz w:val="24"/>
          <w:szCs w:val="24"/>
        </w:rPr>
        <w:t>b</w:t>
      </w:r>
      <w:r>
        <w:rPr>
          <w:kern w:val="2"/>
          <w:sz w:val="24"/>
          <w:szCs w:val="24"/>
        </w:rPr>
        <w:t>illion.</w:t>
      </w:r>
      <w:r>
        <w:rPr>
          <w:rFonts w:hint="eastAsia"/>
          <w:kern w:val="2"/>
          <w:sz w:val="24"/>
          <w:szCs w:val="24"/>
        </w:rPr>
        <w:t xml:space="preserve"> </w:t>
      </w:r>
      <w:r>
        <w:rPr>
          <w:rFonts w:hint="eastAsia"/>
          <w:b/>
          <w:bCs/>
          <w:kern w:val="2"/>
          <w:sz w:val="24"/>
          <w:szCs w:val="24"/>
        </w:rPr>
        <w:t xml:space="preserve">The rapid </w:t>
      </w:r>
      <w:r>
        <w:rPr>
          <w:b/>
          <w:bCs/>
          <w:kern w:val="2"/>
          <w:sz w:val="24"/>
          <w:szCs w:val="24"/>
        </w:rPr>
        <w:t xml:space="preserve">growth of </w:t>
      </w:r>
      <w:r>
        <w:rPr>
          <w:rFonts w:hint="eastAsia"/>
          <w:b/>
          <w:bCs/>
          <w:kern w:val="2"/>
          <w:sz w:val="24"/>
          <w:szCs w:val="24"/>
        </w:rPr>
        <w:t>income and the stead</w:t>
      </w:r>
      <w:r>
        <w:rPr>
          <w:b/>
          <w:bCs/>
          <w:kern w:val="2"/>
          <w:sz w:val="24"/>
          <w:szCs w:val="24"/>
        </w:rPr>
        <w:t>y</w:t>
      </w:r>
      <w:r>
        <w:rPr>
          <w:rFonts w:hint="eastAsia"/>
          <w:b/>
          <w:bCs/>
          <w:kern w:val="2"/>
          <w:sz w:val="24"/>
          <w:szCs w:val="24"/>
        </w:rPr>
        <w:t xml:space="preserve"> ris</w:t>
      </w:r>
      <w:r>
        <w:rPr>
          <w:b/>
          <w:bCs/>
          <w:kern w:val="2"/>
          <w:sz w:val="24"/>
          <w:szCs w:val="24"/>
        </w:rPr>
        <w:t>e in</w:t>
      </w:r>
      <w:r>
        <w:rPr>
          <w:rFonts w:hint="eastAsia"/>
          <w:b/>
          <w:bCs/>
          <w:kern w:val="2"/>
          <w:sz w:val="24"/>
          <w:szCs w:val="24"/>
        </w:rPr>
        <w:t xml:space="preserve"> consumption sentiment </w:t>
      </w:r>
      <w:r>
        <w:rPr>
          <w:b/>
          <w:bCs/>
          <w:kern w:val="2"/>
          <w:sz w:val="24"/>
          <w:szCs w:val="24"/>
        </w:rPr>
        <w:t>tend to support</w:t>
      </w:r>
      <w:r>
        <w:rPr>
          <w:rFonts w:hint="eastAsia"/>
          <w:b/>
          <w:bCs/>
          <w:kern w:val="2"/>
          <w:sz w:val="24"/>
          <w:szCs w:val="24"/>
        </w:rPr>
        <w:t xml:space="preserve"> consumption.</w:t>
      </w:r>
      <w:r>
        <w:rPr>
          <w:rFonts w:hint="eastAsia"/>
          <w:kern w:val="2"/>
          <w:sz w:val="24"/>
          <w:szCs w:val="24"/>
        </w:rPr>
        <w:t xml:space="preserve"> During the first three quarters of 2018, </w:t>
      </w:r>
      <w:r>
        <w:rPr>
          <w:kern w:val="2"/>
          <w:sz w:val="24"/>
          <w:szCs w:val="24"/>
        </w:rPr>
        <w:t xml:space="preserve">per capita disposable income registered RMB </w:t>
      </w:r>
      <w:r>
        <w:rPr>
          <w:rFonts w:hint="eastAsia"/>
          <w:kern w:val="2"/>
          <w:sz w:val="24"/>
          <w:szCs w:val="24"/>
        </w:rPr>
        <w:t>21,035</w:t>
      </w:r>
      <w:r>
        <w:rPr>
          <w:kern w:val="2"/>
          <w:sz w:val="24"/>
          <w:szCs w:val="24"/>
        </w:rPr>
        <w:t>, up 8.</w:t>
      </w:r>
      <w:r>
        <w:rPr>
          <w:rFonts w:hint="eastAsia"/>
          <w:kern w:val="2"/>
          <w:sz w:val="24"/>
          <w:szCs w:val="24"/>
        </w:rPr>
        <w:t>8</w:t>
      </w:r>
      <w:r>
        <w:rPr>
          <w:kern w:val="2"/>
          <w:sz w:val="24"/>
          <w:szCs w:val="24"/>
        </w:rPr>
        <w:t xml:space="preserve"> percent year on year</w:t>
      </w:r>
      <w:r>
        <w:rPr>
          <w:rFonts w:hint="eastAsia"/>
          <w:kern w:val="2"/>
          <w:sz w:val="24"/>
          <w:szCs w:val="24"/>
        </w:rPr>
        <w:t xml:space="preserve"> in nominal terms </w:t>
      </w:r>
      <w:r>
        <w:rPr>
          <w:kern w:val="2"/>
          <w:sz w:val="24"/>
          <w:szCs w:val="24"/>
        </w:rPr>
        <w:t>or 6.6 percent in real terms</w:t>
      </w:r>
      <w:r>
        <w:rPr>
          <w:rFonts w:hint="eastAsia"/>
          <w:kern w:val="2"/>
          <w:sz w:val="24"/>
          <w:szCs w:val="24"/>
        </w:rPr>
        <w:t xml:space="preserve">, consistent with the economic growth. The structure of income distribution continued to improve, with the growth of </w:t>
      </w:r>
      <w:r>
        <w:rPr>
          <w:kern w:val="2"/>
          <w:sz w:val="24"/>
          <w:szCs w:val="24"/>
        </w:rPr>
        <w:t>per capita disposable income of rural residents outpacing that of urban residents</w:t>
      </w:r>
      <w:r>
        <w:rPr>
          <w:rFonts w:hint="eastAsia"/>
          <w:kern w:val="2"/>
          <w:sz w:val="24"/>
          <w:szCs w:val="24"/>
        </w:rPr>
        <w:t xml:space="preserve">. </w:t>
      </w:r>
      <w:r>
        <w:rPr>
          <w:kern w:val="2"/>
          <w:sz w:val="24"/>
          <w:szCs w:val="24"/>
        </w:rPr>
        <w:t>According to the Q3</w:t>
      </w:r>
      <w:r>
        <w:rPr>
          <w:sz w:val="24"/>
        </w:rPr>
        <w:t xml:space="preserve"> </w:t>
      </w:r>
      <w:r>
        <w:rPr>
          <w:kern w:val="2"/>
          <w:sz w:val="24"/>
          <w:szCs w:val="24"/>
        </w:rPr>
        <w:t>Urban Depositors’ Survey conducted by the People’s Bank of China, 2</w:t>
      </w:r>
      <w:r>
        <w:rPr>
          <w:rFonts w:hint="eastAsia"/>
          <w:kern w:val="2"/>
          <w:sz w:val="24"/>
          <w:szCs w:val="24"/>
        </w:rPr>
        <w:t>6.0</w:t>
      </w:r>
      <w:r>
        <w:rPr>
          <w:kern w:val="2"/>
          <w:sz w:val="24"/>
          <w:szCs w:val="24"/>
        </w:rPr>
        <w:t xml:space="preserve"> percent of consumers were inclined to “consume more,” </w:t>
      </w:r>
      <w:r>
        <w:rPr>
          <w:rFonts w:hint="eastAsia"/>
          <w:kern w:val="2"/>
          <w:sz w:val="24"/>
          <w:szCs w:val="24"/>
        </w:rPr>
        <w:t xml:space="preserve">up 1.3 percent </w:t>
      </w:r>
      <w:r>
        <w:rPr>
          <w:kern w:val="2"/>
          <w:sz w:val="24"/>
          <w:szCs w:val="24"/>
        </w:rPr>
        <w:t xml:space="preserve">from the previous quarter. The </w:t>
      </w:r>
      <w:r>
        <w:rPr>
          <w:rFonts w:hint="eastAsia"/>
          <w:kern w:val="2"/>
          <w:sz w:val="24"/>
          <w:szCs w:val="24"/>
        </w:rPr>
        <w:t xml:space="preserve">Household </w:t>
      </w:r>
      <w:r>
        <w:rPr>
          <w:kern w:val="2"/>
          <w:sz w:val="24"/>
          <w:szCs w:val="24"/>
        </w:rPr>
        <w:t>C</w:t>
      </w:r>
      <w:r>
        <w:rPr>
          <w:rFonts w:hint="eastAsia"/>
          <w:kern w:val="2"/>
          <w:sz w:val="24"/>
          <w:szCs w:val="24"/>
        </w:rPr>
        <w:t xml:space="preserve">onsumer </w:t>
      </w:r>
      <w:r>
        <w:rPr>
          <w:kern w:val="2"/>
          <w:sz w:val="24"/>
          <w:szCs w:val="24"/>
        </w:rPr>
        <w:t>E</w:t>
      </w:r>
      <w:r>
        <w:rPr>
          <w:rFonts w:hint="eastAsia"/>
          <w:kern w:val="2"/>
          <w:sz w:val="24"/>
          <w:szCs w:val="24"/>
        </w:rPr>
        <w:t xml:space="preserve">xpectation </w:t>
      </w:r>
      <w:r>
        <w:rPr>
          <w:kern w:val="2"/>
          <w:sz w:val="24"/>
          <w:szCs w:val="24"/>
        </w:rPr>
        <w:t>I</w:t>
      </w:r>
      <w:r>
        <w:rPr>
          <w:rFonts w:hint="eastAsia"/>
          <w:kern w:val="2"/>
          <w:sz w:val="24"/>
          <w:szCs w:val="24"/>
        </w:rPr>
        <w:t>ndex registered 60.2 percent, 0.2 percentage point higher than that</w:t>
      </w:r>
      <w:r>
        <w:rPr>
          <w:kern w:val="2"/>
          <w:sz w:val="24"/>
          <w:szCs w:val="24"/>
        </w:rPr>
        <w:t xml:space="preserve"> in</w:t>
      </w:r>
      <w:r>
        <w:rPr>
          <w:rFonts w:hint="eastAsia"/>
          <w:kern w:val="2"/>
          <w:sz w:val="24"/>
          <w:szCs w:val="24"/>
        </w:rPr>
        <w:t xml:space="preserve"> the previous quarter.</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kern w:val="2"/>
          <w:sz w:val="24"/>
          <w:szCs w:val="24"/>
        </w:rPr>
      </w:pPr>
      <w:r>
        <w:rPr>
          <w:b/>
          <w:bCs/>
          <w:kern w:val="2"/>
          <w:sz w:val="24"/>
          <w:szCs w:val="24"/>
        </w:rPr>
        <w:lastRenderedPageBreak/>
        <w:t>G</w:t>
      </w:r>
      <w:r>
        <w:rPr>
          <w:rFonts w:hint="eastAsia"/>
          <w:b/>
          <w:bCs/>
          <w:kern w:val="2"/>
          <w:sz w:val="24"/>
          <w:szCs w:val="24"/>
        </w:rPr>
        <w:t xml:space="preserve">rowth of </w:t>
      </w:r>
      <w:r>
        <w:rPr>
          <w:b/>
          <w:bCs/>
          <w:kern w:val="2"/>
          <w:sz w:val="24"/>
          <w:szCs w:val="24"/>
        </w:rPr>
        <w:t>fixed-asset investments</w:t>
      </w:r>
      <w:r>
        <w:rPr>
          <w:rFonts w:hint="eastAsia"/>
          <w:b/>
          <w:bCs/>
          <w:kern w:val="2"/>
          <w:sz w:val="24"/>
          <w:szCs w:val="24"/>
        </w:rPr>
        <w:t xml:space="preserve"> was slow but stab</w:t>
      </w:r>
      <w:r>
        <w:rPr>
          <w:b/>
          <w:bCs/>
          <w:kern w:val="2"/>
          <w:sz w:val="24"/>
          <w:szCs w:val="24"/>
        </w:rPr>
        <w:t>le</w:t>
      </w:r>
      <w:r>
        <w:rPr>
          <w:rFonts w:hint="eastAsia"/>
          <w:b/>
          <w:bCs/>
          <w:kern w:val="2"/>
          <w:sz w:val="24"/>
          <w:szCs w:val="24"/>
        </w:rPr>
        <w:t xml:space="preserve">, whereas </w:t>
      </w:r>
      <w:r>
        <w:rPr>
          <w:b/>
          <w:bCs/>
          <w:kern w:val="2"/>
          <w:sz w:val="24"/>
          <w:szCs w:val="24"/>
        </w:rPr>
        <w:t xml:space="preserve">the </w:t>
      </w:r>
      <w:r>
        <w:rPr>
          <w:rFonts w:hint="eastAsia"/>
          <w:b/>
          <w:bCs/>
          <w:sz w:val="24"/>
        </w:rPr>
        <w:t>growth rates of manufacturing investment</w:t>
      </w:r>
      <w:r>
        <w:rPr>
          <w:b/>
          <w:bCs/>
          <w:sz w:val="24"/>
        </w:rPr>
        <w:t xml:space="preserve">s </w:t>
      </w:r>
      <w:r>
        <w:rPr>
          <w:rFonts w:hint="eastAsia"/>
          <w:b/>
          <w:bCs/>
          <w:sz w:val="24"/>
        </w:rPr>
        <w:t>and private investment</w:t>
      </w:r>
      <w:r>
        <w:rPr>
          <w:b/>
          <w:bCs/>
          <w:sz w:val="24"/>
        </w:rPr>
        <w:t>s</w:t>
      </w:r>
      <w:r>
        <w:rPr>
          <w:rFonts w:hint="eastAsia"/>
          <w:b/>
          <w:bCs/>
          <w:sz w:val="24"/>
        </w:rPr>
        <w:t xml:space="preserve"> continued to recover. </w:t>
      </w:r>
      <w:r>
        <w:rPr>
          <w:sz w:val="24"/>
        </w:rPr>
        <w:t>During</w:t>
      </w:r>
      <w:r>
        <w:rPr>
          <w:kern w:val="2"/>
          <w:sz w:val="24"/>
          <w:szCs w:val="24"/>
        </w:rPr>
        <w:t xml:space="preserve"> the first </w:t>
      </w:r>
      <w:r>
        <w:rPr>
          <w:rFonts w:hint="eastAsia"/>
          <w:kern w:val="2"/>
          <w:sz w:val="24"/>
          <w:szCs w:val="24"/>
        </w:rPr>
        <w:t xml:space="preserve">three quarters </w:t>
      </w:r>
      <w:r>
        <w:rPr>
          <w:kern w:val="2"/>
          <w:sz w:val="24"/>
          <w:szCs w:val="24"/>
        </w:rPr>
        <w:t xml:space="preserve">of 2018, fixed-asset investments (excluding those by rural households) reached RMB </w:t>
      </w:r>
      <w:r>
        <w:rPr>
          <w:rFonts w:hint="eastAsia"/>
          <w:kern w:val="2"/>
          <w:sz w:val="24"/>
          <w:szCs w:val="24"/>
        </w:rPr>
        <w:t>48.3</w:t>
      </w:r>
      <w:r>
        <w:rPr>
          <w:kern w:val="2"/>
          <w:sz w:val="24"/>
          <w:szCs w:val="24"/>
        </w:rPr>
        <w:t xml:space="preserve"> trillion, up </w:t>
      </w:r>
      <w:r>
        <w:rPr>
          <w:rFonts w:hint="eastAsia"/>
          <w:kern w:val="2"/>
          <w:sz w:val="24"/>
          <w:szCs w:val="24"/>
        </w:rPr>
        <w:t>5.4</w:t>
      </w:r>
      <w:r>
        <w:rPr>
          <w:kern w:val="2"/>
          <w:sz w:val="24"/>
          <w:szCs w:val="24"/>
        </w:rPr>
        <w:t xml:space="preserve"> percent year on year</w:t>
      </w:r>
      <w:r>
        <w:rPr>
          <w:rFonts w:hint="eastAsia"/>
          <w:kern w:val="2"/>
          <w:sz w:val="24"/>
          <w:szCs w:val="24"/>
        </w:rPr>
        <w:t xml:space="preserve">, </w:t>
      </w:r>
      <w:r>
        <w:rPr>
          <w:kern w:val="2"/>
          <w:sz w:val="24"/>
          <w:szCs w:val="24"/>
        </w:rPr>
        <w:t xml:space="preserve">and the growth rate was </w:t>
      </w:r>
      <w:r>
        <w:rPr>
          <w:rFonts w:hint="eastAsia"/>
          <w:kern w:val="2"/>
          <w:sz w:val="24"/>
          <w:szCs w:val="24"/>
        </w:rPr>
        <w:t xml:space="preserve">0.1 percentage point </w:t>
      </w:r>
      <w:r>
        <w:rPr>
          <w:kern w:val="2"/>
          <w:sz w:val="24"/>
          <w:szCs w:val="24"/>
        </w:rPr>
        <w:t>higher</w:t>
      </w:r>
      <w:r>
        <w:rPr>
          <w:rFonts w:hint="eastAsia"/>
          <w:kern w:val="2"/>
          <w:sz w:val="24"/>
          <w:szCs w:val="24"/>
        </w:rPr>
        <w:t xml:space="preserve"> than that </w:t>
      </w:r>
      <w:r>
        <w:rPr>
          <w:kern w:val="2"/>
          <w:sz w:val="24"/>
          <w:szCs w:val="24"/>
        </w:rPr>
        <w:t>in</w:t>
      </w:r>
      <w:r>
        <w:rPr>
          <w:rFonts w:hint="eastAsia"/>
          <w:kern w:val="2"/>
          <w:sz w:val="24"/>
          <w:szCs w:val="24"/>
        </w:rPr>
        <w:t xml:space="preserve"> the first eight months of the year</w:t>
      </w:r>
      <w:r>
        <w:rPr>
          <w:kern w:val="2"/>
          <w:sz w:val="24"/>
          <w:szCs w:val="24"/>
        </w:rPr>
        <w:t>.</w:t>
      </w:r>
      <w:r>
        <w:rPr>
          <w:rFonts w:hint="eastAsia"/>
          <w:kern w:val="2"/>
          <w:sz w:val="24"/>
          <w:szCs w:val="24"/>
        </w:rPr>
        <w:t xml:space="preserve"> This was the first time in 2018 that the growth rate turned positive.</w:t>
      </w:r>
      <w:r>
        <w:rPr>
          <w:kern w:val="2"/>
          <w:sz w:val="24"/>
          <w:szCs w:val="24"/>
        </w:rPr>
        <w:t xml:space="preserve"> Growth of manufacturing investments </w:t>
      </w:r>
      <w:r>
        <w:rPr>
          <w:rFonts w:hint="eastAsia"/>
          <w:kern w:val="2"/>
          <w:sz w:val="24"/>
          <w:szCs w:val="24"/>
        </w:rPr>
        <w:t>continued to recover</w:t>
      </w:r>
      <w:r>
        <w:rPr>
          <w:kern w:val="2"/>
          <w:sz w:val="24"/>
          <w:szCs w:val="24"/>
        </w:rPr>
        <w:t xml:space="preserve">. </w:t>
      </w:r>
      <w:r>
        <w:rPr>
          <w:sz w:val="24"/>
        </w:rPr>
        <w:t>During</w:t>
      </w:r>
      <w:r>
        <w:rPr>
          <w:kern w:val="2"/>
          <w:sz w:val="24"/>
          <w:szCs w:val="24"/>
        </w:rPr>
        <w:t xml:space="preserve"> the first </w:t>
      </w:r>
      <w:r>
        <w:rPr>
          <w:rFonts w:hint="eastAsia"/>
          <w:kern w:val="2"/>
          <w:sz w:val="24"/>
          <w:szCs w:val="24"/>
        </w:rPr>
        <w:t>three quarters</w:t>
      </w:r>
      <w:r>
        <w:rPr>
          <w:kern w:val="2"/>
          <w:sz w:val="24"/>
          <w:szCs w:val="24"/>
        </w:rPr>
        <w:t xml:space="preserve">, manufacturing investments increased by </w:t>
      </w:r>
      <w:r>
        <w:rPr>
          <w:rFonts w:hint="eastAsia"/>
          <w:kern w:val="2"/>
          <w:sz w:val="24"/>
          <w:szCs w:val="24"/>
        </w:rPr>
        <w:t>8.7</w:t>
      </w:r>
      <w:r>
        <w:rPr>
          <w:kern w:val="2"/>
          <w:sz w:val="24"/>
          <w:szCs w:val="24"/>
        </w:rPr>
        <w:t xml:space="preserve"> percent year on year</w:t>
      </w:r>
      <w:r>
        <w:rPr>
          <w:rFonts w:hint="eastAsia"/>
          <w:kern w:val="2"/>
          <w:sz w:val="24"/>
          <w:szCs w:val="24"/>
        </w:rPr>
        <w:t xml:space="preserve">, an acceleration of 1.9 percentage points from the first half of the year, </w:t>
      </w:r>
      <w:r>
        <w:rPr>
          <w:kern w:val="2"/>
          <w:sz w:val="24"/>
          <w:szCs w:val="24"/>
        </w:rPr>
        <w:t xml:space="preserve">and the expansion continued for </w:t>
      </w:r>
      <w:r>
        <w:rPr>
          <w:rFonts w:hint="eastAsia"/>
          <w:kern w:val="2"/>
          <w:sz w:val="24"/>
          <w:szCs w:val="24"/>
        </w:rPr>
        <w:t xml:space="preserve">six </w:t>
      </w:r>
      <w:r>
        <w:rPr>
          <w:kern w:val="2"/>
          <w:sz w:val="24"/>
          <w:szCs w:val="24"/>
        </w:rPr>
        <w:t xml:space="preserve">consecutive months. </w:t>
      </w:r>
      <w:r>
        <w:rPr>
          <w:rFonts w:hint="eastAsia"/>
          <w:kern w:val="2"/>
          <w:sz w:val="24"/>
          <w:szCs w:val="24"/>
        </w:rPr>
        <w:t>Private investment</w:t>
      </w:r>
      <w:r>
        <w:rPr>
          <w:kern w:val="2"/>
          <w:sz w:val="24"/>
          <w:szCs w:val="24"/>
        </w:rPr>
        <w:t>s</w:t>
      </w:r>
      <w:r>
        <w:rPr>
          <w:rFonts w:hint="eastAsia"/>
          <w:kern w:val="2"/>
          <w:sz w:val="24"/>
          <w:szCs w:val="24"/>
        </w:rPr>
        <w:t xml:space="preserve"> continued to grow at a relatively high speed, registering 8.7 percent </w:t>
      </w:r>
      <w:r>
        <w:rPr>
          <w:sz w:val="24"/>
        </w:rPr>
        <w:t>during</w:t>
      </w:r>
      <w:r>
        <w:rPr>
          <w:rFonts w:hint="eastAsia"/>
          <w:kern w:val="2"/>
          <w:sz w:val="24"/>
          <w:szCs w:val="24"/>
        </w:rPr>
        <w:t xml:space="preserve"> the first three quarters, an acceleration of 0.3 percentage point from the first half of the year. The growth of real</w:t>
      </w:r>
      <w:r>
        <w:rPr>
          <w:kern w:val="2"/>
          <w:sz w:val="24"/>
          <w:szCs w:val="24"/>
        </w:rPr>
        <w:t>-</w:t>
      </w:r>
      <w:r>
        <w:rPr>
          <w:rFonts w:hint="eastAsia"/>
          <w:kern w:val="2"/>
          <w:sz w:val="24"/>
          <w:szCs w:val="24"/>
        </w:rPr>
        <w:t>estate investment</w:t>
      </w:r>
      <w:r>
        <w:rPr>
          <w:kern w:val="2"/>
          <w:sz w:val="24"/>
          <w:szCs w:val="24"/>
        </w:rPr>
        <w:t>s</w:t>
      </w:r>
      <w:r>
        <w:rPr>
          <w:rFonts w:hint="eastAsia"/>
          <w:kern w:val="2"/>
          <w:sz w:val="24"/>
          <w:szCs w:val="24"/>
        </w:rPr>
        <w:t xml:space="preserve"> was generally stable, reaching 9.9 percent </w:t>
      </w:r>
      <w:r>
        <w:rPr>
          <w:sz w:val="24"/>
        </w:rPr>
        <w:t>during</w:t>
      </w:r>
      <w:r>
        <w:rPr>
          <w:rFonts w:hint="eastAsia"/>
          <w:kern w:val="2"/>
          <w:sz w:val="24"/>
          <w:szCs w:val="24"/>
        </w:rPr>
        <w:t xml:space="preserve"> the first three quarters of the year, an acceleration of 0.2 percentage point from the first half of the year.</w:t>
      </w:r>
    </w:p>
    <w:p w:rsidR="005A0958" w:rsidRDefault="005A0958" w:rsidP="005A0958">
      <w:pPr>
        <w:pStyle w:val="p0"/>
        <w:spacing w:line="360" w:lineRule="auto"/>
        <w:rPr>
          <w:b/>
          <w:kern w:val="2"/>
          <w:sz w:val="24"/>
          <w:szCs w:val="24"/>
        </w:rPr>
      </w:pPr>
    </w:p>
    <w:p w:rsidR="005A0958" w:rsidRDefault="005A0958" w:rsidP="005A0958">
      <w:pPr>
        <w:pStyle w:val="p0"/>
        <w:spacing w:line="360" w:lineRule="auto"/>
        <w:rPr>
          <w:kern w:val="2"/>
          <w:sz w:val="24"/>
          <w:szCs w:val="24"/>
        </w:rPr>
      </w:pPr>
      <w:r>
        <w:rPr>
          <w:rFonts w:hint="eastAsia"/>
          <w:b/>
          <w:kern w:val="2"/>
          <w:sz w:val="24"/>
          <w:szCs w:val="24"/>
        </w:rPr>
        <w:t>2. Import</w:t>
      </w:r>
      <w:r>
        <w:rPr>
          <w:b/>
          <w:kern w:val="2"/>
          <w:sz w:val="24"/>
          <w:szCs w:val="24"/>
        </w:rPr>
        <w:t>s</w:t>
      </w:r>
      <w:r>
        <w:rPr>
          <w:rFonts w:hint="eastAsia"/>
          <w:b/>
          <w:kern w:val="2"/>
          <w:sz w:val="24"/>
          <w:szCs w:val="24"/>
        </w:rPr>
        <w:t xml:space="preserve"> and export</w:t>
      </w:r>
      <w:r>
        <w:rPr>
          <w:b/>
          <w:kern w:val="2"/>
          <w:sz w:val="24"/>
          <w:szCs w:val="24"/>
        </w:rPr>
        <w:t>s</w:t>
      </w:r>
      <w:r>
        <w:rPr>
          <w:rFonts w:hint="eastAsia"/>
          <w:b/>
          <w:kern w:val="2"/>
          <w:sz w:val="24"/>
          <w:szCs w:val="24"/>
        </w:rPr>
        <w:t xml:space="preserve"> </w:t>
      </w:r>
      <w:r>
        <w:rPr>
          <w:b/>
          <w:kern w:val="2"/>
          <w:sz w:val="24"/>
          <w:szCs w:val="24"/>
        </w:rPr>
        <w:t xml:space="preserve">continued to grow rapidly, </w:t>
      </w:r>
      <w:r>
        <w:rPr>
          <w:rFonts w:hint="eastAsia"/>
          <w:b/>
          <w:kern w:val="2"/>
          <w:sz w:val="24"/>
          <w:szCs w:val="24"/>
        </w:rPr>
        <w:t xml:space="preserve">and </w:t>
      </w:r>
      <w:r>
        <w:rPr>
          <w:b/>
          <w:kern w:val="2"/>
          <w:sz w:val="24"/>
          <w:szCs w:val="24"/>
        </w:rPr>
        <w:t xml:space="preserve">the </w:t>
      </w:r>
      <w:r>
        <w:rPr>
          <w:rFonts w:hint="eastAsia"/>
          <w:b/>
          <w:kern w:val="2"/>
          <w:sz w:val="24"/>
          <w:szCs w:val="24"/>
        </w:rPr>
        <w:t>balance of payments was generally balanced without intervention</w:t>
      </w:r>
      <w:r>
        <w:rPr>
          <w:b/>
          <w:kern w:val="2"/>
          <w:sz w:val="24"/>
          <w:szCs w:val="24"/>
        </w:rPr>
        <w:t>s</w:t>
      </w:r>
    </w:p>
    <w:p w:rsidR="005A0958" w:rsidRDefault="005A0958" w:rsidP="005A0958">
      <w:pPr>
        <w:pStyle w:val="p0"/>
        <w:spacing w:line="360" w:lineRule="auto"/>
        <w:rPr>
          <w:kern w:val="2"/>
          <w:sz w:val="24"/>
          <w:szCs w:val="24"/>
        </w:rPr>
      </w:pPr>
      <w:r>
        <w:rPr>
          <w:rFonts w:hint="eastAsia"/>
          <w:b/>
          <w:kern w:val="2"/>
          <w:sz w:val="24"/>
          <w:szCs w:val="24"/>
        </w:rPr>
        <w:t>Import</w:t>
      </w:r>
      <w:r>
        <w:rPr>
          <w:b/>
          <w:kern w:val="2"/>
          <w:sz w:val="24"/>
          <w:szCs w:val="24"/>
        </w:rPr>
        <w:t>s</w:t>
      </w:r>
      <w:r>
        <w:rPr>
          <w:rFonts w:hint="eastAsia"/>
          <w:b/>
          <w:kern w:val="2"/>
          <w:sz w:val="24"/>
          <w:szCs w:val="24"/>
        </w:rPr>
        <w:t xml:space="preserve"> and export</w:t>
      </w:r>
      <w:r>
        <w:rPr>
          <w:b/>
          <w:kern w:val="2"/>
          <w:sz w:val="24"/>
          <w:szCs w:val="24"/>
        </w:rPr>
        <w:t>s</w:t>
      </w:r>
      <w:r>
        <w:rPr>
          <w:rFonts w:hint="eastAsia"/>
          <w:b/>
          <w:kern w:val="2"/>
          <w:sz w:val="24"/>
          <w:szCs w:val="24"/>
        </w:rPr>
        <w:t xml:space="preserve"> </w:t>
      </w:r>
      <w:r>
        <w:rPr>
          <w:b/>
          <w:kern w:val="2"/>
          <w:sz w:val="24"/>
          <w:szCs w:val="24"/>
        </w:rPr>
        <w:t>continued to grow rapidly</w:t>
      </w:r>
      <w:r>
        <w:rPr>
          <w:rFonts w:hint="eastAsia"/>
          <w:b/>
          <w:kern w:val="2"/>
          <w:sz w:val="24"/>
          <w:szCs w:val="24"/>
        </w:rPr>
        <w:t xml:space="preserve">, and the share of general trade increased. </w:t>
      </w:r>
      <w:r>
        <w:rPr>
          <w:sz w:val="24"/>
        </w:rPr>
        <w:t>During</w:t>
      </w:r>
      <w:r>
        <w:rPr>
          <w:rFonts w:hint="eastAsia"/>
          <w:kern w:val="2"/>
          <w:sz w:val="24"/>
          <w:szCs w:val="24"/>
        </w:rPr>
        <w:t xml:space="preserve"> </w:t>
      </w:r>
      <w:r>
        <w:rPr>
          <w:kern w:val="2"/>
          <w:sz w:val="24"/>
          <w:szCs w:val="24"/>
        </w:rPr>
        <w:t xml:space="preserve">the first </w:t>
      </w:r>
      <w:r>
        <w:rPr>
          <w:rFonts w:hint="eastAsia"/>
          <w:kern w:val="2"/>
          <w:sz w:val="24"/>
          <w:szCs w:val="24"/>
        </w:rPr>
        <w:t xml:space="preserve">three quarters </w:t>
      </w:r>
      <w:r>
        <w:rPr>
          <w:kern w:val="2"/>
          <w:sz w:val="24"/>
          <w:szCs w:val="24"/>
        </w:rPr>
        <w:t xml:space="preserve">of 2018, imports and exports </w:t>
      </w:r>
      <w:r>
        <w:rPr>
          <w:rFonts w:hint="eastAsia"/>
          <w:kern w:val="2"/>
          <w:sz w:val="24"/>
          <w:szCs w:val="24"/>
        </w:rPr>
        <w:t xml:space="preserve">of goods </w:t>
      </w:r>
      <w:r>
        <w:rPr>
          <w:kern w:val="2"/>
          <w:sz w:val="24"/>
          <w:szCs w:val="24"/>
        </w:rPr>
        <w:t xml:space="preserve">reached RMB </w:t>
      </w:r>
      <w:r>
        <w:rPr>
          <w:rFonts w:hint="eastAsia"/>
          <w:kern w:val="2"/>
          <w:sz w:val="24"/>
          <w:szCs w:val="24"/>
        </w:rPr>
        <w:t>22.3</w:t>
      </w:r>
      <w:r>
        <w:rPr>
          <w:kern w:val="2"/>
          <w:sz w:val="24"/>
          <w:szCs w:val="24"/>
        </w:rPr>
        <w:t xml:space="preserve"> trillion, up </w:t>
      </w:r>
      <w:r>
        <w:rPr>
          <w:rFonts w:hint="eastAsia"/>
          <w:kern w:val="2"/>
          <w:sz w:val="24"/>
          <w:szCs w:val="24"/>
        </w:rPr>
        <w:t>9</w:t>
      </w:r>
      <w:r>
        <w:rPr>
          <w:kern w:val="2"/>
          <w:sz w:val="24"/>
          <w:szCs w:val="24"/>
        </w:rPr>
        <w:t xml:space="preserve">.9 percent year on year. Exports expanded </w:t>
      </w:r>
      <w:r>
        <w:rPr>
          <w:rFonts w:hint="eastAsia"/>
          <w:kern w:val="2"/>
          <w:sz w:val="24"/>
          <w:szCs w:val="24"/>
        </w:rPr>
        <w:t>6.5</w:t>
      </w:r>
      <w:r>
        <w:rPr>
          <w:kern w:val="2"/>
          <w:sz w:val="24"/>
          <w:szCs w:val="24"/>
        </w:rPr>
        <w:t xml:space="preserve"> percent year on year to RMB </w:t>
      </w:r>
      <w:r>
        <w:rPr>
          <w:rFonts w:hint="eastAsia"/>
          <w:kern w:val="2"/>
          <w:sz w:val="24"/>
          <w:szCs w:val="24"/>
        </w:rPr>
        <w:t xml:space="preserve">11.9 </w:t>
      </w:r>
      <w:r>
        <w:rPr>
          <w:kern w:val="2"/>
          <w:sz w:val="24"/>
          <w:szCs w:val="24"/>
        </w:rPr>
        <w:t xml:space="preserve">trillion, and imports grew </w:t>
      </w:r>
      <w:r>
        <w:rPr>
          <w:rFonts w:hint="eastAsia"/>
          <w:kern w:val="2"/>
          <w:sz w:val="24"/>
          <w:szCs w:val="24"/>
        </w:rPr>
        <w:t>14.1</w:t>
      </w:r>
      <w:r>
        <w:rPr>
          <w:kern w:val="2"/>
          <w:sz w:val="24"/>
          <w:szCs w:val="24"/>
        </w:rPr>
        <w:t xml:space="preserve"> percent year on year to RMB </w:t>
      </w:r>
      <w:r>
        <w:rPr>
          <w:rFonts w:hint="eastAsia"/>
          <w:kern w:val="2"/>
          <w:sz w:val="24"/>
          <w:szCs w:val="24"/>
        </w:rPr>
        <w:t>10.4</w:t>
      </w:r>
      <w:r>
        <w:rPr>
          <w:kern w:val="2"/>
          <w:sz w:val="24"/>
          <w:szCs w:val="24"/>
        </w:rPr>
        <w:t xml:space="preserve"> trillion. The trade surplus narrowed by </w:t>
      </w:r>
      <w:r>
        <w:rPr>
          <w:rFonts w:hint="eastAsia"/>
          <w:kern w:val="2"/>
          <w:sz w:val="24"/>
          <w:szCs w:val="24"/>
        </w:rPr>
        <w:t>28.3</w:t>
      </w:r>
      <w:r>
        <w:rPr>
          <w:kern w:val="2"/>
          <w:sz w:val="24"/>
          <w:szCs w:val="24"/>
        </w:rPr>
        <w:t xml:space="preserve"> percent year on year, reaching RMB </w:t>
      </w:r>
      <w:r>
        <w:rPr>
          <w:rFonts w:hint="eastAsia"/>
          <w:kern w:val="2"/>
          <w:sz w:val="24"/>
          <w:szCs w:val="24"/>
        </w:rPr>
        <w:t>1.4 trillion</w:t>
      </w:r>
      <w:r>
        <w:rPr>
          <w:kern w:val="2"/>
          <w:sz w:val="24"/>
          <w:szCs w:val="24"/>
        </w:rPr>
        <w:t xml:space="preserve">. The share of general trade increased and accounted for </w:t>
      </w:r>
      <w:r>
        <w:rPr>
          <w:rFonts w:hint="eastAsia"/>
          <w:kern w:val="2"/>
          <w:sz w:val="24"/>
          <w:szCs w:val="24"/>
        </w:rPr>
        <w:t>58.5</w:t>
      </w:r>
      <w:r>
        <w:rPr>
          <w:kern w:val="2"/>
          <w:sz w:val="24"/>
          <w:szCs w:val="24"/>
        </w:rPr>
        <w:t xml:space="preserve"> percent of total exports and imports, up </w:t>
      </w:r>
      <w:r>
        <w:rPr>
          <w:rFonts w:hint="eastAsia"/>
          <w:kern w:val="2"/>
          <w:sz w:val="24"/>
          <w:szCs w:val="24"/>
        </w:rPr>
        <w:t>1.7</w:t>
      </w:r>
      <w:r>
        <w:rPr>
          <w:kern w:val="2"/>
          <w:sz w:val="24"/>
          <w:szCs w:val="24"/>
        </w:rPr>
        <w:t xml:space="preserve"> percentage points from the same period of the last year. The e</w:t>
      </w:r>
      <w:r>
        <w:rPr>
          <w:rFonts w:hint="eastAsia"/>
          <w:kern w:val="2"/>
          <w:sz w:val="24"/>
          <w:szCs w:val="24"/>
        </w:rPr>
        <w:t xml:space="preserve">xport of goods continued to move up to the high end of the value chain. </w:t>
      </w:r>
      <w:r>
        <w:rPr>
          <w:kern w:val="2"/>
          <w:sz w:val="24"/>
          <w:szCs w:val="24"/>
        </w:rPr>
        <w:t>The e</w:t>
      </w:r>
      <w:r>
        <w:rPr>
          <w:rFonts w:hint="eastAsia"/>
          <w:kern w:val="2"/>
          <w:sz w:val="24"/>
          <w:szCs w:val="24"/>
        </w:rPr>
        <w:t>xport of m</w:t>
      </w:r>
      <w:r>
        <w:rPr>
          <w:kern w:val="2"/>
          <w:sz w:val="24"/>
          <w:szCs w:val="24"/>
        </w:rPr>
        <w:t xml:space="preserve">achinery and electronics </w:t>
      </w:r>
      <w:r>
        <w:rPr>
          <w:rFonts w:hint="eastAsia"/>
          <w:kern w:val="2"/>
          <w:sz w:val="24"/>
          <w:szCs w:val="24"/>
        </w:rPr>
        <w:t xml:space="preserve">grew </w:t>
      </w:r>
      <w:r>
        <w:rPr>
          <w:kern w:val="2"/>
          <w:sz w:val="24"/>
          <w:szCs w:val="24"/>
        </w:rPr>
        <w:t>7</w:t>
      </w:r>
      <w:r>
        <w:rPr>
          <w:rFonts w:hint="eastAsia"/>
          <w:kern w:val="2"/>
          <w:sz w:val="24"/>
          <w:szCs w:val="24"/>
        </w:rPr>
        <w:t>.8</w:t>
      </w:r>
      <w:r>
        <w:rPr>
          <w:kern w:val="2"/>
          <w:sz w:val="24"/>
          <w:szCs w:val="24"/>
        </w:rPr>
        <w:t xml:space="preserve"> percent year on year </w:t>
      </w:r>
      <w:r>
        <w:rPr>
          <w:rFonts w:hint="eastAsia"/>
          <w:kern w:val="2"/>
          <w:sz w:val="24"/>
          <w:szCs w:val="24"/>
        </w:rPr>
        <w:t xml:space="preserve">to RMB 6.91 trillion, </w:t>
      </w:r>
      <w:r>
        <w:rPr>
          <w:kern w:val="2"/>
          <w:sz w:val="24"/>
          <w:szCs w:val="24"/>
        </w:rPr>
        <w:t>account</w:t>
      </w:r>
      <w:r>
        <w:rPr>
          <w:rFonts w:hint="eastAsia"/>
          <w:kern w:val="2"/>
          <w:sz w:val="24"/>
          <w:szCs w:val="24"/>
        </w:rPr>
        <w:t xml:space="preserve">ing </w:t>
      </w:r>
      <w:r>
        <w:rPr>
          <w:kern w:val="2"/>
          <w:sz w:val="24"/>
          <w:szCs w:val="24"/>
        </w:rPr>
        <w:t>for 58.</w:t>
      </w:r>
      <w:r>
        <w:rPr>
          <w:rFonts w:hint="eastAsia"/>
          <w:kern w:val="2"/>
          <w:sz w:val="24"/>
          <w:szCs w:val="24"/>
        </w:rPr>
        <w:t>3</w:t>
      </w:r>
      <w:r>
        <w:rPr>
          <w:kern w:val="2"/>
          <w:sz w:val="24"/>
          <w:szCs w:val="24"/>
        </w:rPr>
        <w:t xml:space="preserve"> percent of total exports. China’s exports to and imports from its </w:t>
      </w:r>
      <w:r>
        <w:rPr>
          <w:rFonts w:hint="eastAsia"/>
          <w:kern w:val="2"/>
          <w:sz w:val="24"/>
          <w:szCs w:val="24"/>
        </w:rPr>
        <w:t xml:space="preserve">main </w:t>
      </w:r>
      <w:r>
        <w:rPr>
          <w:kern w:val="2"/>
          <w:sz w:val="24"/>
          <w:szCs w:val="24"/>
        </w:rPr>
        <w:t>trade partners</w:t>
      </w:r>
      <w:r>
        <w:rPr>
          <w:rFonts w:hint="eastAsia"/>
          <w:kern w:val="2"/>
          <w:sz w:val="24"/>
          <w:szCs w:val="24"/>
        </w:rPr>
        <w:t xml:space="preserve"> increased. Its exports to and imports from </w:t>
      </w:r>
      <w:r>
        <w:rPr>
          <w:kern w:val="2"/>
          <w:sz w:val="24"/>
          <w:szCs w:val="24"/>
        </w:rPr>
        <w:t>the European Union, the United States, and the ASEAN countries</w:t>
      </w:r>
      <w:r>
        <w:rPr>
          <w:rFonts w:hint="eastAsia"/>
          <w:kern w:val="2"/>
          <w:sz w:val="24"/>
          <w:szCs w:val="24"/>
        </w:rPr>
        <w:t xml:space="preserve"> grew 7.3</w:t>
      </w:r>
      <w:r>
        <w:rPr>
          <w:kern w:val="2"/>
          <w:sz w:val="24"/>
          <w:szCs w:val="24"/>
        </w:rPr>
        <w:t xml:space="preserve"> percent, </w:t>
      </w:r>
      <w:r>
        <w:rPr>
          <w:rFonts w:hint="eastAsia"/>
          <w:kern w:val="2"/>
          <w:sz w:val="24"/>
          <w:szCs w:val="24"/>
        </w:rPr>
        <w:t xml:space="preserve">6.5 </w:t>
      </w:r>
      <w:r>
        <w:rPr>
          <w:kern w:val="2"/>
          <w:sz w:val="24"/>
          <w:szCs w:val="24"/>
        </w:rPr>
        <w:t xml:space="preserve">percent, and </w:t>
      </w:r>
      <w:r>
        <w:rPr>
          <w:rFonts w:hint="eastAsia"/>
          <w:kern w:val="2"/>
          <w:sz w:val="24"/>
          <w:szCs w:val="24"/>
        </w:rPr>
        <w:t xml:space="preserve">12.6 </w:t>
      </w:r>
      <w:r>
        <w:rPr>
          <w:kern w:val="2"/>
          <w:sz w:val="24"/>
          <w:szCs w:val="24"/>
        </w:rPr>
        <w:t xml:space="preserve">percent respectively year on year. </w:t>
      </w:r>
      <w:r>
        <w:rPr>
          <w:rFonts w:hint="eastAsia"/>
          <w:kern w:val="2"/>
          <w:sz w:val="24"/>
          <w:szCs w:val="24"/>
        </w:rPr>
        <w:t>China also saw fast growth in its i</w:t>
      </w:r>
      <w:r>
        <w:rPr>
          <w:kern w:val="2"/>
          <w:sz w:val="24"/>
          <w:szCs w:val="24"/>
        </w:rPr>
        <w:t xml:space="preserve">mports from </w:t>
      </w:r>
      <w:r>
        <w:rPr>
          <w:kern w:val="2"/>
          <w:sz w:val="24"/>
          <w:szCs w:val="24"/>
        </w:rPr>
        <w:lastRenderedPageBreak/>
        <w:t xml:space="preserve">and exports to </w:t>
      </w:r>
      <w:r>
        <w:rPr>
          <w:rFonts w:hint="eastAsia"/>
          <w:kern w:val="2"/>
          <w:sz w:val="24"/>
          <w:szCs w:val="24"/>
        </w:rPr>
        <w:t xml:space="preserve">some </w:t>
      </w:r>
      <w:r>
        <w:rPr>
          <w:kern w:val="2"/>
          <w:sz w:val="24"/>
          <w:szCs w:val="24"/>
        </w:rPr>
        <w:t>countries</w:t>
      </w:r>
      <w:r>
        <w:rPr>
          <w:rFonts w:hint="eastAsia"/>
          <w:kern w:val="2"/>
          <w:sz w:val="24"/>
          <w:szCs w:val="24"/>
        </w:rPr>
        <w:t xml:space="preserve"> along </w:t>
      </w:r>
      <w:r>
        <w:rPr>
          <w:kern w:val="2"/>
          <w:sz w:val="24"/>
          <w:szCs w:val="24"/>
        </w:rPr>
        <w:t>“</w:t>
      </w:r>
      <w:r>
        <w:rPr>
          <w:rFonts w:hint="eastAsia"/>
          <w:kern w:val="2"/>
          <w:sz w:val="24"/>
          <w:szCs w:val="24"/>
        </w:rPr>
        <w:t>the Belt and Road</w:t>
      </w:r>
      <w:r>
        <w:rPr>
          <w:kern w:val="2"/>
          <w:sz w:val="24"/>
          <w:szCs w:val="24"/>
        </w:rPr>
        <w:t>.”</w:t>
      </w:r>
      <w:r>
        <w:rPr>
          <w:rFonts w:hint="eastAsia"/>
          <w:kern w:val="2"/>
          <w:sz w:val="24"/>
          <w:szCs w:val="24"/>
        </w:rPr>
        <w:t xml:space="preserve"> Its imports from and exports to Russia, Poland</w:t>
      </w:r>
      <w:r>
        <w:rPr>
          <w:kern w:val="2"/>
          <w:sz w:val="24"/>
          <w:szCs w:val="24"/>
        </w:rPr>
        <w:t>,</w:t>
      </w:r>
      <w:r>
        <w:rPr>
          <w:rFonts w:hint="eastAsia"/>
          <w:kern w:val="2"/>
          <w:sz w:val="24"/>
          <w:szCs w:val="24"/>
        </w:rPr>
        <w:t xml:space="preserve"> and Kazakhstan went up 19.4</w:t>
      </w:r>
      <w:r>
        <w:rPr>
          <w:kern w:val="2"/>
          <w:sz w:val="24"/>
          <w:szCs w:val="24"/>
        </w:rPr>
        <w:t xml:space="preserve"> percent, </w:t>
      </w:r>
      <w:r>
        <w:rPr>
          <w:rFonts w:hint="eastAsia"/>
          <w:kern w:val="2"/>
          <w:sz w:val="24"/>
          <w:szCs w:val="24"/>
        </w:rPr>
        <w:t>11.9</w:t>
      </w:r>
      <w:r>
        <w:rPr>
          <w:kern w:val="2"/>
          <w:sz w:val="24"/>
          <w:szCs w:val="24"/>
        </w:rPr>
        <w:t xml:space="preserve"> </w:t>
      </w:r>
      <w:r>
        <w:rPr>
          <w:rFonts w:hint="eastAsia"/>
          <w:kern w:val="2"/>
          <w:sz w:val="24"/>
          <w:szCs w:val="24"/>
        </w:rPr>
        <w:t>percent</w:t>
      </w:r>
      <w:r>
        <w:rPr>
          <w:kern w:val="2"/>
          <w:sz w:val="24"/>
          <w:szCs w:val="24"/>
        </w:rPr>
        <w:t>,</w:t>
      </w:r>
      <w:r>
        <w:rPr>
          <w:rFonts w:hint="eastAsia"/>
          <w:kern w:val="2"/>
          <w:sz w:val="24"/>
          <w:szCs w:val="24"/>
        </w:rPr>
        <w:t xml:space="preserve"> and 11.8 percent respectively</w:t>
      </w:r>
      <w:r>
        <w:rPr>
          <w:kern w:val="2"/>
          <w:sz w:val="24"/>
          <w:szCs w:val="24"/>
        </w:rPr>
        <w:t>.</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kern w:val="2"/>
          <w:sz w:val="24"/>
          <w:szCs w:val="24"/>
        </w:rPr>
      </w:pPr>
      <w:r>
        <w:rPr>
          <w:b/>
          <w:kern w:val="2"/>
          <w:sz w:val="24"/>
          <w:szCs w:val="24"/>
        </w:rPr>
        <w:t xml:space="preserve">Foreign direct investments (FDI) continued to flow into high-end industries, while outbound investments continued to improve in terms of the composition of the destination industries. </w:t>
      </w:r>
      <w:r>
        <w:rPr>
          <w:sz w:val="24"/>
        </w:rPr>
        <w:t>During</w:t>
      </w:r>
      <w:r>
        <w:rPr>
          <w:rFonts w:hint="eastAsia"/>
          <w:kern w:val="2"/>
          <w:sz w:val="24"/>
          <w:szCs w:val="24"/>
        </w:rPr>
        <w:t xml:space="preserve"> </w:t>
      </w:r>
      <w:r>
        <w:rPr>
          <w:kern w:val="2"/>
          <w:sz w:val="24"/>
          <w:szCs w:val="24"/>
        </w:rPr>
        <w:t xml:space="preserve">the first </w:t>
      </w:r>
      <w:r>
        <w:rPr>
          <w:rFonts w:hint="eastAsia"/>
          <w:kern w:val="2"/>
          <w:sz w:val="24"/>
          <w:szCs w:val="24"/>
        </w:rPr>
        <w:t xml:space="preserve">three quarters </w:t>
      </w:r>
      <w:r>
        <w:rPr>
          <w:kern w:val="2"/>
          <w:sz w:val="24"/>
          <w:szCs w:val="24"/>
        </w:rPr>
        <w:t xml:space="preserve">of 2018, </w:t>
      </w:r>
      <w:r>
        <w:rPr>
          <w:rFonts w:hint="eastAsia"/>
          <w:kern w:val="2"/>
          <w:sz w:val="24"/>
          <w:szCs w:val="24"/>
        </w:rPr>
        <w:t>a total of 45,922 foreign-invested companies were established nationwide, up 95.1 percent year on year. A</w:t>
      </w:r>
      <w:r>
        <w:rPr>
          <w:kern w:val="2"/>
          <w:sz w:val="24"/>
          <w:szCs w:val="24"/>
        </w:rPr>
        <w:t xml:space="preserve">ctually utilized FDI </w:t>
      </w:r>
      <w:r>
        <w:rPr>
          <w:rFonts w:hint="eastAsia"/>
          <w:kern w:val="2"/>
          <w:sz w:val="24"/>
          <w:szCs w:val="24"/>
        </w:rPr>
        <w:t>reached RMB 636.7 billion</w:t>
      </w:r>
      <w:r>
        <w:rPr>
          <w:kern w:val="2"/>
          <w:sz w:val="24"/>
          <w:szCs w:val="24"/>
        </w:rPr>
        <w:t xml:space="preserve">, </w:t>
      </w:r>
      <w:r>
        <w:rPr>
          <w:rFonts w:hint="eastAsia"/>
          <w:kern w:val="2"/>
          <w:sz w:val="24"/>
          <w:szCs w:val="24"/>
        </w:rPr>
        <w:t>up 2.9</w:t>
      </w:r>
      <w:r>
        <w:rPr>
          <w:kern w:val="2"/>
          <w:sz w:val="24"/>
          <w:szCs w:val="24"/>
        </w:rPr>
        <w:t xml:space="preserve"> percent year on year. </w:t>
      </w:r>
      <w:r>
        <w:rPr>
          <w:rFonts w:hint="eastAsia"/>
          <w:kern w:val="2"/>
          <w:sz w:val="24"/>
          <w:szCs w:val="24"/>
        </w:rPr>
        <w:t>The use of FDI improved</w:t>
      </w:r>
      <w:r>
        <w:rPr>
          <w:kern w:val="2"/>
          <w:sz w:val="24"/>
          <w:szCs w:val="24"/>
        </w:rPr>
        <w:t xml:space="preserve"> </w:t>
      </w:r>
      <w:r>
        <w:rPr>
          <w:rFonts w:hint="eastAsia"/>
          <w:kern w:val="2"/>
          <w:sz w:val="24"/>
          <w:szCs w:val="24"/>
        </w:rPr>
        <w:t xml:space="preserve">further in terms of industrial structure and regional distribution. Actually utilized FDI </w:t>
      </w:r>
      <w:r>
        <w:rPr>
          <w:kern w:val="2"/>
          <w:sz w:val="24"/>
          <w:szCs w:val="24"/>
        </w:rPr>
        <w:t>in the high-tech industries</w:t>
      </w:r>
      <w:r>
        <w:rPr>
          <w:rFonts w:hint="eastAsia"/>
          <w:kern w:val="2"/>
          <w:sz w:val="24"/>
          <w:szCs w:val="24"/>
        </w:rPr>
        <w:t xml:space="preserve"> </w:t>
      </w:r>
      <w:r>
        <w:rPr>
          <w:kern w:val="2"/>
          <w:sz w:val="24"/>
          <w:szCs w:val="24"/>
        </w:rPr>
        <w:t xml:space="preserve">grew </w:t>
      </w:r>
      <w:r>
        <w:rPr>
          <w:rFonts w:hint="eastAsia"/>
          <w:kern w:val="2"/>
          <w:sz w:val="24"/>
          <w:szCs w:val="24"/>
        </w:rPr>
        <w:t>22.5</w:t>
      </w:r>
      <w:r>
        <w:rPr>
          <w:kern w:val="2"/>
          <w:sz w:val="24"/>
          <w:szCs w:val="24"/>
        </w:rPr>
        <w:t xml:space="preserve"> percent year on year</w:t>
      </w:r>
      <w:r>
        <w:rPr>
          <w:rFonts w:hint="eastAsia"/>
          <w:kern w:val="2"/>
          <w:sz w:val="24"/>
          <w:szCs w:val="24"/>
        </w:rPr>
        <w:t xml:space="preserve"> to </w:t>
      </w:r>
      <w:r>
        <w:rPr>
          <w:kern w:val="2"/>
          <w:sz w:val="24"/>
          <w:szCs w:val="24"/>
        </w:rPr>
        <w:t xml:space="preserve">reach </w:t>
      </w:r>
      <w:r>
        <w:rPr>
          <w:rFonts w:hint="eastAsia"/>
          <w:kern w:val="2"/>
          <w:sz w:val="24"/>
          <w:szCs w:val="24"/>
        </w:rPr>
        <w:t>RMB 64</w:t>
      </w:r>
      <w:r>
        <w:rPr>
          <w:kern w:val="2"/>
          <w:sz w:val="24"/>
          <w:szCs w:val="24"/>
        </w:rPr>
        <w:t>.</w:t>
      </w:r>
      <w:r>
        <w:rPr>
          <w:rFonts w:hint="eastAsia"/>
          <w:kern w:val="2"/>
          <w:sz w:val="24"/>
          <w:szCs w:val="24"/>
        </w:rPr>
        <w:t xml:space="preserve">74 billion, and actually utilized FDI in the western areas grew 17.8 percent to </w:t>
      </w:r>
      <w:r>
        <w:rPr>
          <w:kern w:val="2"/>
          <w:sz w:val="24"/>
          <w:szCs w:val="24"/>
        </w:rPr>
        <w:t xml:space="preserve">reach </w:t>
      </w:r>
      <w:r>
        <w:rPr>
          <w:rFonts w:hint="eastAsia"/>
          <w:kern w:val="2"/>
          <w:sz w:val="24"/>
          <w:szCs w:val="24"/>
        </w:rPr>
        <w:t xml:space="preserve">RMB 43.61 billion. Pilot free trade zones continued to play a leading role in absorbing foreign funds, as actually utilized FDI in the 11 free trade zones grew 14.7 percent year on year and accounted for 12.5 percent of the total. </w:t>
      </w:r>
      <w:r>
        <w:rPr>
          <w:sz w:val="24"/>
        </w:rPr>
        <w:t>During</w:t>
      </w:r>
      <w:r>
        <w:rPr>
          <w:rFonts w:hint="eastAsia"/>
          <w:kern w:val="2"/>
          <w:sz w:val="24"/>
          <w:szCs w:val="24"/>
        </w:rPr>
        <w:t xml:space="preserve"> the first three quarters, o</w:t>
      </w:r>
      <w:r>
        <w:rPr>
          <w:kern w:val="2"/>
          <w:sz w:val="24"/>
          <w:szCs w:val="24"/>
        </w:rPr>
        <w:t xml:space="preserve">utbound direct investments </w:t>
      </w:r>
      <w:r>
        <w:rPr>
          <w:rFonts w:hint="eastAsia"/>
          <w:kern w:val="2"/>
          <w:sz w:val="24"/>
          <w:szCs w:val="24"/>
        </w:rPr>
        <w:t>by domestic non-financial institutions reached USD 82.02 billion, up 5.1 percent year on year. Among the total, USD 10.78 billion of direct investment</w:t>
      </w:r>
      <w:r>
        <w:rPr>
          <w:kern w:val="2"/>
          <w:sz w:val="24"/>
          <w:szCs w:val="24"/>
        </w:rPr>
        <w:t>s</w:t>
      </w:r>
      <w:r>
        <w:rPr>
          <w:rFonts w:hint="eastAsia"/>
          <w:kern w:val="2"/>
          <w:sz w:val="24"/>
          <w:szCs w:val="24"/>
        </w:rPr>
        <w:t xml:space="preserve"> was made in countries along</w:t>
      </w:r>
      <w:r>
        <w:rPr>
          <w:kern w:val="2"/>
          <w:sz w:val="24"/>
          <w:szCs w:val="24"/>
        </w:rPr>
        <w:t xml:space="preserve"> “the Belt and Road</w:t>
      </w:r>
      <w:r>
        <w:rPr>
          <w:rFonts w:hint="eastAsia"/>
          <w:kern w:val="2"/>
          <w:sz w:val="24"/>
          <w:szCs w:val="24"/>
        </w:rPr>
        <w:t>,</w:t>
      </w:r>
      <w:r>
        <w:rPr>
          <w:kern w:val="2"/>
          <w:sz w:val="24"/>
          <w:szCs w:val="24"/>
        </w:rPr>
        <w:t>”</w:t>
      </w:r>
      <w:r>
        <w:rPr>
          <w:rFonts w:hint="eastAsia"/>
          <w:kern w:val="2"/>
          <w:sz w:val="24"/>
          <w:szCs w:val="24"/>
        </w:rPr>
        <w:t xml:space="preserve"> up </w:t>
      </w:r>
      <w:r>
        <w:rPr>
          <w:kern w:val="2"/>
          <w:sz w:val="24"/>
          <w:szCs w:val="24"/>
        </w:rPr>
        <w:t>12</w:t>
      </w:r>
      <w:r>
        <w:rPr>
          <w:rFonts w:hint="eastAsia"/>
          <w:kern w:val="2"/>
          <w:sz w:val="24"/>
          <w:szCs w:val="24"/>
        </w:rPr>
        <w:t>.3</w:t>
      </w:r>
      <w:r>
        <w:rPr>
          <w:kern w:val="2"/>
          <w:sz w:val="24"/>
          <w:szCs w:val="24"/>
        </w:rPr>
        <w:t xml:space="preserve"> percent year on year</w:t>
      </w:r>
      <w:r>
        <w:rPr>
          <w:rFonts w:hint="eastAsia"/>
          <w:kern w:val="2"/>
          <w:sz w:val="24"/>
          <w:szCs w:val="24"/>
        </w:rPr>
        <w:t>. O</w:t>
      </w:r>
      <w:r>
        <w:rPr>
          <w:kern w:val="2"/>
          <w:sz w:val="24"/>
          <w:szCs w:val="24"/>
        </w:rPr>
        <w:t>utbound investments mainly focused on leasing/commercial services, manufacturing, mining, and wholesale</w:t>
      </w:r>
      <w:r>
        <w:rPr>
          <w:rFonts w:hint="eastAsia"/>
          <w:kern w:val="2"/>
          <w:sz w:val="24"/>
          <w:szCs w:val="24"/>
        </w:rPr>
        <w:t>/</w:t>
      </w:r>
      <w:r>
        <w:rPr>
          <w:kern w:val="2"/>
          <w:sz w:val="24"/>
          <w:szCs w:val="24"/>
        </w:rPr>
        <w:t xml:space="preserve">retail industries, accounting for </w:t>
      </w:r>
      <w:r>
        <w:rPr>
          <w:rFonts w:hint="eastAsia"/>
          <w:kern w:val="2"/>
          <w:sz w:val="24"/>
          <w:szCs w:val="24"/>
        </w:rPr>
        <w:t>32.8</w:t>
      </w:r>
      <w:r>
        <w:rPr>
          <w:kern w:val="2"/>
          <w:sz w:val="24"/>
          <w:szCs w:val="24"/>
        </w:rPr>
        <w:t xml:space="preserve"> percent, </w:t>
      </w:r>
      <w:r>
        <w:rPr>
          <w:rFonts w:hint="eastAsia"/>
          <w:kern w:val="2"/>
          <w:sz w:val="24"/>
          <w:szCs w:val="24"/>
        </w:rPr>
        <w:t>16.7</w:t>
      </w:r>
      <w:r>
        <w:rPr>
          <w:kern w:val="2"/>
          <w:sz w:val="24"/>
          <w:szCs w:val="24"/>
        </w:rPr>
        <w:t xml:space="preserve"> percent, </w:t>
      </w:r>
      <w:r>
        <w:rPr>
          <w:rFonts w:hint="eastAsia"/>
          <w:kern w:val="2"/>
          <w:sz w:val="24"/>
          <w:szCs w:val="24"/>
        </w:rPr>
        <w:t>9.7</w:t>
      </w:r>
      <w:r>
        <w:rPr>
          <w:kern w:val="2"/>
          <w:sz w:val="24"/>
          <w:szCs w:val="24"/>
        </w:rPr>
        <w:t xml:space="preserve"> percent, and 9.</w:t>
      </w:r>
      <w:r>
        <w:rPr>
          <w:rFonts w:hint="eastAsia"/>
          <w:kern w:val="2"/>
          <w:sz w:val="24"/>
          <w:szCs w:val="24"/>
        </w:rPr>
        <w:t>2</w:t>
      </w:r>
      <w:r>
        <w:rPr>
          <w:kern w:val="2"/>
          <w:sz w:val="24"/>
          <w:szCs w:val="24"/>
        </w:rPr>
        <w:t xml:space="preserve"> percent of the total respectively. There were no new outbound investments in overseas real estate, sports, or entertainment industries.</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kern w:val="2"/>
          <w:sz w:val="24"/>
          <w:szCs w:val="24"/>
        </w:rPr>
      </w:pPr>
      <w:r>
        <w:rPr>
          <w:b/>
          <w:kern w:val="2"/>
          <w:sz w:val="24"/>
          <w:szCs w:val="24"/>
        </w:rPr>
        <w:t>The b</w:t>
      </w:r>
      <w:r>
        <w:rPr>
          <w:rFonts w:hint="eastAsia"/>
          <w:b/>
          <w:kern w:val="2"/>
          <w:sz w:val="24"/>
          <w:szCs w:val="24"/>
        </w:rPr>
        <w:t>alance of payments was generally balanced without intervention</w:t>
      </w:r>
      <w:r>
        <w:rPr>
          <w:b/>
          <w:kern w:val="2"/>
          <w:sz w:val="24"/>
          <w:szCs w:val="24"/>
        </w:rPr>
        <w:t>s</w:t>
      </w:r>
      <w:r>
        <w:rPr>
          <w:rFonts w:hint="eastAsia"/>
          <w:b/>
          <w:kern w:val="2"/>
          <w:sz w:val="24"/>
          <w:szCs w:val="24"/>
        </w:rPr>
        <w:t xml:space="preserve">. </w:t>
      </w:r>
      <w:r>
        <w:rPr>
          <w:rFonts w:hint="eastAsia"/>
          <w:sz w:val="24"/>
        </w:rPr>
        <w:t>According to p</w:t>
      </w:r>
      <w:r>
        <w:rPr>
          <w:sz w:val="24"/>
        </w:rPr>
        <w:t xml:space="preserve">reliminary </w:t>
      </w:r>
      <w:r>
        <w:rPr>
          <w:rFonts w:hint="eastAsia"/>
          <w:sz w:val="24"/>
        </w:rPr>
        <w:t>data, China</w:t>
      </w:r>
      <w:r>
        <w:rPr>
          <w:sz w:val="24"/>
        </w:rPr>
        <w:t>’</w:t>
      </w:r>
      <w:r>
        <w:rPr>
          <w:rFonts w:hint="eastAsia"/>
          <w:sz w:val="24"/>
        </w:rPr>
        <w:t xml:space="preserve">s current account surplus registered USD 16.0 billion in the third quarter. The surplus </w:t>
      </w:r>
      <w:r>
        <w:rPr>
          <w:sz w:val="24"/>
        </w:rPr>
        <w:t xml:space="preserve">of </w:t>
      </w:r>
      <w:r>
        <w:rPr>
          <w:rFonts w:hint="eastAsia"/>
          <w:sz w:val="24"/>
        </w:rPr>
        <w:t xml:space="preserve">trade </w:t>
      </w:r>
      <w:r>
        <w:rPr>
          <w:sz w:val="24"/>
        </w:rPr>
        <w:t xml:space="preserve">in </w:t>
      </w:r>
      <w:r>
        <w:rPr>
          <w:rFonts w:hint="eastAsia"/>
          <w:sz w:val="24"/>
        </w:rPr>
        <w:t xml:space="preserve">goods was USD 100.8 billion and </w:t>
      </w:r>
      <w:r>
        <w:rPr>
          <w:sz w:val="24"/>
        </w:rPr>
        <w:t xml:space="preserve">the </w:t>
      </w:r>
      <w:r>
        <w:rPr>
          <w:rFonts w:hint="eastAsia"/>
          <w:sz w:val="24"/>
        </w:rPr>
        <w:t xml:space="preserve">deficit in trade </w:t>
      </w:r>
      <w:r>
        <w:rPr>
          <w:sz w:val="24"/>
        </w:rPr>
        <w:t xml:space="preserve">in </w:t>
      </w:r>
      <w:r>
        <w:rPr>
          <w:rFonts w:hint="eastAsia"/>
          <w:sz w:val="24"/>
        </w:rPr>
        <w:t xml:space="preserve">services was USD 82.2 billion. </w:t>
      </w:r>
      <w:r>
        <w:rPr>
          <w:sz w:val="24"/>
        </w:rPr>
        <w:t>The n</w:t>
      </w:r>
      <w:r>
        <w:rPr>
          <w:rFonts w:hint="eastAsia"/>
          <w:sz w:val="24"/>
        </w:rPr>
        <w:t>on-reserve financial account deficit registered USD 18.8 billion. By end</w:t>
      </w:r>
      <w:r>
        <w:rPr>
          <w:sz w:val="24"/>
        </w:rPr>
        <w:t>-</w:t>
      </w:r>
      <w:r>
        <w:rPr>
          <w:rFonts w:hint="eastAsia"/>
          <w:sz w:val="24"/>
        </w:rPr>
        <w:t>September, China</w:t>
      </w:r>
      <w:r>
        <w:rPr>
          <w:sz w:val="24"/>
        </w:rPr>
        <w:t>’</w:t>
      </w:r>
      <w:r>
        <w:rPr>
          <w:rFonts w:hint="eastAsia"/>
          <w:sz w:val="24"/>
        </w:rPr>
        <w:t>s foreign reserves stood at USD 3,087.0 billion.</w:t>
      </w:r>
      <w:r>
        <w:rPr>
          <w:sz w:val="24"/>
        </w:rPr>
        <w:t xml:space="preserve"> Its f</w:t>
      </w:r>
      <w:r>
        <w:rPr>
          <w:rFonts w:hint="eastAsia"/>
          <w:sz w:val="24"/>
        </w:rPr>
        <w:t xml:space="preserve">oreign debt continued to grow. Total </w:t>
      </w:r>
      <w:r>
        <w:rPr>
          <w:rFonts w:hint="eastAsia"/>
          <w:sz w:val="24"/>
        </w:rPr>
        <w:lastRenderedPageBreak/>
        <w:t xml:space="preserve">outstanding foreign debt, including </w:t>
      </w:r>
      <w:r>
        <w:rPr>
          <w:sz w:val="24"/>
        </w:rPr>
        <w:t>foreign debt</w:t>
      </w:r>
      <w:r>
        <w:rPr>
          <w:rFonts w:hint="eastAsia"/>
          <w:sz w:val="24"/>
        </w:rPr>
        <w:t xml:space="preserve"> in RMB and foreign currencies, reached USD 1,870.5 billion, up USD 27.0 billion from end</w:t>
      </w:r>
      <w:r>
        <w:rPr>
          <w:sz w:val="24"/>
        </w:rPr>
        <w:t>-</w:t>
      </w:r>
      <w:r>
        <w:rPr>
          <w:rFonts w:hint="eastAsia"/>
          <w:sz w:val="24"/>
        </w:rPr>
        <w:t xml:space="preserve">March. Among the total, short-term foreign debt was USD 1,194.2 billion, or 64 percent of the total. </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b/>
          <w:kern w:val="2"/>
          <w:sz w:val="24"/>
          <w:szCs w:val="24"/>
        </w:rPr>
      </w:pPr>
      <w:r>
        <w:rPr>
          <w:rFonts w:hint="eastAsia"/>
          <w:b/>
          <w:bCs/>
          <w:kern w:val="2"/>
          <w:sz w:val="24"/>
          <w:szCs w:val="24"/>
        </w:rPr>
        <w:t>3</w:t>
      </w:r>
      <w:r>
        <w:rPr>
          <w:b/>
          <w:bCs/>
          <w:kern w:val="2"/>
          <w:sz w:val="24"/>
          <w:szCs w:val="24"/>
        </w:rPr>
        <w:t>.</w:t>
      </w:r>
      <w:r>
        <w:rPr>
          <w:b/>
          <w:kern w:val="2"/>
          <w:sz w:val="24"/>
          <w:szCs w:val="24"/>
        </w:rPr>
        <w:t xml:space="preserve"> O</w:t>
      </w:r>
      <w:r>
        <w:rPr>
          <w:rFonts w:hint="eastAsia"/>
          <w:b/>
          <w:kern w:val="2"/>
          <w:sz w:val="24"/>
          <w:szCs w:val="24"/>
        </w:rPr>
        <w:t>utput of the i</w:t>
      </w:r>
      <w:r>
        <w:rPr>
          <w:b/>
          <w:kern w:val="2"/>
          <w:sz w:val="24"/>
          <w:szCs w:val="24"/>
        </w:rPr>
        <w:t xml:space="preserve">ndustrial </w:t>
      </w:r>
      <w:r>
        <w:rPr>
          <w:rFonts w:hint="eastAsia"/>
          <w:b/>
          <w:kern w:val="2"/>
          <w:sz w:val="24"/>
          <w:szCs w:val="24"/>
        </w:rPr>
        <w:t>sector and the service</w:t>
      </w:r>
      <w:r>
        <w:rPr>
          <w:b/>
          <w:kern w:val="2"/>
          <w:sz w:val="24"/>
          <w:szCs w:val="24"/>
        </w:rPr>
        <w:t>s</w:t>
      </w:r>
      <w:r>
        <w:rPr>
          <w:rFonts w:hint="eastAsia"/>
          <w:b/>
          <w:kern w:val="2"/>
          <w:sz w:val="24"/>
          <w:szCs w:val="24"/>
        </w:rPr>
        <w:t xml:space="preserve"> sector was </w:t>
      </w:r>
      <w:r>
        <w:rPr>
          <w:b/>
          <w:kern w:val="2"/>
          <w:sz w:val="24"/>
          <w:szCs w:val="24"/>
        </w:rPr>
        <w:t xml:space="preserve">generally stable, </w:t>
      </w:r>
      <w:r>
        <w:rPr>
          <w:rFonts w:hint="eastAsia"/>
          <w:b/>
          <w:kern w:val="2"/>
          <w:sz w:val="24"/>
          <w:szCs w:val="24"/>
        </w:rPr>
        <w:t xml:space="preserve">and </w:t>
      </w:r>
      <w:r>
        <w:rPr>
          <w:b/>
          <w:kern w:val="2"/>
          <w:sz w:val="24"/>
          <w:szCs w:val="24"/>
        </w:rPr>
        <w:t xml:space="preserve">the </w:t>
      </w:r>
      <w:r>
        <w:rPr>
          <w:rFonts w:hint="eastAsia"/>
          <w:b/>
          <w:kern w:val="2"/>
          <w:sz w:val="24"/>
          <w:szCs w:val="24"/>
        </w:rPr>
        <w:t>industrial structure continued to improve</w:t>
      </w:r>
    </w:p>
    <w:p w:rsidR="005A0958" w:rsidRDefault="005A0958" w:rsidP="005A0958">
      <w:pPr>
        <w:pStyle w:val="p0"/>
        <w:spacing w:line="360" w:lineRule="auto"/>
        <w:rPr>
          <w:kern w:val="2"/>
          <w:sz w:val="24"/>
          <w:szCs w:val="24"/>
        </w:rPr>
      </w:pPr>
      <w:r>
        <w:rPr>
          <w:sz w:val="24"/>
        </w:rPr>
        <w:t>During</w:t>
      </w:r>
      <w:r>
        <w:rPr>
          <w:rFonts w:hint="eastAsia"/>
          <w:bCs/>
          <w:kern w:val="2"/>
          <w:sz w:val="24"/>
          <w:szCs w:val="24"/>
        </w:rPr>
        <w:t xml:space="preserve"> the first three quarters of the year, </w:t>
      </w:r>
      <w:r>
        <w:rPr>
          <w:kern w:val="2"/>
          <w:sz w:val="24"/>
          <w:szCs w:val="24"/>
        </w:rPr>
        <w:t xml:space="preserve">the value-added of the primary, secondary, and tertiary industries registered RMB </w:t>
      </w:r>
      <w:r>
        <w:rPr>
          <w:rFonts w:hint="eastAsia"/>
          <w:kern w:val="2"/>
          <w:sz w:val="24"/>
          <w:szCs w:val="24"/>
        </w:rPr>
        <w:t>4.</w:t>
      </w:r>
      <w:r>
        <w:rPr>
          <w:kern w:val="2"/>
          <w:sz w:val="24"/>
          <w:szCs w:val="24"/>
        </w:rPr>
        <w:t xml:space="preserve">2 trillion, RMB </w:t>
      </w:r>
      <w:r>
        <w:rPr>
          <w:rFonts w:hint="eastAsia"/>
          <w:kern w:val="2"/>
          <w:sz w:val="24"/>
          <w:szCs w:val="24"/>
        </w:rPr>
        <w:t>26.3</w:t>
      </w:r>
      <w:r>
        <w:rPr>
          <w:kern w:val="2"/>
          <w:sz w:val="24"/>
          <w:szCs w:val="24"/>
        </w:rPr>
        <w:t xml:space="preserve"> trillion, and RMB </w:t>
      </w:r>
      <w:r>
        <w:rPr>
          <w:rFonts w:hint="eastAsia"/>
          <w:kern w:val="2"/>
          <w:sz w:val="24"/>
          <w:szCs w:val="24"/>
        </w:rPr>
        <w:t>34.6</w:t>
      </w:r>
      <w:r>
        <w:rPr>
          <w:kern w:val="2"/>
          <w:sz w:val="24"/>
          <w:szCs w:val="24"/>
        </w:rPr>
        <w:t xml:space="preserve"> trillion, respectively, up 3.</w:t>
      </w:r>
      <w:r>
        <w:rPr>
          <w:rFonts w:hint="eastAsia"/>
          <w:kern w:val="2"/>
          <w:sz w:val="24"/>
          <w:szCs w:val="24"/>
        </w:rPr>
        <w:t>4</w:t>
      </w:r>
      <w:r>
        <w:rPr>
          <w:kern w:val="2"/>
          <w:sz w:val="24"/>
          <w:szCs w:val="24"/>
        </w:rPr>
        <w:t xml:space="preserve"> percent, </w:t>
      </w:r>
      <w:r>
        <w:rPr>
          <w:rFonts w:hint="eastAsia"/>
          <w:kern w:val="2"/>
          <w:sz w:val="24"/>
          <w:szCs w:val="24"/>
        </w:rPr>
        <w:t>5.8</w:t>
      </w:r>
      <w:r>
        <w:rPr>
          <w:kern w:val="2"/>
          <w:sz w:val="24"/>
          <w:szCs w:val="24"/>
        </w:rPr>
        <w:t xml:space="preserve"> percent, and 7.</w:t>
      </w:r>
      <w:r>
        <w:rPr>
          <w:rFonts w:hint="eastAsia"/>
          <w:kern w:val="2"/>
          <w:sz w:val="24"/>
          <w:szCs w:val="24"/>
        </w:rPr>
        <w:t>7</w:t>
      </w:r>
      <w:r>
        <w:rPr>
          <w:kern w:val="2"/>
          <w:sz w:val="24"/>
          <w:szCs w:val="24"/>
        </w:rPr>
        <w:t xml:space="preserve"> percent year on year. Their shares of GDP were </w:t>
      </w:r>
      <w:r>
        <w:rPr>
          <w:rFonts w:hint="eastAsia"/>
          <w:kern w:val="2"/>
          <w:sz w:val="24"/>
          <w:szCs w:val="24"/>
        </w:rPr>
        <w:t>6.5</w:t>
      </w:r>
      <w:r>
        <w:rPr>
          <w:kern w:val="2"/>
          <w:sz w:val="24"/>
          <w:szCs w:val="24"/>
        </w:rPr>
        <w:t xml:space="preserve"> percent, 40.4 percent, and 5</w:t>
      </w:r>
      <w:r>
        <w:rPr>
          <w:rFonts w:hint="eastAsia"/>
          <w:kern w:val="2"/>
          <w:sz w:val="24"/>
          <w:szCs w:val="24"/>
        </w:rPr>
        <w:t>3.1</w:t>
      </w:r>
      <w:r>
        <w:rPr>
          <w:kern w:val="2"/>
          <w:sz w:val="24"/>
          <w:szCs w:val="24"/>
        </w:rPr>
        <w:t xml:space="preserve"> percent</w:t>
      </w:r>
      <w:r>
        <w:rPr>
          <w:rFonts w:hint="eastAsia"/>
          <w:kern w:val="2"/>
          <w:sz w:val="24"/>
          <w:szCs w:val="24"/>
        </w:rPr>
        <w:t xml:space="preserve"> respectively</w:t>
      </w:r>
      <w:r>
        <w:rPr>
          <w:kern w:val="2"/>
          <w:sz w:val="24"/>
          <w:szCs w:val="24"/>
        </w:rPr>
        <w:t>. The share of tertiary industry further increased by 0.</w:t>
      </w:r>
      <w:r>
        <w:rPr>
          <w:rFonts w:hint="eastAsia"/>
          <w:kern w:val="2"/>
          <w:sz w:val="24"/>
          <w:szCs w:val="24"/>
        </w:rPr>
        <w:t>3</w:t>
      </w:r>
      <w:r>
        <w:rPr>
          <w:kern w:val="2"/>
          <w:sz w:val="24"/>
          <w:szCs w:val="24"/>
        </w:rPr>
        <w:t xml:space="preserve"> percentage point from the same period of the last year, exceeding the share of secondary industry by 1</w:t>
      </w:r>
      <w:r>
        <w:rPr>
          <w:rFonts w:hint="eastAsia"/>
          <w:kern w:val="2"/>
          <w:sz w:val="24"/>
          <w:szCs w:val="24"/>
        </w:rPr>
        <w:t>2.7</w:t>
      </w:r>
      <w:r>
        <w:rPr>
          <w:kern w:val="2"/>
          <w:sz w:val="24"/>
          <w:szCs w:val="24"/>
        </w:rPr>
        <w:t xml:space="preserve"> percentage points.</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kern w:val="2"/>
          <w:sz w:val="24"/>
          <w:szCs w:val="24"/>
        </w:rPr>
      </w:pPr>
      <w:r>
        <w:rPr>
          <w:b/>
          <w:kern w:val="2"/>
          <w:sz w:val="24"/>
          <w:szCs w:val="24"/>
        </w:rPr>
        <w:t xml:space="preserve">Agricultural production was </w:t>
      </w:r>
      <w:r>
        <w:rPr>
          <w:rFonts w:hint="eastAsia"/>
          <w:b/>
          <w:kern w:val="2"/>
          <w:sz w:val="24"/>
          <w:szCs w:val="24"/>
        </w:rPr>
        <w:t>sound and the planting structure was reasonably adjusted</w:t>
      </w:r>
      <w:r>
        <w:rPr>
          <w:b/>
          <w:kern w:val="2"/>
          <w:sz w:val="24"/>
          <w:szCs w:val="24"/>
        </w:rPr>
        <w:t>.</w:t>
      </w:r>
      <w:r>
        <w:rPr>
          <w:kern w:val="2"/>
          <w:sz w:val="24"/>
          <w:szCs w:val="24"/>
        </w:rPr>
        <w:t xml:space="preserve"> </w:t>
      </w:r>
      <w:r>
        <w:rPr>
          <w:rFonts w:hint="eastAsia"/>
          <w:kern w:val="2"/>
          <w:sz w:val="24"/>
          <w:szCs w:val="24"/>
        </w:rPr>
        <w:t>The output of s</w:t>
      </w:r>
      <w:r>
        <w:rPr>
          <w:kern w:val="2"/>
          <w:sz w:val="24"/>
          <w:szCs w:val="24"/>
        </w:rPr>
        <w:t>ummer grain crops</w:t>
      </w:r>
      <w:r>
        <w:rPr>
          <w:rFonts w:hint="eastAsia"/>
          <w:kern w:val="2"/>
          <w:sz w:val="24"/>
          <w:szCs w:val="24"/>
        </w:rPr>
        <w:t xml:space="preserve"> registered 138.720 million tons, down 2.2 percent from the previous year</w:t>
      </w:r>
      <w:r>
        <w:rPr>
          <w:kern w:val="2"/>
          <w:sz w:val="24"/>
          <w:szCs w:val="24"/>
        </w:rPr>
        <w:t xml:space="preserve">. </w:t>
      </w:r>
      <w:r>
        <w:rPr>
          <w:rFonts w:hint="eastAsia"/>
          <w:kern w:val="2"/>
          <w:sz w:val="24"/>
          <w:szCs w:val="24"/>
        </w:rPr>
        <w:t>The output of early season rice reached 28.59 million tons, down 4.3 percent from the previous year. Autumn grain crops w</w:t>
      </w:r>
      <w:r>
        <w:rPr>
          <w:kern w:val="2"/>
          <w:sz w:val="24"/>
          <w:szCs w:val="24"/>
        </w:rPr>
        <w:t xml:space="preserve">ere </w:t>
      </w:r>
      <w:r>
        <w:rPr>
          <w:rFonts w:hint="eastAsia"/>
          <w:kern w:val="2"/>
          <w:sz w:val="24"/>
          <w:szCs w:val="24"/>
        </w:rPr>
        <w:t>promising and another harvest c</w:t>
      </w:r>
      <w:r>
        <w:rPr>
          <w:kern w:val="2"/>
          <w:sz w:val="24"/>
          <w:szCs w:val="24"/>
        </w:rPr>
        <w:t>an</w:t>
      </w:r>
      <w:r>
        <w:rPr>
          <w:rFonts w:hint="eastAsia"/>
          <w:kern w:val="2"/>
          <w:sz w:val="24"/>
          <w:szCs w:val="24"/>
        </w:rPr>
        <w:t xml:space="preserve"> be expected. The planting structure further improved, as more land was used to plant high</w:t>
      </w:r>
      <w:r>
        <w:rPr>
          <w:kern w:val="2"/>
          <w:sz w:val="24"/>
          <w:szCs w:val="24"/>
        </w:rPr>
        <w:t>-</w:t>
      </w:r>
      <w:r>
        <w:rPr>
          <w:rFonts w:hint="eastAsia"/>
          <w:kern w:val="2"/>
          <w:sz w:val="24"/>
          <w:szCs w:val="24"/>
        </w:rPr>
        <w:t>quality crops, less land was used to grow corn, and more land was used to grow soybean</w:t>
      </w:r>
      <w:r>
        <w:rPr>
          <w:kern w:val="2"/>
          <w:sz w:val="24"/>
          <w:szCs w:val="24"/>
        </w:rPr>
        <w:t>s</w:t>
      </w:r>
      <w:r>
        <w:rPr>
          <w:rFonts w:hint="eastAsia"/>
          <w:kern w:val="2"/>
          <w:sz w:val="24"/>
          <w:szCs w:val="24"/>
        </w:rPr>
        <w:t xml:space="preserve">, cotton, sugar, </w:t>
      </w:r>
      <w:r>
        <w:rPr>
          <w:kern w:val="2"/>
          <w:sz w:val="24"/>
          <w:szCs w:val="24"/>
        </w:rPr>
        <w:t>and so forth</w:t>
      </w:r>
      <w:r>
        <w:rPr>
          <w:rFonts w:hint="eastAsia"/>
          <w:kern w:val="2"/>
          <w:sz w:val="24"/>
          <w:szCs w:val="24"/>
        </w:rPr>
        <w:t xml:space="preserve">. </w:t>
      </w:r>
      <w:r>
        <w:rPr>
          <w:sz w:val="24"/>
        </w:rPr>
        <w:t>During</w:t>
      </w:r>
      <w:r>
        <w:rPr>
          <w:kern w:val="2"/>
          <w:sz w:val="24"/>
          <w:szCs w:val="24"/>
        </w:rPr>
        <w:t xml:space="preserve"> the first </w:t>
      </w:r>
      <w:r>
        <w:rPr>
          <w:rFonts w:hint="eastAsia"/>
          <w:kern w:val="2"/>
          <w:sz w:val="24"/>
          <w:szCs w:val="24"/>
        </w:rPr>
        <w:t xml:space="preserve">three quarters </w:t>
      </w:r>
      <w:r>
        <w:rPr>
          <w:kern w:val="2"/>
          <w:sz w:val="24"/>
          <w:szCs w:val="24"/>
        </w:rPr>
        <w:t>of the year, the output of pork, beef, mutton, and poultry increased 0.</w:t>
      </w:r>
      <w:r>
        <w:rPr>
          <w:rFonts w:hint="eastAsia"/>
          <w:kern w:val="2"/>
          <w:sz w:val="24"/>
          <w:szCs w:val="24"/>
        </w:rPr>
        <w:t>2</w:t>
      </w:r>
      <w:r>
        <w:rPr>
          <w:kern w:val="2"/>
          <w:sz w:val="24"/>
          <w:szCs w:val="24"/>
        </w:rPr>
        <w:t xml:space="preserve"> percent year on year to</w:t>
      </w:r>
      <w:r>
        <w:rPr>
          <w:rFonts w:hint="eastAsia"/>
          <w:kern w:val="2"/>
          <w:sz w:val="24"/>
          <w:szCs w:val="24"/>
        </w:rPr>
        <w:t xml:space="preserve"> 60.07</w:t>
      </w:r>
      <w:r>
        <w:rPr>
          <w:kern w:val="2"/>
          <w:sz w:val="24"/>
          <w:szCs w:val="24"/>
        </w:rPr>
        <w:t xml:space="preserve"> million tons, with the output of pork increasing by </w:t>
      </w:r>
      <w:r>
        <w:rPr>
          <w:rFonts w:hint="eastAsia"/>
          <w:kern w:val="2"/>
          <w:sz w:val="24"/>
          <w:szCs w:val="24"/>
        </w:rPr>
        <w:t>0.3</w:t>
      </w:r>
      <w:r>
        <w:rPr>
          <w:kern w:val="2"/>
          <w:sz w:val="24"/>
          <w:szCs w:val="24"/>
        </w:rPr>
        <w:t xml:space="preserve"> percent to </w:t>
      </w:r>
      <w:r>
        <w:rPr>
          <w:rFonts w:hint="eastAsia"/>
          <w:kern w:val="2"/>
          <w:sz w:val="24"/>
          <w:szCs w:val="24"/>
        </w:rPr>
        <w:t>38.43</w:t>
      </w:r>
      <w:r>
        <w:rPr>
          <w:kern w:val="2"/>
          <w:sz w:val="24"/>
          <w:szCs w:val="24"/>
        </w:rPr>
        <w:t xml:space="preserve"> million tons.</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kern w:val="2"/>
          <w:sz w:val="24"/>
          <w:szCs w:val="24"/>
        </w:rPr>
      </w:pPr>
      <w:r>
        <w:rPr>
          <w:rFonts w:hint="eastAsia"/>
          <w:b/>
          <w:kern w:val="2"/>
          <w:sz w:val="24"/>
          <w:szCs w:val="24"/>
        </w:rPr>
        <w:t>I</w:t>
      </w:r>
      <w:r>
        <w:rPr>
          <w:b/>
          <w:kern w:val="2"/>
          <w:sz w:val="24"/>
          <w:szCs w:val="24"/>
        </w:rPr>
        <w:t xml:space="preserve">ndustrial production was generally stable </w:t>
      </w:r>
      <w:r>
        <w:rPr>
          <w:rFonts w:hint="eastAsia"/>
          <w:b/>
          <w:kern w:val="2"/>
          <w:sz w:val="24"/>
          <w:szCs w:val="24"/>
        </w:rPr>
        <w:t>and new industries grew</w:t>
      </w:r>
      <w:r>
        <w:rPr>
          <w:b/>
          <w:kern w:val="2"/>
          <w:sz w:val="24"/>
          <w:szCs w:val="24"/>
        </w:rPr>
        <w:t xml:space="preserve"> relatively rapidly. </w:t>
      </w:r>
      <w:r>
        <w:rPr>
          <w:sz w:val="24"/>
        </w:rPr>
        <w:t>During</w:t>
      </w:r>
      <w:r>
        <w:rPr>
          <w:kern w:val="2"/>
          <w:sz w:val="24"/>
          <w:szCs w:val="24"/>
        </w:rPr>
        <w:t xml:space="preserve"> the first </w:t>
      </w:r>
      <w:r>
        <w:rPr>
          <w:rFonts w:hint="eastAsia"/>
          <w:kern w:val="2"/>
          <w:sz w:val="24"/>
          <w:szCs w:val="24"/>
        </w:rPr>
        <w:t xml:space="preserve">three quarters of the year, </w:t>
      </w:r>
      <w:r>
        <w:rPr>
          <w:kern w:val="2"/>
          <w:sz w:val="24"/>
          <w:szCs w:val="24"/>
        </w:rPr>
        <w:t>the value-added of statistically large industrial firms (SLIFs) increased by 6.</w:t>
      </w:r>
      <w:r>
        <w:rPr>
          <w:rFonts w:hint="eastAsia"/>
          <w:kern w:val="2"/>
          <w:sz w:val="24"/>
          <w:szCs w:val="24"/>
        </w:rPr>
        <w:t>4</w:t>
      </w:r>
      <w:r>
        <w:rPr>
          <w:kern w:val="2"/>
          <w:sz w:val="24"/>
          <w:szCs w:val="24"/>
        </w:rPr>
        <w:t xml:space="preserve"> percent year on year in real terms. </w:t>
      </w:r>
      <w:r>
        <w:rPr>
          <w:rFonts w:hint="eastAsia"/>
          <w:kern w:val="2"/>
          <w:sz w:val="24"/>
          <w:szCs w:val="24"/>
        </w:rPr>
        <w:t>The v</w:t>
      </w:r>
      <w:r>
        <w:rPr>
          <w:kern w:val="2"/>
          <w:sz w:val="24"/>
          <w:szCs w:val="24"/>
        </w:rPr>
        <w:t>alue-added in the high-tech manufacturing and equipment manufacturing industries expanded 11.</w:t>
      </w:r>
      <w:r>
        <w:rPr>
          <w:rFonts w:hint="eastAsia"/>
          <w:kern w:val="2"/>
          <w:sz w:val="24"/>
          <w:szCs w:val="24"/>
        </w:rPr>
        <w:t>8</w:t>
      </w:r>
      <w:r>
        <w:rPr>
          <w:kern w:val="2"/>
          <w:sz w:val="24"/>
          <w:szCs w:val="24"/>
        </w:rPr>
        <w:t xml:space="preserve"> percent and </w:t>
      </w:r>
      <w:r>
        <w:rPr>
          <w:rFonts w:hint="eastAsia"/>
          <w:kern w:val="2"/>
          <w:sz w:val="24"/>
          <w:szCs w:val="24"/>
        </w:rPr>
        <w:t>8.6</w:t>
      </w:r>
      <w:r>
        <w:rPr>
          <w:kern w:val="2"/>
          <w:sz w:val="24"/>
          <w:szCs w:val="24"/>
        </w:rPr>
        <w:t xml:space="preserve"> percent year on year respectively, which was </w:t>
      </w:r>
      <w:r>
        <w:rPr>
          <w:rFonts w:hint="eastAsia"/>
          <w:kern w:val="2"/>
          <w:sz w:val="24"/>
          <w:szCs w:val="24"/>
        </w:rPr>
        <w:t>5.4</w:t>
      </w:r>
      <w:r>
        <w:rPr>
          <w:kern w:val="2"/>
          <w:sz w:val="24"/>
          <w:szCs w:val="24"/>
        </w:rPr>
        <w:t xml:space="preserve"> </w:t>
      </w:r>
      <w:r>
        <w:rPr>
          <w:kern w:val="2"/>
          <w:sz w:val="24"/>
          <w:szCs w:val="24"/>
        </w:rPr>
        <w:lastRenderedPageBreak/>
        <w:t>percentage points and 2.</w:t>
      </w:r>
      <w:r>
        <w:rPr>
          <w:rFonts w:hint="eastAsia"/>
          <w:kern w:val="2"/>
          <w:sz w:val="24"/>
          <w:szCs w:val="24"/>
        </w:rPr>
        <w:t>2</w:t>
      </w:r>
      <w:r>
        <w:rPr>
          <w:kern w:val="2"/>
          <w:sz w:val="24"/>
          <w:szCs w:val="24"/>
        </w:rPr>
        <w:t xml:space="preserve"> percentage points higher than that of the SLIFs. </w:t>
      </w:r>
      <w:r>
        <w:rPr>
          <w:rFonts w:hint="eastAsia"/>
          <w:kern w:val="2"/>
          <w:sz w:val="24"/>
          <w:szCs w:val="24"/>
        </w:rPr>
        <w:t>T</w:t>
      </w:r>
      <w:r>
        <w:rPr>
          <w:kern w:val="2"/>
          <w:sz w:val="24"/>
          <w:szCs w:val="24"/>
        </w:rPr>
        <w:t>he value-added of the emerging strategic industries grew 8.</w:t>
      </w:r>
      <w:r>
        <w:rPr>
          <w:rFonts w:hint="eastAsia"/>
          <w:kern w:val="2"/>
          <w:sz w:val="24"/>
          <w:szCs w:val="24"/>
        </w:rPr>
        <w:t>8</w:t>
      </w:r>
      <w:r>
        <w:rPr>
          <w:kern w:val="2"/>
          <w:sz w:val="24"/>
          <w:szCs w:val="24"/>
        </w:rPr>
        <w:t xml:space="preserve"> percent year on year, 2.</w:t>
      </w:r>
      <w:r>
        <w:rPr>
          <w:rFonts w:hint="eastAsia"/>
          <w:kern w:val="2"/>
          <w:sz w:val="24"/>
          <w:szCs w:val="24"/>
        </w:rPr>
        <w:t>4</w:t>
      </w:r>
      <w:r>
        <w:rPr>
          <w:kern w:val="2"/>
          <w:sz w:val="24"/>
          <w:szCs w:val="24"/>
        </w:rPr>
        <w:t xml:space="preserve"> percentage points faster than that of the SLIFs. </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kern w:val="2"/>
          <w:sz w:val="24"/>
          <w:szCs w:val="24"/>
        </w:rPr>
      </w:pPr>
      <w:r>
        <w:rPr>
          <w:rFonts w:hint="eastAsia"/>
          <w:b/>
          <w:bCs/>
          <w:kern w:val="2"/>
          <w:sz w:val="24"/>
          <w:szCs w:val="24"/>
        </w:rPr>
        <w:t>The service</w:t>
      </w:r>
      <w:r>
        <w:rPr>
          <w:b/>
          <w:bCs/>
          <w:kern w:val="2"/>
          <w:sz w:val="24"/>
          <w:szCs w:val="24"/>
        </w:rPr>
        <w:t>s</w:t>
      </w:r>
      <w:r>
        <w:rPr>
          <w:rFonts w:hint="eastAsia"/>
          <w:b/>
          <w:bCs/>
          <w:kern w:val="2"/>
          <w:sz w:val="24"/>
          <w:szCs w:val="24"/>
        </w:rPr>
        <w:t xml:space="preserve"> industry continued to grow in a steady and relatively </w:t>
      </w:r>
      <w:r>
        <w:rPr>
          <w:b/>
          <w:bCs/>
          <w:kern w:val="2"/>
          <w:sz w:val="24"/>
          <w:szCs w:val="24"/>
        </w:rPr>
        <w:t>rapid</w:t>
      </w:r>
      <w:r>
        <w:rPr>
          <w:rFonts w:hint="eastAsia"/>
          <w:b/>
          <w:bCs/>
          <w:kern w:val="2"/>
          <w:sz w:val="24"/>
          <w:szCs w:val="24"/>
        </w:rPr>
        <w:t xml:space="preserve"> manner, </w:t>
      </w:r>
      <w:r>
        <w:rPr>
          <w:b/>
          <w:bCs/>
          <w:kern w:val="2"/>
          <w:sz w:val="24"/>
          <w:szCs w:val="24"/>
        </w:rPr>
        <w:t>and</w:t>
      </w:r>
      <w:r>
        <w:rPr>
          <w:rFonts w:hint="eastAsia"/>
          <w:b/>
          <w:bCs/>
          <w:kern w:val="2"/>
          <w:sz w:val="24"/>
          <w:szCs w:val="24"/>
        </w:rPr>
        <w:t xml:space="preserve"> its structure improved.</w:t>
      </w:r>
      <w:r>
        <w:rPr>
          <w:rFonts w:hint="eastAsia"/>
          <w:kern w:val="2"/>
          <w:sz w:val="24"/>
          <w:szCs w:val="24"/>
        </w:rPr>
        <w:t xml:space="preserve"> </w:t>
      </w:r>
      <w:r>
        <w:rPr>
          <w:sz w:val="24"/>
        </w:rPr>
        <w:t>During</w:t>
      </w:r>
      <w:r>
        <w:rPr>
          <w:rFonts w:hint="eastAsia"/>
          <w:kern w:val="2"/>
          <w:sz w:val="24"/>
          <w:szCs w:val="24"/>
        </w:rPr>
        <w:t xml:space="preserve"> the first three quarters, the value-added of the service</w:t>
      </w:r>
      <w:r>
        <w:rPr>
          <w:kern w:val="2"/>
          <w:sz w:val="24"/>
          <w:szCs w:val="24"/>
        </w:rPr>
        <w:t>s</w:t>
      </w:r>
      <w:r>
        <w:rPr>
          <w:rFonts w:hint="eastAsia"/>
          <w:kern w:val="2"/>
          <w:sz w:val="24"/>
          <w:szCs w:val="24"/>
        </w:rPr>
        <w:t xml:space="preserve"> industry grew 7.7 percent year on year, an acceleration of 0.1 percentage point from the previous year. The communication</w:t>
      </w:r>
      <w:r>
        <w:rPr>
          <w:kern w:val="2"/>
          <w:sz w:val="24"/>
          <w:szCs w:val="24"/>
        </w:rPr>
        <w:t>s</w:t>
      </w:r>
      <w:r>
        <w:rPr>
          <w:rFonts w:hint="eastAsia"/>
          <w:kern w:val="2"/>
          <w:sz w:val="24"/>
          <w:szCs w:val="24"/>
        </w:rPr>
        <w:t>, software</w:t>
      </w:r>
      <w:r>
        <w:rPr>
          <w:kern w:val="2"/>
          <w:sz w:val="24"/>
          <w:szCs w:val="24"/>
        </w:rPr>
        <w:t>,</w:t>
      </w:r>
      <w:r>
        <w:rPr>
          <w:rFonts w:hint="eastAsia"/>
          <w:kern w:val="2"/>
          <w:sz w:val="24"/>
          <w:szCs w:val="24"/>
        </w:rPr>
        <w:t xml:space="preserve"> and information technology sectors continued to grow rapidly, registering a growth rate of 32.8 percent </w:t>
      </w:r>
      <w:r>
        <w:rPr>
          <w:sz w:val="24"/>
        </w:rPr>
        <w:t>during</w:t>
      </w:r>
      <w:r>
        <w:rPr>
          <w:rFonts w:hint="eastAsia"/>
          <w:kern w:val="2"/>
          <w:sz w:val="24"/>
          <w:szCs w:val="24"/>
        </w:rPr>
        <w:t xml:space="preserve"> the first three quarters, an acceleration of 1.6 percentage points from the first half of 2018. Relatively rapid growth was realized in</w:t>
      </w:r>
      <w:r>
        <w:rPr>
          <w:kern w:val="2"/>
          <w:sz w:val="24"/>
          <w:szCs w:val="24"/>
        </w:rPr>
        <w:t xml:space="preserve"> the</w:t>
      </w:r>
      <w:r>
        <w:rPr>
          <w:rFonts w:hint="eastAsia"/>
          <w:kern w:val="2"/>
          <w:sz w:val="24"/>
          <w:szCs w:val="24"/>
        </w:rPr>
        <w:t xml:space="preserve"> leasing and business services, communications and transportation, warehousing</w:t>
      </w:r>
      <w:r>
        <w:rPr>
          <w:kern w:val="2"/>
          <w:sz w:val="24"/>
          <w:szCs w:val="24"/>
        </w:rPr>
        <w:t>,</w:t>
      </w:r>
      <w:r>
        <w:rPr>
          <w:rFonts w:hint="eastAsia"/>
          <w:kern w:val="2"/>
          <w:sz w:val="24"/>
          <w:szCs w:val="24"/>
        </w:rPr>
        <w:t xml:space="preserve"> and postal services. </w:t>
      </w:r>
      <w:r>
        <w:rPr>
          <w:kern w:val="2"/>
          <w:sz w:val="24"/>
          <w:szCs w:val="24"/>
        </w:rPr>
        <w:t>G</w:t>
      </w:r>
      <w:r>
        <w:rPr>
          <w:rFonts w:hint="eastAsia"/>
          <w:kern w:val="2"/>
          <w:sz w:val="24"/>
          <w:szCs w:val="24"/>
        </w:rPr>
        <w:t>rowth in the real</w:t>
      </w:r>
      <w:r>
        <w:rPr>
          <w:kern w:val="2"/>
          <w:sz w:val="24"/>
          <w:szCs w:val="24"/>
        </w:rPr>
        <w:t>-</w:t>
      </w:r>
      <w:r>
        <w:rPr>
          <w:rFonts w:hint="eastAsia"/>
          <w:kern w:val="2"/>
          <w:sz w:val="24"/>
          <w:szCs w:val="24"/>
        </w:rPr>
        <w:t>estate sector and the financial sector w</w:t>
      </w:r>
      <w:r>
        <w:rPr>
          <w:kern w:val="2"/>
          <w:sz w:val="24"/>
          <w:szCs w:val="24"/>
        </w:rPr>
        <w:t>ere</w:t>
      </w:r>
      <w:r>
        <w:rPr>
          <w:rFonts w:hint="eastAsia"/>
          <w:kern w:val="2"/>
          <w:sz w:val="24"/>
          <w:szCs w:val="24"/>
        </w:rPr>
        <w:t xml:space="preserve"> relatively low, standing at 4.1 percent and 4.0 percent respectively. </w:t>
      </w:r>
    </w:p>
    <w:p w:rsidR="00E86627" w:rsidRPr="005A0958" w:rsidRDefault="00E86627" w:rsidP="00E86627"/>
    <w:p w:rsidR="005A0958" w:rsidRDefault="005A0958" w:rsidP="005A0958">
      <w:pPr>
        <w:pStyle w:val="p0"/>
        <w:spacing w:line="360" w:lineRule="auto"/>
        <w:rPr>
          <w:b/>
          <w:kern w:val="2"/>
          <w:sz w:val="24"/>
          <w:szCs w:val="24"/>
        </w:rPr>
      </w:pPr>
      <w:r>
        <w:rPr>
          <w:b/>
          <w:kern w:val="2"/>
          <w:sz w:val="24"/>
          <w:szCs w:val="24"/>
        </w:rPr>
        <w:t>4. Prices were generally stable</w:t>
      </w:r>
    </w:p>
    <w:p w:rsidR="005A0958" w:rsidRDefault="005A0958" w:rsidP="005A0958">
      <w:pPr>
        <w:pStyle w:val="p0"/>
        <w:spacing w:line="360" w:lineRule="auto"/>
        <w:rPr>
          <w:b/>
          <w:kern w:val="2"/>
          <w:sz w:val="24"/>
          <w:szCs w:val="24"/>
        </w:rPr>
      </w:pPr>
    </w:p>
    <w:p w:rsidR="005A0958" w:rsidRDefault="005A0958" w:rsidP="005A0958">
      <w:pPr>
        <w:pStyle w:val="p0"/>
        <w:spacing w:line="360" w:lineRule="auto"/>
        <w:rPr>
          <w:kern w:val="2"/>
          <w:sz w:val="24"/>
          <w:szCs w:val="24"/>
        </w:rPr>
      </w:pPr>
      <w:r>
        <w:rPr>
          <w:rFonts w:hint="eastAsia"/>
          <w:b/>
          <w:kern w:val="2"/>
          <w:sz w:val="24"/>
          <w:szCs w:val="24"/>
        </w:rPr>
        <w:t>G</w:t>
      </w:r>
      <w:r>
        <w:rPr>
          <w:b/>
          <w:kern w:val="2"/>
          <w:sz w:val="24"/>
          <w:szCs w:val="24"/>
        </w:rPr>
        <w:t>rowth of the GDP deflator was basically stable</w:t>
      </w:r>
      <w:r>
        <w:rPr>
          <w:kern w:val="2"/>
          <w:sz w:val="24"/>
          <w:szCs w:val="24"/>
        </w:rPr>
        <w:t xml:space="preserve">. In </w:t>
      </w:r>
      <w:r>
        <w:rPr>
          <w:sz w:val="24"/>
        </w:rPr>
        <w:t>Q3</w:t>
      </w:r>
      <w:r>
        <w:rPr>
          <w:rFonts w:hint="eastAsia"/>
          <w:sz w:val="24"/>
        </w:rPr>
        <w:t xml:space="preserve"> </w:t>
      </w:r>
      <w:r>
        <w:rPr>
          <w:kern w:val="2"/>
          <w:sz w:val="24"/>
          <w:szCs w:val="24"/>
        </w:rPr>
        <w:t>of 2018, the GDP deflator (the ratio of GDP at current prices to GDP at constant prices) rose 3.0 percent year on year, an acceleration of 0.1 percentage point from the previous quarter.</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kern w:val="2"/>
          <w:sz w:val="24"/>
          <w:szCs w:val="24"/>
        </w:rPr>
      </w:pPr>
      <w:r>
        <w:rPr>
          <w:rFonts w:hint="eastAsia"/>
          <w:b/>
          <w:kern w:val="2"/>
          <w:sz w:val="24"/>
          <w:szCs w:val="24"/>
        </w:rPr>
        <w:t>G</w:t>
      </w:r>
      <w:r>
        <w:rPr>
          <w:b/>
          <w:kern w:val="2"/>
          <w:sz w:val="24"/>
          <w:szCs w:val="24"/>
        </w:rPr>
        <w:t xml:space="preserve">rowth of consumer prices </w:t>
      </w:r>
      <w:r>
        <w:rPr>
          <w:rFonts w:hint="eastAsia"/>
          <w:b/>
          <w:kern w:val="2"/>
          <w:sz w:val="24"/>
          <w:szCs w:val="24"/>
        </w:rPr>
        <w:t>accelerated modestly</w:t>
      </w:r>
      <w:r>
        <w:rPr>
          <w:b/>
          <w:kern w:val="2"/>
          <w:sz w:val="24"/>
          <w:szCs w:val="24"/>
        </w:rPr>
        <w:t xml:space="preserve">. </w:t>
      </w:r>
      <w:r>
        <w:rPr>
          <w:kern w:val="2"/>
          <w:sz w:val="24"/>
          <w:szCs w:val="24"/>
        </w:rPr>
        <w:t xml:space="preserve">In </w:t>
      </w:r>
      <w:r>
        <w:rPr>
          <w:sz w:val="24"/>
        </w:rPr>
        <w:t>Q3</w:t>
      </w:r>
      <w:r>
        <w:rPr>
          <w:kern w:val="2"/>
          <w:sz w:val="24"/>
          <w:szCs w:val="24"/>
        </w:rPr>
        <w:t xml:space="preserve"> of 2018, the CPI rose</w:t>
      </w:r>
      <w:r>
        <w:rPr>
          <w:rFonts w:hint="eastAsia"/>
          <w:kern w:val="2"/>
          <w:sz w:val="24"/>
          <w:szCs w:val="24"/>
        </w:rPr>
        <w:t xml:space="preserve"> by</w:t>
      </w:r>
      <w:r>
        <w:rPr>
          <w:kern w:val="2"/>
          <w:sz w:val="24"/>
          <w:szCs w:val="24"/>
        </w:rPr>
        <w:t xml:space="preserve"> 2.3 percent year on year, an acceleration of 0.5 percentage point from the previous quarter. </w:t>
      </w:r>
      <w:r>
        <w:rPr>
          <w:rFonts w:hint="eastAsia"/>
          <w:kern w:val="2"/>
          <w:sz w:val="24"/>
          <w:szCs w:val="24"/>
        </w:rPr>
        <w:t>T</w:t>
      </w:r>
      <w:r>
        <w:rPr>
          <w:kern w:val="2"/>
          <w:sz w:val="24"/>
          <w:szCs w:val="24"/>
        </w:rPr>
        <w:t>he monthly CPI growth rates stood at 2.1 percent, 2.3 percent, and 2.5 percent</w:t>
      </w:r>
      <w:r>
        <w:rPr>
          <w:rFonts w:hint="eastAsia"/>
          <w:kern w:val="2"/>
          <w:sz w:val="24"/>
          <w:szCs w:val="24"/>
        </w:rPr>
        <w:t xml:space="preserve"> in the three months of </w:t>
      </w:r>
      <w:r>
        <w:rPr>
          <w:sz w:val="24"/>
        </w:rPr>
        <w:t xml:space="preserve">Q3 </w:t>
      </w:r>
      <w:r>
        <w:rPr>
          <w:rFonts w:hint="eastAsia"/>
          <w:kern w:val="2"/>
          <w:sz w:val="24"/>
          <w:szCs w:val="24"/>
        </w:rPr>
        <w:t>respectively</w:t>
      </w:r>
      <w:r>
        <w:rPr>
          <w:kern w:val="2"/>
          <w:sz w:val="24"/>
          <w:szCs w:val="24"/>
        </w:rPr>
        <w:t>. Driven up by rising food prices, such as fresh vegetables and pork, food price</w:t>
      </w:r>
      <w:r>
        <w:rPr>
          <w:rFonts w:hint="eastAsia"/>
          <w:kern w:val="2"/>
          <w:sz w:val="24"/>
          <w:szCs w:val="24"/>
        </w:rPr>
        <w:t>s</w:t>
      </w:r>
      <w:r>
        <w:rPr>
          <w:kern w:val="2"/>
          <w:sz w:val="24"/>
          <w:szCs w:val="24"/>
        </w:rPr>
        <w:t xml:space="preserve"> in </w:t>
      </w:r>
      <w:r>
        <w:rPr>
          <w:sz w:val="24"/>
        </w:rPr>
        <w:t>Q3</w:t>
      </w:r>
      <w:r>
        <w:rPr>
          <w:kern w:val="2"/>
          <w:sz w:val="24"/>
          <w:szCs w:val="24"/>
        </w:rPr>
        <w:t xml:space="preserve"> registered a year-on-year increase of 1.9 percent year</w:t>
      </w:r>
      <w:r>
        <w:rPr>
          <w:rFonts w:hint="eastAsia"/>
          <w:kern w:val="2"/>
          <w:sz w:val="24"/>
          <w:szCs w:val="24"/>
        </w:rPr>
        <w:t>,</w:t>
      </w:r>
      <w:r>
        <w:rPr>
          <w:kern w:val="2"/>
          <w:sz w:val="24"/>
          <w:szCs w:val="24"/>
        </w:rPr>
        <w:t xml:space="preserve"> 1.5 percentage point</w:t>
      </w:r>
      <w:r>
        <w:rPr>
          <w:rFonts w:hint="eastAsia"/>
          <w:kern w:val="2"/>
          <w:sz w:val="24"/>
          <w:szCs w:val="24"/>
        </w:rPr>
        <w:t>s</w:t>
      </w:r>
      <w:r>
        <w:rPr>
          <w:kern w:val="2"/>
          <w:sz w:val="24"/>
          <w:szCs w:val="24"/>
        </w:rPr>
        <w:t xml:space="preserve"> higher than that in the previous quarter. Non-food prices went up by 2.4 percent year on year, an acceleration of 0.2 percentage point from the previous quarter. </w:t>
      </w:r>
    </w:p>
    <w:p w:rsidR="005A0958" w:rsidRDefault="005A0958" w:rsidP="005A0958">
      <w:pPr>
        <w:pStyle w:val="p0"/>
        <w:spacing w:line="360" w:lineRule="auto"/>
        <w:rPr>
          <w:b/>
          <w:kern w:val="2"/>
          <w:sz w:val="24"/>
          <w:szCs w:val="24"/>
        </w:rPr>
      </w:pPr>
    </w:p>
    <w:p w:rsidR="005A0958" w:rsidRDefault="005A0958" w:rsidP="005A0958">
      <w:pPr>
        <w:pStyle w:val="p0"/>
        <w:spacing w:line="360" w:lineRule="auto"/>
        <w:rPr>
          <w:kern w:val="2"/>
          <w:sz w:val="24"/>
          <w:szCs w:val="24"/>
        </w:rPr>
      </w:pPr>
      <w:r>
        <w:rPr>
          <w:b/>
          <w:kern w:val="2"/>
          <w:sz w:val="24"/>
          <w:szCs w:val="24"/>
        </w:rPr>
        <w:lastRenderedPageBreak/>
        <w:t>Growth of producer prices moderated.</w:t>
      </w:r>
      <w:r>
        <w:rPr>
          <w:kern w:val="2"/>
          <w:sz w:val="24"/>
          <w:szCs w:val="24"/>
        </w:rPr>
        <w:t xml:space="preserve"> The PPI in </w:t>
      </w:r>
      <w:r>
        <w:rPr>
          <w:sz w:val="24"/>
        </w:rPr>
        <w:t xml:space="preserve">Q3 </w:t>
      </w:r>
      <w:r>
        <w:rPr>
          <w:kern w:val="2"/>
          <w:sz w:val="24"/>
          <w:szCs w:val="24"/>
        </w:rPr>
        <w:t xml:space="preserve">rose 4.1 percent year on year, unchanged from the previous quarter. In </w:t>
      </w:r>
      <w:r>
        <w:rPr>
          <w:sz w:val="24"/>
        </w:rPr>
        <w:t>Q3,</w:t>
      </w:r>
      <w:r>
        <w:rPr>
          <w:kern w:val="2"/>
          <w:sz w:val="24"/>
          <w:szCs w:val="24"/>
        </w:rPr>
        <w:t xml:space="preserve"> the monthly PPI growth rates stood at 4.6 percent, 4.1 percent, and 3.6 percent</w:t>
      </w:r>
      <w:r>
        <w:rPr>
          <w:rFonts w:hint="eastAsia"/>
          <w:kern w:val="2"/>
          <w:sz w:val="24"/>
          <w:szCs w:val="24"/>
        </w:rPr>
        <w:t xml:space="preserve"> respectively</w:t>
      </w:r>
      <w:r>
        <w:rPr>
          <w:kern w:val="2"/>
          <w:sz w:val="24"/>
          <w:szCs w:val="24"/>
        </w:rPr>
        <w:t xml:space="preserve">, decreasing month by month. The Purchasing Price Index for Industrial Products (PPIIP) in </w:t>
      </w:r>
      <w:r>
        <w:rPr>
          <w:sz w:val="24"/>
        </w:rPr>
        <w:t>Q3</w:t>
      </w:r>
      <w:r>
        <w:rPr>
          <w:rFonts w:hint="eastAsia"/>
          <w:sz w:val="24"/>
        </w:rPr>
        <w:t xml:space="preserve"> </w:t>
      </w:r>
      <w:r>
        <w:rPr>
          <w:kern w:val="2"/>
          <w:sz w:val="24"/>
          <w:szCs w:val="24"/>
        </w:rPr>
        <w:t>went up by 4.7 percent year on year, an acceleration of 0.3 percentage point from the previous quarter. In general, producer prices witnessed a rise mainly in the upstream industries, while those in the downstream industries remained basically stable. The prices of capital goods in the PPI registered a year-on-year increase of 5.3 percent, while the prices of consumer goods only went up by 0.7 percent year on year. In terms of the Corporate Goods Price Index (CGPI), the rise in the prices of primary products expanded year on year, while that of intermediate products moderated and that of final products was basically stable. The price of agricultural products witnessed lower growth than the price of agricultural capital goods, registering a rise of 0.3 and 3.9 percent respectively</w:t>
      </w:r>
      <w:r>
        <w:rPr>
          <w:rFonts w:hint="eastAsia"/>
          <w:kern w:val="2"/>
          <w:sz w:val="24"/>
          <w:szCs w:val="24"/>
        </w:rPr>
        <w:t xml:space="preserve"> year on year</w:t>
      </w:r>
      <w:r>
        <w:rPr>
          <w:kern w:val="2"/>
          <w:sz w:val="24"/>
          <w:szCs w:val="24"/>
        </w:rPr>
        <w:t xml:space="preserve">.  </w:t>
      </w:r>
    </w:p>
    <w:p w:rsidR="005A0958" w:rsidRDefault="005A0958" w:rsidP="005A0958">
      <w:pPr>
        <w:pStyle w:val="p0"/>
        <w:spacing w:line="360" w:lineRule="auto"/>
        <w:rPr>
          <w:b/>
          <w:bCs/>
          <w:kern w:val="2"/>
          <w:sz w:val="24"/>
          <w:szCs w:val="24"/>
        </w:rPr>
      </w:pPr>
    </w:p>
    <w:p w:rsidR="009674D4" w:rsidRPr="009674D4" w:rsidRDefault="009674D4" w:rsidP="009674D4">
      <w:pPr>
        <w:pStyle w:val="a5"/>
        <w:keepNext/>
        <w:pBdr>
          <w:top w:val="none" w:sz="0" w:space="0" w:color="auto"/>
          <w:left w:val="none" w:sz="0" w:space="0" w:color="auto"/>
          <w:bottom w:val="none" w:sz="0" w:space="0" w:color="auto"/>
          <w:right w:val="none" w:sz="0" w:space="0" w:color="auto"/>
        </w:pBdr>
        <w:shd w:val="clear" w:color="auto" w:fill="CCFFCC"/>
        <w:spacing w:before="156" w:after="156" w:line="360" w:lineRule="auto"/>
        <w:rPr>
          <w:rFonts w:ascii="Times New Roman"/>
          <w:b/>
          <w:sz w:val="24"/>
        </w:rPr>
      </w:pPr>
      <w:bookmarkStart w:id="108" w:name="_Toc532201923"/>
      <w:r w:rsidRPr="009674D4">
        <w:rPr>
          <w:rFonts w:ascii="Times New Roman"/>
          <w:b/>
          <w:sz w:val="24"/>
        </w:rPr>
        <w:t xml:space="preserve">Box </w:t>
      </w:r>
      <w:r w:rsidR="002447A7" w:rsidRPr="009674D4">
        <w:rPr>
          <w:rFonts w:ascii="Times New Roman"/>
          <w:b/>
          <w:sz w:val="24"/>
        </w:rPr>
        <w:fldChar w:fldCharType="begin"/>
      </w:r>
      <w:r w:rsidRPr="009674D4">
        <w:rPr>
          <w:rFonts w:ascii="Times New Roman"/>
          <w:b/>
          <w:sz w:val="24"/>
        </w:rPr>
        <w:instrText xml:space="preserve"> SEQ Box \* ARABIC </w:instrText>
      </w:r>
      <w:r w:rsidR="002447A7" w:rsidRPr="009674D4">
        <w:rPr>
          <w:rFonts w:ascii="Times New Roman"/>
          <w:b/>
          <w:sz w:val="24"/>
        </w:rPr>
        <w:fldChar w:fldCharType="separate"/>
      </w:r>
      <w:r w:rsidR="00EC1136">
        <w:rPr>
          <w:rFonts w:ascii="Times New Roman"/>
          <w:b/>
          <w:noProof/>
          <w:sz w:val="24"/>
        </w:rPr>
        <w:t>4</w:t>
      </w:r>
      <w:r w:rsidR="002447A7" w:rsidRPr="009674D4">
        <w:rPr>
          <w:rFonts w:ascii="Times New Roman"/>
          <w:b/>
          <w:sz w:val="24"/>
        </w:rPr>
        <w:fldChar w:fldCharType="end"/>
      </w:r>
      <w:r w:rsidRPr="009674D4">
        <w:rPr>
          <w:rFonts w:ascii="Times New Roman"/>
          <w:b/>
          <w:sz w:val="24"/>
        </w:rPr>
        <w:t xml:space="preserve"> </w:t>
      </w:r>
      <w:r>
        <w:rPr>
          <w:rFonts w:ascii="Times New Roman"/>
          <w:b/>
          <w:sz w:val="24"/>
        </w:rPr>
        <w:t>Analysis of the Current Price Situation</w:t>
      </w:r>
      <w:bookmarkEnd w:id="108"/>
    </w:p>
    <w:p w:rsidR="005A0958" w:rsidRDefault="005A0958" w:rsidP="005A0958">
      <w:pPr>
        <w:shd w:val="clear" w:color="auto" w:fill="CCFFCC"/>
        <w:spacing w:line="360" w:lineRule="auto"/>
        <w:rPr>
          <w:color w:val="000000"/>
          <w:sz w:val="24"/>
        </w:rPr>
      </w:pPr>
      <w:r>
        <w:rPr>
          <w:color w:val="000000"/>
          <w:sz w:val="24"/>
        </w:rPr>
        <w:t xml:space="preserve">The CPI has recently edged upward due to the </w:t>
      </w:r>
      <w:r>
        <w:rPr>
          <w:rFonts w:hint="eastAsia"/>
          <w:color w:val="000000"/>
          <w:sz w:val="24"/>
        </w:rPr>
        <w:t xml:space="preserve">big rise </w:t>
      </w:r>
      <w:r>
        <w:rPr>
          <w:color w:val="000000"/>
          <w:sz w:val="24"/>
        </w:rPr>
        <w:t>in</w:t>
      </w:r>
      <w:r>
        <w:rPr>
          <w:rFonts w:hint="eastAsia"/>
          <w:color w:val="000000"/>
          <w:sz w:val="24"/>
        </w:rPr>
        <w:t xml:space="preserve"> food </w:t>
      </w:r>
      <w:r>
        <w:rPr>
          <w:color w:val="000000"/>
          <w:sz w:val="24"/>
        </w:rPr>
        <w:t xml:space="preserve">prices. The year-on-year increase in the CPI was 2.1 percent, 2.3 percent, and 2.5 percent respectively in July, August, and September. In particular, the month-on-month rise in the prices of fresh vegetables in both August and September exceeded 9 percent. Fresh fruit prices registered a month-on-month increase of 6.4 percent and a year-on-year increase of 10.2 percent. The average month-on-month rise of pork prices in </w:t>
      </w:r>
      <w:r>
        <w:rPr>
          <w:sz w:val="24"/>
        </w:rPr>
        <w:t xml:space="preserve">Q3 </w:t>
      </w:r>
      <w:r>
        <w:rPr>
          <w:color w:val="000000"/>
          <w:sz w:val="24"/>
        </w:rPr>
        <w:t xml:space="preserve">was above 4 percent. Some cities saw a fairly large increase in housing rentals. Data show that the increase in residential housing rentals in about 10 cities exceeded 20 percent. The Price Expectation Index saw a rise for two consecutive quarters, which was 63.7 in </w:t>
      </w:r>
      <w:r>
        <w:rPr>
          <w:sz w:val="24"/>
        </w:rPr>
        <w:t>Q3</w:t>
      </w:r>
      <w:r>
        <w:rPr>
          <w:rFonts w:hint="eastAsia"/>
          <w:sz w:val="24"/>
        </w:rPr>
        <w:t xml:space="preserve"> </w:t>
      </w:r>
      <w:r>
        <w:rPr>
          <w:color w:val="000000"/>
          <w:sz w:val="24"/>
        </w:rPr>
        <w:t xml:space="preserve">of 2018, a rise by 4.1 percent from Q1. </w:t>
      </w:r>
    </w:p>
    <w:p w:rsidR="005A0958" w:rsidRDefault="005A0958" w:rsidP="005A0958">
      <w:pPr>
        <w:shd w:val="clear" w:color="auto" w:fill="CCFFCC"/>
        <w:spacing w:line="360" w:lineRule="auto"/>
        <w:rPr>
          <w:color w:val="000000"/>
          <w:sz w:val="24"/>
        </w:rPr>
      </w:pPr>
    </w:p>
    <w:p w:rsidR="005A0958" w:rsidRDefault="005A0958" w:rsidP="005A0958">
      <w:pPr>
        <w:shd w:val="clear" w:color="auto" w:fill="CCFFCC"/>
        <w:spacing w:line="360" w:lineRule="auto"/>
        <w:rPr>
          <w:color w:val="000000"/>
          <w:sz w:val="24"/>
        </w:rPr>
      </w:pPr>
      <w:r>
        <w:rPr>
          <w:color w:val="000000"/>
          <w:sz w:val="24"/>
        </w:rPr>
        <w:t>T</w:t>
      </w:r>
      <w:r>
        <w:rPr>
          <w:rFonts w:hint="eastAsia"/>
          <w:color w:val="000000"/>
          <w:sz w:val="24"/>
        </w:rPr>
        <w:t xml:space="preserve">he </w:t>
      </w:r>
      <w:r>
        <w:rPr>
          <w:color w:val="000000"/>
          <w:sz w:val="24"/>
        </w:rPr>
        <w:t xml:space="preserve">recent price hike is mainly due to the influence of short-term and temporary factors, which are unlikely to continuously push up the CPI. Fresh vegetables are </w:t>
      </w:r>
      <w:r>
        <w:rPr>
          <w:color w:val="000000"/>
          <w:sz w:val="24"/>
        </w:rPr>
        <w:lastRenderedPageBreak/>
        <w:t xml:space="preserve">difficult to store and their prices are easily affected by seasonal and short-term factors, such as draughts or pre-holiday periods. Historically, the prices of fresh vegetables have witnessed large fluctuations. The production cycle of fresh vegetables is usually two to three months. Price hikes of vegetables will encourage farmers to expand production. With a gradually improved supply, the price of fresh vegetables will stabilize. Pork prices are mainly affected by the short-term influence of swine flu. Currently, live pig production capacity is relatively adequate and the number of slaughtered pigs is generally stable. In addition, pork prices are still at a cyclical trough. If the development of swine flu can be brought under control, prospective prices are likely to pick up. Housing rentals in some cities saw a large increase, but on the whole they have had a limited influence on the CPI. First, the large increase in housing rentals is mainly concentrated in first-tier and second-tier cities. Second, housing rentals account for a small proportion of the CPI and thus the large increase in housing rentals in some cities has no obvious effect on the CPI. The general increase in housing rentals across the country is the same as that of the CPI. In September, the year-on-year rise and month-on-month rise of housing rentals were 2.6 percent and 2.5 percent respectively. </w:t>
      </w:r>
    </w:p>
    <w:p w:rsidR="005A0958" w:rsidRDefault="005A0958" w:rsidP="005A0958">
      <w:pPr>
        <w:shd w:val="clear" w:color="auto" w:fill="CCFFCC"/>
        <w:spacing w:line="360" w:lineRule="auto"/>
        <w:rPr>
          <w:color w:val="000000"/>
          <w:sz w:val="24"/>
        </w:rPr>
      </w:pPr>
    </w:p>
    <w:p w:rsidR="005A0958" w:rsidRDefault="005A0958" w:rsidP="005A0958">
      <w:pPr>
        <w:shd w:val="clear" w:color="auto" w:fill="CCFFCC"/>
        <w:spacing w:line="360" w:lineRule="auto"/>
        <w:rPr>
          <w:color w:val="000000"/>
          <w:sz w:val="24"/>
        </w:rPr>
      </w:pPr>
      <w:r>
        <w:rPr>
          <w:color w:val="000000"/>
          <w:sz w:val="24"/>
        </w:rPr>
        <w:t>I</w:t>
      </w:r>
      <w:r>
        <w:rPr>
          <w:rFonts w:hint="eastAsia"/>
          <w:color w:val="000000"/>
          <w:sz w:val="24"/>
        </w:rPr>
        <w:t xml:space="preserve">n </w:t>
      </w:r>
      <w:r>
        <w:rPr>
          <w:color w:val="000000"/>
          <w:sz w:val="24"/>
        </w:rPr>
        <w:t>terms of long-term factors influencing prices, pressures from continuously rising prices has little influence. First, price trends are generally influenced by economic fundamentals. At present, affected by unstable and uncertain factors at home and abroad, overall demand faces downward pressures. After the structural adjustments during the past several years, the supply side is relatively stable and there is no reason for a large increase in prices. Second, growth in money supply and aggregate financing to the real economy are generally appropriate and there is no monetary base pushing prices to continuously rise. Third, the lag effects of trade tensions on prices need to be comprehensively analyzed. On the one hand, the supply of some imports declined and the levy of tariffs will probably drive up prices. On the other hand, trade tensions may hinder exports. The increased domestic supply will place downward pressures on prices. Against</w:t>
      </w:r>
      <w:r>
        <w:rPr>
          <w:rFonts w:hint="eastAsia"/>
          <w:color w:val="000000"/>
          <w:sz w:val="24"/>
        </w:rPr>
        <w:t xml:space="preserve"> </w:t>
      </w:r>
      <w:r>
        <w:rPr>
          <w:color w:val="000000"/>
          <w:sz w:val="24"/>
        </w:rPr>
        <w:t xml:space="preserve">the backdrop of profound adjustments in international </w:t>
      </w:r>
      <w:r>
        <w:rPr>
          <w:color w:val="000000"/>
          <w:sz w:val="24"/>
        </w:rPr>
        <w:lastRenderedPageBreak/>
        <w:t>trade patterns, and with the self-rectification and self-balancing of the market, the influence of strong external shocks on overall domestic prices at home will be somewhat buffered. However, close attention still needs to be paid to the large short-term fluctuations in some commodity prices.</w:t>
      </w:r>
    </w:p>
    <w:p w:rsidR="005A0958" w:rsidRPr="009674D4" w:rsidRDefault="005A0958" w:rsidP="009674D4">
      <w:pPr>
        <w:pStyle w:val="a5"/>
        <w:keepNext/>
        <w:pBdr>
          <w:top w:val="none" w:sz="0" w:space="0" w:color="auto"/>
          <w:left w:val="none" w:sz="0" w:space="0" w:color="auto"/>
          <w:bottom w:val="none" w:sz="0" w:space="0" w:color="auto"/>
          <w:right w:val="none" w:sz="0" w:space="0" w:color="auto"/>
        </w:pBdr>
        <w:shd w:val="clear" w:color="auto" w:fill="CCFFCC"/>
        <w:spacing w:before="156" w:after="156" w:line="360" w:lineRule="auto"/>
        <w:jc w:val="both"/>
        <w:rPr>
          <w:rFonts w:ascii="Times New Roman" w:eastAsia="宋体" w:cs="Times New Roman"/>
          <w:color w:val="000000"/>
          <w:sz w:val="24"/>
          <w:szCs w:val="24"/>
        </w:rPr>
      </w:pPr>
      <w:r w:rsidRPr="009674D4">
        <w:rPr>
          <w:rFonts w:ascii="Times New Roman" w:eastAsia="宋体" w:cs="Times New Roman" w:hint="eastAsia"/>
          <w:color w:val="000000"/>
          <w:sz w:val="24"/>
          <w:szCs w:val="24"/>
        </w:rPr>
        <w:t>Globall</w:t>
      </w:r>
      <w:r w:rsidRPr="009674D4">
        <w:rPr>
          <w:rFonts w:ascii="Times New Roman" w:eastAsia="宋体" w:cs="Times New Roman"/>
          <w:color w:val="000000"/>
          <w:sz w:val="24"/>
          <w:szCs w:val="24"/>
        </w:rPr>
        <w:t xml:space="preserve">y, </w:t>
      </w:r>
      <w:r w:rsidRPr="009674D4">
        <w:rPr>
          <w:rFonts w:ascii="Times New Roman" w:eastAsia="宋体" w:cs="Times New Roman" w:hint="eastAsia"/>
          <w:color w:val="000000"/>
          <w:sz w:val="24"/>
          <w:szCs w:val="24"/>
        </w:rPr>
        <w:t>price</w:t>
      </w:r>
      <w:r w:rsidRPr="009674D4">
        <w:rPr>
          <w:rFonts w:ascii="Times New Roman" w:eastAsia="宋体" w:cs="Times New Roman"/>
          <w:color w:val="000000"/>
          <w:sz w:val="24"/>
          <w:szCs w:val="24"/>
        </w:rPr>
        <w:t>s</w:t>
      </w:r>
      <w:r w:rsidRPr="009674D4">
        <w:rPr>
          <w:rFonts w:ascii="Times New Roman" w:eastAsia="宋体" w:cs="Times New Roman" w:hint="eastAsia"/>
          <w:color w:val="000000"/>
          <w:sz w:val="24"/>
          <w:szCs w:val="24"/>
        </w:rPr>
        <w:t xml:space="preserve"> i</w:t>
      </w:r>
      <w:r w:rsidRPr="009674D4">
        <w:rPr>
          <w:rFonts w:ascii="Times New Roman" w:eastAsia="宋体" w:cs="Times New Roman"/>
          <w:color w:val="000000"/>
          <w:sz w:val="24"/>
          <w:szCs w:val="24"/>
        </w:rPr>
        <w:t xml:space="preserve">n the major economics such as the US and Europe have taken on a steadily rising trend. Personal consumption expenditures (PCE) in the US have exceeded 2 percent for 6 consecutive months. The core PCE exceeded 2 percent for the first time in the last six years. The HICP in the Eurozone has maintained year-on-year growth of above 2 percent for 5 consecutive months. Due to the influence of international geopolitical conflicts and economic and trade tensions, oil prices have experienced large fluctuations. As the current international situation is complex and changeable and various factors go in different directions and have an overlapping effects, uncertainties in price operations will increase. Going forward, the PBC must strengthen the monitoring and analysis of the price situation, improve supply, optimize the structure, enhance the indigenous economic growth momentum, and promote stable and healthy economic development. </w:t>
      </w:r>
    </w:p>
    <w:p w:rsidR="005A0958" w:rsidRDefault="005A0958" w:rsidP="005A0958">
      <w:pPr>
        <w:pStyle w:val="p0"/>
        <w:spacing w:line="360" w:lineRule="auto"/>
        <w:rPr>
          <w:b/>
          <w:bCs/>
          <w:kern w:val="2"/>
          <w:sz w:val="24"/>
          <w:szCs w:val="24"/>
        </w:rPr>
      </w:pPr>
      <w:r>
        <w:rPr>
          <w:b/>
          <w:bCs/>
          <w:kern w:val="2"/>
          <w:sz w:val="24"/>
          <w:szCs w:val="24"/>
        </w:rPr>
        <w:t xml:space="preserve">5. Fiscal expenditures </w:t>
      </w:r>
      <w:r>
        <w:rPr>
          <w:rFonts w:hint="eastAsia"/>
          <w:b/>
          <w:bCs/>
          <w:kern w:val="2"/>
          <w:sz w:val="24"/>
          <w:szCs w:val="24"/>
        </w:rPr>
        <w:t>grew steadily</w:t>
      </w:r>
      <w:r>
        <w:rPr>
          <w:b/>
          <w:bCs/>
          <w:kern w:val="2"/>
          <w:sz w:val="24"/>
          <w:szCs w:val="24"/>
        </w:rPr>
        <w:t xml:space="preserve">, and the </w:t>
      </w:r>
      <w:r>
        <w:rPr>
          <w:rFonts w:hint="eastAsia"/>
          <w:b/>
          <w:bCs/>
          <w:kern w:val="2"/>
          <w:sz w:val="24"/>
          <w:szCs w:val="24"/>
        </w:rPr>
        <w:t>job market</w:t>
      </w:r>
      <w:r>
        <w:rPr>
          <w:b/>
          <w:bCs/>
          <w:kern w:val="2"/>
          <w:sz w:val="24"/>
          <w:szCs w:val="24"/>
        </w:rPr>
        <w:t xml:space="preserve"> remained stable </w:t>
      </w:r>
    </w:p>
    <w:p w:rsidR="005A0958" w:rsidRDefault="005A0958" w:rsidP="005A0958">
      <w:pPr>
        <w:pStyle w:val="p0"/>
        <w:spacing w:line="360" w:lineRule="auto"/>
        <w:rPr>
          <w:kern w:val="2"/>
          <w:sz w:val="24"/>
          <w:szCs w:val="24"/>
        </w:rPr>
      </w:pPr>
      <w:r>
        <w:rPr>
          <w:b/>
          <w:kern w:val="2"/>
          <w:sz w:val="24"/>
          <w:szCs w:val="24"/>
        </w:rPr>
        <w:t xml:space="preserve">Growth of fiscal revenue slowed down, </w:t>
      </w:r>
      <w:r>
        <w:rPr>
          <w:rFonts w:hint="eastAsia"/>
          <w:b/>
          <w:kern w:val="2"/>
          <w:sz w:val="24"/>
          <w:szCs w:val="24"/>
        </w:rPr>
        <w:t>while fiscal expenditure</w:t>
      </w:r>
      <w:r>
        <w:rPr>
          <w:b/>
          <w:kern w:val="2"/>
          <w:sz w:val="24"/>
          <w:szCs w:val="24"/>
        </w:rPr>
        <w:t xml:space="preserve">s </w:t>
      </w:r>
      <w:r>
        <w:rPr>
          <w:rFonts w:hint="eastAsia"/>
          <w:b/>
          <w:kern w:val="2"/>
          <w:sz w:val="24"/>
          <w:szCs w:val="24"/>
        </w:rPr>
        <w:t>remained</w:t>
      </w:r>
      <w:r>
        <w:rPr>
          <w:b/>
          <w:kern w:val="2"/>
          <w:sz w:val="24"/>
          <w:szCs w:val="24"/>
        </w:rPr>
        <w:t xml:space="preserve"> </w:t>
      </w:r>
      <w:r>
        <w:rPr>
          <w:rFonts w:hint="eastAsia"/>
          <w:b/>
          <w:kern w:val="2"/>
          <w:sz w:val="24"/>
          <w:szCs w:val="24"/>
        </w:rPr>
        <w:t>relatively stable.</w:t>
      </w:r>
      <w:r>
        <w:rPr>
          <w:b/>
          <w:kern w:val="2"/>
          <w:sz w:val="24"/>
          <w:szCs w:val="24"/>
        </w:rPr>
        <w:t xml:space="preserve"> </w:t>
      </w:r>
      <w:r>
        <w:rPr>
          <w:kern w:val="2"/>
          <w:sz w:val="24"/>
          <w:szCs w:val="24"/>
        </w:rPr>
        <w:t xml:space="preserve">In </w:t>
      </w:r>
      <w:r>
        <w:rPr>
          <w:sz w:val="24"/>
        </w:rPr>
        <w:t xml:space="preserve">Q3 </w:t>
      </w:r>
      <w:r>
        <w:rPr>
          <w:kern w:val="2"/>
          <w:sz w:val="24"/>
          <w:szCs w:val="24"/>
        </w:rPr>
        <w:t>of 2018, total fiscal revenue reached RMB 14.6 trillion, up by 8.7 percent year on year and representing a deceleration of 1.9 percentage point</w:t>
      </w:r>
      <w:r>
        <w:rPr>
          <w:rFonts w:hint="eastAsia"/>
          <w:kern w:val="2"/>
          <w:sz w:val="24"/>
          <w:szCs w:val="24"/>
        </w:rPr>
        <w:t>s</w:t>
      </w:r>
      <w:r>
        <w:rPr>
          <w:kern w:val="2"/>
          <w:sz w:val="24"/>
          <w:szCs w:val="24"/>
        </w:rPr>
        <w:t xml:space="preserve"> from the same period of the last year. In terms of the revenue structure, tax revenue registered RMB 12.7 trillion, up by 12.7 percent year on year; non-tax revenue fell by 12.8 percent year on year to RMB 1.8345 trillion. In particular, the domestic value-added tax, the domestic consumption tax, the corporate income tax, and the personal income tax were up by 12 percent, 16.3 percent, 12.5 percent, and 21.1 percent year on year respectively. In </w:t>
      </w:r>
      <w:r>
        <w:rPr>
          <w:sz w:val="24"/>
        </w:rPr>
        <w:t xml:space="preserve">Q3 </w:t>
      </w:r>
      <w:r>
        <w:rPr>
          <w:kern w:val="2"/>
          <w:sz w:val="24"/>
          <w:szCs w:val="24"/>
        </w:rPr>
        <w:t>of 2018, fiscal expenditures registered RMB 16.3 trillion, up by 7.5 percent year on year and representing a deceleration of 0.3 percentage point from the first half of 2018. It accounted for 77.8 percent of the annual budget, 2.8 percentage point</w:t>
      </w:r>
      <w:r>
        <w:rPr>
          <w:rFonts w:hint="eastAsia"/>
          <w:kern w:val="2"/>
          <w:sz w:val="24"/>
          <w:szCs w:val="24"/>
        </w:rPr>
        <w:t>s</w:t>
      </w:r>
      <w:r>
        <w:rPr>
          <w:kern w:val="2"/>
          <w:sz w:val="24"/>
          <w:szCs w:val="24"/>
        </w:rPr>
        <w:t xml:space="preserve"> faster than the scheduled progress. In terms of </w:t>
      </w:r>
      <w:r>
        <w:rPr>
          <w:kern w:val="2"/>
          <w:sz w:val="24"/>
          <w:szCs w:val="24"/>
        </w:rPr>
        <w:lastRenderedPageBreak/>
        <w:t xml:space="preserve">the expenditure structure, expenditures for science and technology, social security and employment increased rapidly, up by 16.7 percent and 9.3 percent </w:t>
      </w:r>
      <w:r>
        <w:rPr>
          <w:rFonts w:hint="eastAsia"/>
          <w:kern w:val="2"/>
          <w:sz w:val="24"/>
          <w:szCs w:val="24"/>
        </w:rPr>
        <w:t xml:space="preserve">respectively </w:t>
      </w:r>
      <w:r>
        <w:rPr>
          <w:kern w:val="2"/>
          <w:sz w:val="24"/>
          <w:szCs w:val="24"/>
        </w:rPr>
        <w:t>year on year.</w:t>
      </w:r>
    </w:p>
    <w:p w:rsidR="005A0958" w:rsidRDefault="005A0958" w:rsidP="005A0958">
      <w:pPr>
        <w:pStyle w:val="p0"/>
        <w:spacing w:line="360" w:lineRule="auto"/>
        <w:rPr>
          <w:b/>
          <w:kern w:val="2"/>
          <w:sz w:val="24"/>
          <w:szCs w:val="24"/>
        </w:rPr>
      </w:pPr>
    </w:p>
    <w:p w:rsidR="005A0958" w:rsidRDefault="005A0958" w:rsidP="005A0958">
      <w:pPr>
        <w:pStyle w:val="p0"/>
        <w:spacing w:line="360" w:lineRule="auto"/>
        <w:rPr>
          <w:kern w:val="2"/>
          <w:sz w:val="24"/>
          <w:szCs w:val="24"/>
        </w:rPr>
      </w:pPr>
      <w:r>
        <w:rPr>
          <w:b/>
          <w:kern w:val="2"/>
          <w:sz w:val="24"/>
          <w:szCs w:val="24"/>
        </w:rPr>
        <w:t>The surveyed unemployment rate declined moderately.</w:t>
      </w:r>
      <w:r>
        <w:rPr>
          <w:kern w:val="2"/>
          <w:sz w:val="24"/>
          <w:szCs w:val="24"/>
        </w:rPr>
        <w:t xml:space="preserve"> In September, the surveyed unemployment rate in urban areas was 4.9 percent, down by 0.1 percentage point from the previous month. At end-September, the migration of the rural labor force totaled 181</w:t>
      </w:r>
      <w:r>
        <w:rPr>
          <w:rFonts w:hint="eastAsia"/>
          <w:kern w:val="2"/>
          <w:sz w:val="24"/>
          <w:szCs w:val="24"/>
        </w:rPr>
        <w:t>.</w:t>
      </w:r>
      <w:r>
        <w:rPr>
          <w:kern w:val="2"/>
          <w:sz w:val="24"/>
          <w:szCs w:val="24"/>
        </w:rPr>
        <w:t>35</w:t>
      </w:r>
      <w:r>
        <w:rPr>
          <w:rFonts w:hint="eastAsia"/>
          <w:kern w:val="2"/>
          <w:sz w:val="24"/>
          <w:szCs w:val="24"/>
        </w:rPr>
        <w:t xml:space="preserve"> million</w:t>
      </w:r>
      <w:r>
        <w:rPr>
          <w:kern w:val="2"/>
          <w:sz w:val="24"/>
          <w:szCs w:val="24"/>
        </w:rPr>
        <w:t xml:space="preserve">, a year-on-year increase of 0.9 percent. </w:t>
      </w:r>
      <w:r>
        <w:rPr>
          <w:sz w:val="24"/>
        </w:rPr>
        <w:t>During</w:t>
      </w:r>
      <w:r>
        <w:rPr>
          <w:kern w:val="2"/>
          <w:sz w:val="24"/>
          <w:szCs w:val="24"/>
        </w:rPr>
        <w:t xml:space="preserve"> the first three quarters of 2018, more than 11 million new jobs were created in cities and towns, and the annual target was completed one quarter ahead of schedule. </w:t>
      </w:r>
    </w:p>
    <w:p w:rsidR="005A0958" w:rsidRDefault="005A0958" w:rsidP="005A0958">
      <w:pPr>
        <w:rPr>
          <w:rFonts w:ascii="仿宋_GB2312" w:eastAsia="仿宋_GB2312" w:cs="宋体"/>
          <w:b/>
          <w:color w:val="000000"/>
          <w:kern w:val="0"/>
          <w:sz w:val="28"/>
          <w:szCs w:val="28"/>
        </w:rPr>
      </w:pPr>
    </w:p>
    <w:p w:rsidR="005A0958" w:rsidRDefault="005A0958" w:rsidP="005A0958">
      <w:pPr>
        <w:spacing w:line="360" w:lineRule="auto"/>
        <w:rPr>
          <w:b/>
          <w:bCs/>
          <w:sz w:val="24"/>
        </w:rPr>
      </w:pPr>
      <w:r>
        <w:rPr>
          <w:rFonts w:hint="eastAsia"/>
          <w:b/>
          <w:bCs/>
          <w:sz w:val="24"/>
        </w:rPr>
        <w:t>6.</w:t>
      </w:r>
      <w:r>
        <w:rPr>
          <w:b/>
          <w:bCs/>
          <w:sz w:val="24"/>
        </w:rPr>
        <w:t xml:space="preserve"> Attention should be paid to the pressure</w:t>
      </w:r>
      <w:r>
        <w:rPr>
          <w:rFonts w:hint="eastAsia"/>
          <w:b/>
          <w:bCs/>
          <w:sz w:val="24"/>
        </w:rPr>
        <w:t>s</w:t>
      </w:r>
      <w:r>
        <w:rPr>
          <w:b/>
          <w:bCs/>
          <w:sz w:val="24"/>
        </w:rPr>
        <w:t xml:space="preserve"> brought </w:t>
      </w:r>
      <w:r>
        <w:rPr>
          <w:rFonts w:hint="eastAsia"/>
          <w:b/>
          <w:bCs/>
          <w:sz w:val="24"/>
        </w:rPr>
        <w:t xml:space="preserve">about </w:t>
      </w:r>
      <w:r>
        <w:rPr>
          <w:b/>
          <w:bCs/>
          <w:sz w:val="24"/>
        </w:rPr>
        <w:t>by the uncertain and unstable factors both at home and abroad</w:t>
      </w:r>
    </w:p>
    <w:p w:rsidR="005A0958" w:rsidRPr="00F60B0A" w:rsidRDefault="005A0958" w:rsidP="005A0958">
      <w:pPr>
        <w:widowControl/>
        <w:spacing w:line="360" w:lineRule="auto"/>
        <w:rPr>
          <w:sz w:val="24"/>
        </w:rPr>
      </w:pPr>
      <w:r>
        <w:rPr>
          <w:b/>
          <w:sz w:val="24"/>
        </w:rPr>
        <w:t>E</w:t>
      </w:r>
      <w:r>
        <w:rPr>
          <w:rFonts w:hint="eastAsia"/>
          <w:b/>
          <w:sz w:val="24"/>
        </w:rPr>
        <w:t xml:space="preserve">xternal </w:t>
      </w:r>
      <w:r>
        <w:rPr>
          <w:b/>
          <w:sz w:val="24"/>
        </w:rPr>
        <w:t xml:space="preserve">uncertainties may have a </w:t>
      </w:r>
      <w:r>
        <w:rPr>
          <w:rFonts w:hint="eastAsia"/>
          <w:b/>
          <w:sz w:val="24"/>
        </w:rPr>
        <w:t>lagged</w:t>
      </w:r>
      <w:r>
        <w:rPr>
          <w:b/>
          <w:sz w:val="24"/>
        </w:rPr>
        <w:t xml:space="preserve"> effect on exports.</w:t>
      </w:r>
      <w:r w:rsidRPr="00F60B0A">
        <w:rPr>
          <w:sz w:val="24"/>
        </w:rPr>
        <w:t xml:space="preserve"> </w:t>
      </w:r>
      <w:r>
        <w:rPr>
          <w:sz w:val="24"/>
        </w:rPr>
        <w:t xml:space="preserve">In Q3, exports, especially exports to the US, maintained relatively rapid growth, which to some extent was related to the overall recovery of the global economy and the pace of enterprises “rushing to export.” With the gradual implementation of </w:t>
      </w:r>
      <w:r>
        <w:rPr>
          <w:rFonts w:hint="eastAsia"/>
          <w:sz w:val="24"/>
        </w:rPr>
        <w:t>higher</w:t>
      </w:r>
      <w:r>
        <w:rPr>
          <w:sz w:val="24"/>
        </w:rPr>
        <w:t xml:space="preserve"> tariffs, an impact on trade is likely to emerge. However, trade tensions and changes in the monetary policies of </w:t>
      </w:r>
      <w:r>
        <w:rPr>
          <w:rFonts w:hint="eastAsia"/>
          <w:sz w:val="24"/>
        </w:rPr>
        <w:t xml:space="preserve">the </w:t>
      </w:r>
      <w:r>
        <w:rPr>
          <w:sz w:val="24"/>
        </w:rPr>
        <w:t>major economies are also likely to exert downward pressure</w:t>
      </w:r>
      <w:r>
        <w:rPr>
          <w:rFonts w:hint="eastAsia"/>
          <w:sz w:val="24"/>
        </w:rPr>
        <w:t>s</w:t>
      </w:r>
      <w:r>
        <w:rPr>
          <w:sz w:val="24"/>
        </w:rPr>
        <w:t xml:space="preserve"> on the global economy, </w:t>
      </w:r>
      <w:r>
        <w:rPr>
          <w:rFonts w:hint="eastAsia"/>
          <w:sz w:val="24"/>
        </w:rPr>
        <w:t xml:space="preserve">thus </w:t>
      </w:r>
      <w:r>
        <w:rPr>
          <w:sz w:val="24"/>
        </w:rPr>
        <w:t>having an impact on external demand.</w:t>
      </w:r>
      <w:r w:rsidRPr="00F60B0A">
        <w:rPr>
          <w:sz w:val="24"/>
        </w:rPr>
        <w:t xml:space="preserve"> </w:t>
      </w:r>
    </w:p>
    <w:p w:rsidR="005A0958" w:rsidRDefault="005A0958" w:rsidP="005A0958">
      <w:pPr>
        <w:pStyle w:val="p0"/>
        <w:spacing w:line="360" w:lineRule="auto"/>
        <w:rPr>
          <w:b/>
          <w:kern w:val="2"/>
          <w:sz w:val="24"/>
          <w:szCs w:val="24"/>
        </w:rPr>
      </w:pPr>
    </w:p>
    <w:p w:rsidR="005A0958" w:rsidRDefault="005A0958" w:rsidP="005A0958">
      <w:pPr>
        <w:pStyle w:val="p0"/>
        <w:spacing w:line="360" w:lineRule="auto"/>
        <w:rPr>
          <w:kern w:val="2"/>
          <w:sz w:val="24"/>
          <w:szCs w:val="24"/>
        </w:rPr>
      </w:pPr>
      <w:r>
        <w:rPr>
          <w:rFonts w:hint="eastAsia"/>
          <w:b/>
          <w:kern w:val="2"/>
          <w:sz w:val="24"/>
          <w:szCs w:val="24"/>
        </w:rPr>
        <w:t>G</w:t>
      </w:r>
      <w:r>
        <w:rPr>
          <w:b/>
          <w:kern w:val="2"/>
          <w:sz w:val="24"/>
          <w:szCs w:val="24"/>
        </w:rPr>
        <w:t xml:space="preserve">rowth of infrastructure investment moderated and growth of corporate profits slowed down. </w:t>
      </w:r>
      <w:r>
        <w:rPr>
          <w:sz w:val="24"/>
        </w:rPr>
        <w:t>During</w:t>
      </w:r>
      <w:r>
        <w:rPr>
          <w:kern w:val="2"/>
          <w:sz w:val="24"/>
          <w:szCs w:val="24"/>
        </w:rPr>
        <w:t xml:space="preserve"> the first three quarters of 2018, infrastructure investment saw a year-on-year increase of 3.3 percent and registered a </w:t>
      </w:r>
      <w:r>
        <w:rPr>
          <w:rFonts w:hint="eastAsia"/>
          <w:kern w:val="2"/>
          <w:sz w:val="24"/>
          <w:szCs w:val="24"/>
        </w:rPr>
        <w:t xml:space="preserve">deceleration </w:t>
      </w:r>
      <w:r>
        <w:rPr>
          <w:kern w:val="2"/>
          <w:sz w:val="24"/>
          <w:szCs w:val="24"/>
        </w:rPr>
        <w:t>of 4.0 percentage point</w:t>
      </w:r>
      <w:r>
        <w:rPr>
          <w:rFonts w:hint="eastAsia"/>
          <w:kern w:val="2"/>
          <w:sz w:val="24"/>
          <w:szCs w:val="24"/>
        </w:rPr>
        <w:t>s</w:t>
      </w:r>
      <w:r>
        <w:rPr>
          <w:kern w:val="2"/>
          <w:sz w:val="24"/>
          <w:szCs w:val="24"/>
        </w:rPr>
        <w:t xml:space="preserve"> from H1</w:t>
      </w:r>
      <w:r>
        <w:rPr>
          <w:rFonts w:hint="eastAsia"/>
          <w:kern w:val="2"/>
          <w:sz w:val="24"/>
          <w:szCs w:val="24"/>
        </w:rPr>
        <w:t>. The growth represents</w:t>
      </w:r>
      <w:r>
        <w:rPr>
          <w:kern w:val="2"/>
          <w:sz w:val="24"/>
          <w:szCs w:val="24"/>
        </w:rPr>
        <w:t xml:space="preserve"> a deceleration of 16.5 percent year on year, which </w:t>
      </w:r>
      <w:r>
        <w:rPr>
          <w:rFonts w:hint="eastAsia"/>
          <w:kern w:val="2"/>
          <w:sz w:val="24"/>
          <w:szCs w:val="24"/>
        </w:rPr>
        <w:t xml:space="preserve">marks the </w:t>
      </w:r>
      <w:r>
        <w:rPr>
          <w:kern w:val="2"/>
          <w:sz w:val="24"/>
          <w:szCs w:val="24"/>
        </w:rPr>
        <w:t>tenth consecutive month</w:t>
      </w:r>
      <w:r>
        <w:rPr>
          <w:rFonts w:hint="eastAsia"/>
          <w:kern w:val="2"/>
          <w:sz w:val="24"/>
          <w:szCs w:val="24"/>
        </w:rPr>
        <w:t xml:space="preserve"> of </w:t>
      </w:r>
      <w:r>
        <w:rPr>
          <w:kern w:val="2"/>
          <w:sz w:val="24"/>
          <w:szCs w:val="24"/>
        </w:rPr>
        <w:t xml:space="preserve">a </w:t>
      </w:r>
      <w:r>
        <w:rPr>
          <w:rFonts w:hint="eastAsia"/>
          <w:kern w:val="2"/>
          <w:sz w:val="24"/>
          <w:szCs w:val="24"/>
        </w:rPr>
        <w:t>deceleration</w:t>
      </w:r>
      <w:r>
        <w:rPr>
          <w:kern w:val="2"/>
          <w:sz w:val="24"/>
          <w:szCs w:val="24"/>
        </w:rPr>
        <w:t xml:space="preserve">. </w:t>
      </w:r>
      <w:r>
        <w:rPr>
          <w:sz w:val="24"/>
        </w:rPr>
        <w:t>During</w:t>
      </w:r>
      <w:r>
        <w:rPr>
          <w:kern w:val="2"/>
          <w:sz w:val="24"/>
          <w:szCs w:val="24"/>
        </w:rPr>
        <w:t xml:space="preserve"> the first three quarters, total profits realized by statistically large industrial firms (SLIFs) reached RMB 4.9</w:t>
      </w:r>
      <w:r>
        <w:rPr>
          <w:rFonts w:hint="eastAsia"/>
          <w:kern w:val="2"/>
          <w:sz w:val="24"/>
          <w:szCs w:val="24"/>
        </w:rPr>
        <w:t>7</w:t>
      </w:r>
      <w:r>
        <w:rPr>
          <w:kern w:val="2"/>
          <w:sz w:val="24"/>
          <w:szCs w:val="24"/>
        </w:rPr>
        <w:t xml:space="preserve"> trillion, up 14.7 percent year on year and representing a deceleration for </w:t>
      </w:r>
      <w:r>
        <w:rPr>
          <w:rFonts w:hint="eastAsia"/>
          <w:kern w:val="2"/>
          <w:sz w:val="24"/>
          <w:szCs w:val="24"/>
        </w:rPr>
        <w:t>three</w:t>
      </w:r>
      <w:r>
        <w:rPr>
          <w:kern w:val="2"/>
          <w:sz w:val="24"/>
          <w:szCs w:val="24"/>
        </w:rPr>
        <w:t xml:space="preserve"> consecutive months. According to the Survey of 5,000 Industrial Enterprises </w:t>
      </w:r>
      <w:r>
        <w:rPr>
          <w:kern w:val="2"/>
          <w:sz w:val="24"/>
          <w:szCs w:val="24"/>
        </w:rPr>
        <w:lastRenderedPageBreak/>
        <w:t>conducted by the P</w:t>
      </w:r>
      <w:r>
        <w:rPr>
          <w:rFonts w:hint="eastAsia"/>
          <w:kern w:val="2"/>
          <w:sz w:val="24"/>
          <w:szCs w:val="24"/>
        </w:rPr>
        <w:t>BC</w:t>
      </w:r>
      <w:r>
        <w:rPr>
          <w:kern w:val="2"/>
          <w:sz w:val="24"/>
          <w:szCs w:val="24"/>
        </w:rPr>
        <w:t xml:space="preserve">, corporate performance was </w:t>
      </w:r>
      <w:r>
        <w:rPr>
          <w:rFonts w:hint="eastAsia"/>
          <w:kern w:val="2"/>
          <w:sz w:val="24"/>
          <w:szCs w:val="24"/>
        </w:rPr>
        <w:t xml:space="preserve">still </w:t>
      </w:r>
      <w:r>
        <w:rPr>
          <w:kern w:val="2"/>
          <w:sz w:val="24"/>
          <w:szCs w:val="24"/>
        </w:rPr>
        <w:t xml:space="preserve">expanding and it was better than </w:t>
      </w:r>
      <w:r>
        <w:rPr>
          <w:rFonts w:hint="eastAsia"/>
          <w:kern w:val="2"/>
          <w:sz w:val="24"/>
          <w:szCs w:val="24"/>
        </w:rPr>
        <w:t xml:space="preserve">that </w:t>
      </w:r>
      <w:r>
        <w:rPr>
          <w:kern w:val="2"/>
          <w:sz w:val="24"/>
          <w:szCs w:val="24"/>
        </w:rPr>
        <w:t>during</w:t>
      </w:r>
      <w:r>
        <w:rPr>
          <w:rFonts w:hint="eastAsia"/>
          <w:kern w:val="2"/>
          <w:sz w:val="24"/>
          <w:szCs w:val="24"/>
        </w:rPr>
        <w:t xml:space="preserve"> </w:t>
      </w:r>
      <w:r>
        <w:rPr>
          <w:kern w:val="2"/>
          <w:sz w:val="24"/>
          <w:szCs w:val="24"/>
        </w:rPr>
        <w:t>the same period of the previous year</w:t>
      </w:r>
      <w:r>
        <w:rPr>
          <w:rFonts w:hint="eastAsia"/>
          <w:kern w:val="2"/>
          <w:sz w:val="24"/>
          <w:szCs w:val="24"/>
        </w:rPr>
        <w:t>,</w:t>
      </w:r>
      <w:r>
        <w:rPr>
          <w:kern w:val="2"/>
          <w:sz w:val="24"/>
          <w:szCs w:val="24"/>
        </w:rPr>
        <w:t xml:space="preserve"> but it </w:t>
      </w:r>
      <w:r>
        <w:rPr>
          <w:rFonts w:hint="eastAsia"/>
          <w:kern w:val="2"/>
          <w:sz w:val="24"/>
          <w:szCs w:val="24"/>
        </w:rPr>
        <w:t>experienced</w:t>
      </w:r>
      <w:r>
        <w:rPr>
          <w:kern w:val="2"/>
          <w:sz w:val="24"/>
          <w:szCs w:val="24"/>
        </w:rPr>
        <w:t xml:space="preserve"> a month-on-month decline. In </w:t>
      </w:r>
      <w:r>
        <w:rPr>
          <w:sz w:val="24"/>
        </w:rPr>
        <w:t>Q3</w:t>
      </w:r>
      <w:r>
        <w:rPr>
          <w:kern w:val="2"/>
          <w:sz w:val="24"/>
          <w:szCs w:val="24"/>
        </w:rPr>
        <w:t xml:space="preserve">, the Corporate Performance Index posted 56.9 percent, representing a decline for three consecutive quarters, down </w:t>
      </w:r>
      <w:r>
        <w:rPr>
          <w:rFonts w:hint="eastAsia"/>
          <w:kern w:val="2"/>
          <w:sz w:val="24"/>
          <w:szCs w:val="24"/>
        </w:rPr>
        <w:t xml:space="preserve">by </w:t>
      </w:r>
      <w:r>
        <w:rPr>
          <w:kern w:val="2"/>
          <w:sz w:val="24"/>
          <w:szCs w:val="24"/>
        </w:rPr>
        <w:t>1.6 percentage point</w:t>
      </w:r>
      <w:r>
        <w:rPr>
          <w:rFonts w:hint="eastAsia"/>
          <w:kern w:val="2"/>
          <w:sz w:val="24"/>
          <w:szCs w:val="24"/>
        </w:rPr>
        <w:t>s</w:t>
      </w:r>
      <w:r>
        <w:rPr>
          <w:kern w:val="2"/>
          <w:sz w:val="24"/>
          <w:szCs w:val="24"/>
        </w:rPr>
        <w:t xml:space="preserve"> from the previous quarter and up </w:t>
      </w:r>
      <w:r>
        <w:rPr>
          <w:rFonts w:hint="eastAsia"/>
          <w:kern w:val="2"/>
          <w:sz w:val="24"/>
          <w:szCs w:val="24"/>
        </w:rPr>
        <w:t xml:space="preserve">by </w:t>
      </w:r>
      <w:r>
        <w:rPr>
          <w:kern w:val="2"/>
          <w:sz w:val="24"/>
          <w:szCs w:val="24"/>
        </w:rPr>
        <w:t>1.4 percentage point</w:t>
      </w:r>
      <w:r>
        <w:rPr>
          <w:rFonts w:hint="eastAsia"/>
          <w:kern w:val="2"/>
          <w:sz w:val="24"/>
          <w:szCs w:val="24"/>
        </w:rPr>
        <w:t>s</w:t>
      </w:r>
      <w:r>
        <w:rPr>
          <w:kern w:val="2"/>
          <w:sz w:val="24"/>
          <w:szCs w:val="24"/>
        </w:rPr>
        <w:t xml:space="preserve"> from the same period of the last year. The Profit Index reached 58.9 percent, </w:t>
      </w:r>
      <w:r>
        <w:rPr>
          <w:rFonts w:hint="eastAsia"/>
          <w:kern w:val="2"/>
          <w:sz w:val="24"/>
          <w:szCs w:val="24"/>
        </w:rPr>
        <w:t>down</w:t>
      </w:r>
      <w:r>
        <w:rPr>
          <w:kern w:val="2"/>
          <w:sz w:val="24"/>
          <w:szCs w:val="24"/>
        </w:rPr>
        <w:t xml:space="preserve"> </w:t>
      </w:r>
      <w:r>
        <w:rPr>
          <w:rFonts w:hint="eastAsia"/>
          <w:kern w:val="2"/>
          <w:sz w:val="24"/>
          <w:szCs w:val="24"/>
        </w:rPr>
        <w:t xml:space="preserve">by </w:t>
      </w:r>
      <w:r>
        <w:rPr>
          <w:kern w:val="2"/>
          <w:sz w:val="24"/>
          <w:szCs w:val="24"/>
        </w:rPr>
        <w:t xml:space="preserve">0.8 percentage point from the previous quarter and up </w:t>
      </w:r>
      <w:r>
        <w:rPr>
          <w:rFonts w:hint="eastAsia"/>
          <w:kern w:val="2"/>
          <w:sz w:val="24"/>
          <w:szCs w:val="24"/>
        </w:rPr>
        <w:t xml:space="preserve">by </w:t>
      </w:r>
      <w:r>
        <w:rPr>
          <w:kern w:val="2"/>
          <w:sz w:val="24"/>
          <w:szCs w:val="24"/>
        </w:rPr>
        <w:t>1.3 percentage points from the same period of the last year.</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b/>
          <w:bCs/>
          <w:kern w:val="2"/>
          <w:sz w:val="24"/>
          <w:szCs w:val="24"/>
        </w:rPr>
      </w:pPr>
      <w:r>
        <w:rPr>
          <w:b/>
          <w:bCs/>
          <w:kern w:val="2"/>
          <w:sz w:val="24"/>
          <w:szCs w:val="24"/>
        </w:rPr>
        <w:t>7. Analysis by sectors</w:t>
      </w:r>
    </w:p>
    <w:p w:rsidR="005A0958" w:rsidRDefault="005A0958" w:rsidP="005A0958">
      <w:pPr>
        <w:pStyle w:val="p0"/>
        <w:spacing w:line="360" w:lineRule="auto"/>
        <w:rPr>
          <w:b/>
          <w:bCs/>
          <w:kern w:val="2"/>
          <w:sz w:val="24"/>
          <w:szCs w:val="24"/>
        </w:rPr>
      </w:pPr>
      <w:r>
        <w:rPr>
          <w:b/>
          <w:bCs/>
          <w:kern w:val="2"/>
          <w:sz w:val="24"/>
          <w:szCs w:val="24"/>
        </w:rPr>
        <w:t>(1) The real-estate sector</w:t>
      </w:r>
    </w:p>
    <w:p w:rsidR="005A0958" w:rsidRDefault="005A0958" w:rsidP="005A0958">
      <w:pPr>
        <w:pStyle w:val="p0"/>
        <w:spacing w:line="360" w:lineRule="auto"/>
        <w:rPr>
          <w:kern w:val="2"/>
          <w:sz w:val="24"/>
          <w:szCs w:val="24"/>
        </w:rPr>
      </w:pPr>
      <w:r>
        <w:rPr>
          <w:kern w:val="2"/>
          <w:sz w:val="24"/>
          <w:szCs w:val="24"/>
        </w:rPr>
        <w:t xml:space="preserve">In </w:t>
      </w:r>
      <w:r>
        <w:rPr>
          <w:sz w:val="24"/>
        </w:rPr>
        <w:t>Q3</w:t>
      </w:r>
      <w:r>
        <w:rPr>
          <w:kern w:val="2"/>
          <w:sz w:val="24"/>
          <w:szCs w:val="24"/>
        </w:rPr>
        <w:t xml:space="preserve"> of 2018, housing sales cooled down throughout the country. </w:t>
      </w:r>
      <w:r>
        <w:rPr>
          <w:rFonts w:hint="eastAsia"/>
          <w:kern w:val="2"/>
          <w:sz w:val="24"/>
          <w:szCs w:val="24"/>
        </w:rPr>
        <w:t>T</w:t>
      </w:r>
      <w:r>
        <w:rPr>
          <w:kern w:val="2"/>
          <w:sz w:val="24"/>
          <w:szCs w:val="24"/>
        </w:rPr>
        <w:t>he month-on-month increase in housing prices in 70 large and medium-sized cities moderated</w:t>
      </w:r>
      <w:r w:rsidRPr="00D87A07">
        <w:rPr>
          <w:kern w:val="2"/>
          <w:sz w:val="24"/>
          <w:szCs w:val="24"/>
        </w:rPr>
        <w:t xml:space="preserve"> </w:t>
      </w:r>
      <w:r>
        <w:rPr>
          <w:kern w:val="2"/>
          <w:sz w:val="24"/>
          <w:szCs w:val="24"/>
        </w:rPr>
        <w:t xml:space="preserve">somewhat. The growth of real-estate </w:t>
      </w:r>
      <w:r>
        <w:rPr>
          <w:rFonts w:hint="eastAsia"/>
          <w:kern w:val="2"/>
          <w:sz w:val="24"/>
          <w:szCs w:val="24"/>
        </w:rPr>
        <w:t xml:space="preserve">development </w:t>
      </w:r>
      <w:r>
        <w:rPr>
          <w:kern w:val="2"/>
          <w:sz w:val="24"/>
          <w:szCs w:val="24"/>
        </w:rPr>
        <w:t xml:space="preserve">investments maintained </w:t>
      </w:r>
      <w:r>
        <w:rPr>
          <w:rFonts w:hint="eastAsia"/>
          <w:kern w:val="2"/>
          <w:sz w:val="24"/>
          <w:szCs w:val="24"/>
        </w:rPr>
        <w:t>relatively</w:t>
      </w:r>
      <w:r>
        <w:rPr>
          <w:kern w:val="2"/>
          <w:sz w:val="24"/>
          <w:szCs w:val="24"/>
        </w:rPr>
        <w:t xml:space="preserve"> fast growth, and the growth of real-estate loans was basically stable.</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kern w:val="2"/>
          <w:sz w:val="24"/>
          <w:szCs w:val="24"/>
        </w:rPr>
      </w:pPr>
      <w:r>
        <w:rPr>
          <w:b/>
          <w:kern w:val="2"/>
          <w:sz w:val="24"/>
          <w:szCs w:val="24"/>
        </w:rPr>
        <w:t xml:space="preserve">The number of cities witnessing rising housing prices in </w:t>
      </w:r>
      <w:r w:rsidRPr="00C30443">
        <w:rPr>
          <w:b/>
          <w:sz w:val="24"/>
        </w:rPr>
        <w:t>Q</w:t>
      </w:r>
      <w:r>
        <w:rPr>
          <w:b/>
          <w:sz w:val="24"/>
        </w:rPr>
        <w:t>3</w:t>
      </w:r>
      <w:r>
        <w:rPr>
          <w:b/>
          <w:kern w:val="2"/>
          <w:sz w:val="24"/>
          <w:szCs w:val="24"/>
        </w:rPr>
        <w:t xml:space="preserve"> was basically unchanged from that in Q2, with a moderate deceleration of growth</w:t>
      </w:r>
      <w:r>
        <w:rPr>
          <w:kern w:val="2"/>
          <w:sz w:val="24"/>
          <w:szCs w:val="24"/>
        </w:rPr>
        <w:t xml:space="preserve">. In September, the prices of newly built </w:t>
      </w:r>
      <w:r>
        <w:rPr>
          <w:rFonts w:hint="eastAsia"/>
          <w:kern w:val="2"/>
          <w:sz w:val="24"/>
          <w:szCs w:val="24"/>
        </w:rPr>
        <w:t xml:space="preserve">residential </w:t>
      </w:r>
      <w:r>
        <w:rPr>
          <w:kern w:val="2"/>
          <w:sz w:val="24"/>
          <w:szCs w:val="24"/>
        </w:rPr>
        <w:t xml:space="preserve">housing recorded month-on-month growth in 64 out of 70 large and medium-sized cities, 1 city more than that in June, and average growth was down by 0.1 percentage point from June; the prices of newly built residential housing rose year on year in 67 cities, 6 cities more than that in June. The prices of </w:t>
      </w:r>
      <w:r>
        <w:rPr>
          <w:rFonts w:hint="eastAsia"/>
          <w:kern w:val="2"/>
          <w:sz w:val="24"/>
          <w:szCs w:val="24"/>
        </w:rPr>
        <w:t>pre-owned</w:t>
      </w:r>
      <w:r>
        <w:rPr>
          <w:kern w:val="2"/>
          <w:sz w:val="24"/>
          <w:szCs w:val="24"/>
        </w:rPr>
        <w:t xml:space="preserve"> residential housing witnessed a month-on-month rise in 59 cities, 7 cities less than that in June; the price of </w:t>
      </w:r>
      <w:r>
        <w:rPr>
          <w:rFonts w:hint="eastAsia"/>
          <w:kern w:val="2"/>
          <w:sz w:val="24"/>
          <w:szCs w:val="24"/>
        </w:rPr>
        <w:t>pre-owned</w:t>
      </w:r>
      <w:r>
        <w:rPr>
          <w:kern w:val="2"/>
          <w:sz w:val="24"/>
          <w:szCs w:val="24"/>
        </w:rPr>
        <w:t xml:space="preserve"> residential housing increased year on year in 66 cities, 3 cities more than that in June.</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kern w:val="2"/>
          <w:sz w:val="24"/>
          <w:szCs w:val="24"/>
        </w:rPr>
      </w:pPr>
      <w:r>
        <w:rPr>
          <w:b/>
          <w:kern w:val="2"/>
          <w:sz w:val="24"/>
          <w:szCs w:val="24"/>
        </w:rPr>
        <w:t xml:space="preserve">Growth of housing sales moderated somewhat. </w:t>
      </w:r>
      <w:r>
        <w:rPr>
          <w:sz w:val="24"/>
        </w:rPr>
        <w:t>During</w:t>
      </w:r>
      <w:r>
        <w:rPr>
          <w:kern w:val="2"/>
          <w:sz w:val="24"/>
          <w:szCs w:val="24"/>
        </w:rPr>
        <w:t xml:space="preserve"> the first three quarters of 2018, the total floor area of sold units posted 1.193 billion square meters, up by 2.9 percent year on year, which was 0.4 percentage point lower than that in H1. Housing sales reached RMB 10.41 trillion, up by 13.3 percent year on year, which was 0.1 </w:t>
      </w:r>
      <w:r>
        <w:rPr>
          <w:kern w:val="2"/>
          <w:sz w:val="24"/>
          <w:szCs w:val="24"/>
        </w:rPr>
        <w:lastRenderedPageBreak/>
        <w:t>percentage point higher than that in H1. In particular, residential housing accounted for 86.7 percent of the total sold floor area and 84.9 percent of total sales.</w:t>
      </w:r>
    </w:p>
    <w:p w:rsidR="005A0958" w:rsidRDefault="005A0958" w:rsidP="005A0958">
      <w:pPr>
        <w:ind w:firstLineChars="200" w:firstLine="560"/>
        <w:rPr>
          <w:rFonts w:ascii="仿宋_GB2312" w:eastAsia="仿宋_GB2312" w:cs="宋体"/>
          <w:color w:val="000000"/>
          <w:kern w:val="0"/>
          <w:sz w:val="28"/>
          <w:szCs w:val="28"/>
        </w:rPr>
      </w:pPr>
    </w:p>
    <w:p w:rsidR="005A0958" w:rsidRDefault="005A0958" w:rsidP="005A0958">
      <w:pPr>
        <w:pStyle w:val="p0"/>
        <w:spacing w:line="360" w:lineRule="auto"/>
        <w:rPr>
          <w:kern w:val="2"/>
          <w:sz w:val="24"/>
          <w:szCs w:val="24"/>
        </w:rPr>
      </w:pPr>
      <w:r>
        <w:rPr>
          <w:b/>
          <w:kern w:val="2"/>
          <w:sz w:val="24"/>
          <w:szCs w:val="24"/>
        </w:rPr>
        <w:t xml:space="preserve">Growth of real-estate investments was generally stable. </w:t>
      </w:r>
      <w:r>
        <w:rPr>
          <w:kern w:val="2"/>
          <w:sz w:val="24"/>
          <w:szCs w:val="24"/>
        </w:rPr>
        <w:t xml:space="preserve">As of end-September, real-estate investments throughout the country registered RMB 8.87 trillion, up by 9.9 percent year on year, an acceleration of 0.2 percentage point from that in the first half of 2018. Specifically, investments in residential housing, which accounted for 70.8 percent of real-estate investments, reached RMB 6.28 trillion, up by 14 percent year on year and representing an acceleration of 0.4 percentage point from the first half of 2018. The floor area of newly started real-estate projects increased 16.4 percent year on year to reach 1.526 </w:t>
      </w:r>
      <w:r>
        <w:rPr>
          <w:rFonts w:hint="eastAsia"/>
          <w:kern w:val="2"/>
          <w:sz w:val="24"/>
          <w:szCs w:val="24"/>
        </w:rPr>
        <w:t>b</w:t>
      </w:r>
      <w:r>
        <w:rPr>
          <w:kern w:val="2"/>
          <w:sz w:val="24"/>
          <w:szCs w:val="24"/>
        </w:rPr>
        <w:t>illion square meters, an acceleration of 4.6 percentage points from H1. The floor area of real-estate projects under construction grew by 3.9 percent year on year to 7.67 billion square meters, an acceleration of 1.4 percentage point</w:t>
      </w:r>
      <w:r>
        <w:rPr>
          <w:rFonts w:hint="eastAsia"/>
          <w:kern w:val="2"/>
          <w:sz w:val="24"/>
          <w:szCs w:val="24"/>
        </w:rPr>
        <w:t>s</w:t>
      </w:r>
      <w:r>
        <w:rPr>
          <w:kern w:val="2"/>
          <w:sz w:val="24"/>
          <w:szCs w:val="24"/>
        </w:rPr>
        <w:t xml:space="preserve"> from H1. The floor area of completed real-estate projects declined by 11.4 percent year on year to 510 million square meters, which was 0.8 percentage point higher than that in H1. </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kern w:val="2"/>
          <w:sz w:val="24"/>
          <w:szCs w:val="24"/>
        </w:rPr>
      </w:pPr>
      <w:r>
        <w:rPr>
          <w:b/>
          <w:kern w:val="2"/>
          <w:sz w:val="24"/>
          <w:szCs w:val="24"/>
        </w:rPr>
        <w:t xml:space="preserve">Growth of real-estate loans </w:t>
      </w:r>
      <w:r>
        <w:rPr>
          <w:rFonts w:hint="eastAsia"/>
          <w:b/>
          <w:kern w:val="2"/>
          <w:sz w:val="24"/>
          <w:szCs w:val="24"/>
        </w:rPr>
        <w:t xml:space="preserve">remained </w:t>
      </w:r>
      <w:r>
        <w:rPr>
          <w:b/>
          <w:kern w:val="2"/>
          <w:sz w:val="24"/>
          <w:szCs w:val="24"/>
        </w:rPr>
        <w:t>basically</w:t>
      </w:r>
      <w:r>
        <w:rPr>
          <w:rFonts w:hint="eastAsia"/>
          <w:b/>
          <w:kern w:val="2"/>
          <w:sz w:val="24"/>
          <w:szCs w:val="24"/>
        </w:rPr>
        <w:t xml:space="preserve"> stable</w:t>
      </w:r>
      <w:r>
        <w:rPr>
          <w:b/>
          <w:kern w:val="2"/>
          <w:sz w:val="24"/>
          <w:szCs w:val="24"/>
        </w:rPr>
        <w:t>.</w:t>
      </w:r>
      <w:r>
        <w:rPr>
          <w:kern w:val="2"/>
          <w:sz w:val="24"/>
          <w:szCs w:val="24"/>
        </w:rPr>
        <w:t xml:space="preserve"> At end-September, outstanding real-estate lending by major financial institutions (including foreign financial institutions) stood at RMB 37.5 trillion, up by 20.4 percent year on year and </w:t>
      </w:r>
      <w:r>
        <w:rPr>
          <w:rFonts w:hint="eastAsia"/>
          <w:kern w:val="2"/>
          <w:sz w:val="24"/>
          <w:szCs w:val="24"/>
        </w:rPr>
        <w:t xml:space="preserve">on par with </w:t>
      </w:r>
      <w:r>
        <w:rPr>
          <w:kern w:val="2"/>
          <w:sz w:val="24"/>
          <w:szCs w:val="24"/>
        </w:rPr>
        <w:t>that in H1. Outstanding real-estate loans accounted for 28.1 percent of total lending. Specifically, outstanding personal mortgages rose by 17.9 percent year on year to RMB 24.97 trillion, 0.7 percentage point lower than the growth at end-June</w:t>
      </w:r>
      <w:r>
        <w:rPr>
          <w:rFonts w:hint="eastAsia"/>
          <w:kern w:val="2"/>
          <w:sz w:val="24"/>
          <w:szCs w:val="24"/>
        </w:rPr>
        <w:t>.</w:t>
      </w:r>
      <w:r>
        <w:rPr>
          <w:kern w:val="2"/>
          <w:sz w:val="24"/>
          <w:szCs w:val="24"/>
        </w:rPr>
        <w:t xml:space="preserve"> </w:t>
      </w:r>
      <w:r>
        <w:rPr>
          <w:rFonts w:hint="eastAsia"/>
          <w:kern w:val="2"/>
          <w:sz w:val="24"/>
          <w:szCs w:val="24"/>
        </w:rPr>
        <w:t>O</w:t>
      </w:r>
      <w:r>
        <w:rPr>
          <w:kern w:val="2"/>
          <w:sz w:val="24"/>
          <w:szCs w:val="24"/>
        </w:rPr>
        <w:t>utstanding housing-development loans increased by 33.9 percent year on year to total RMB 7.1 trillion, a deceleration of 0.3 percentage point from end-June</w:t>
      </w:r>
      <w:r>
        <w:rPr>
          <w:rFonts w:hint="eastAsia"/>
          <w:kern w:val="2"/>
          <w:sz w:val="24"/>
          <w:szCs w:val="24"/>
        </w:rPr>
        <w:t>.</w:t>
      </w:r>
      <w:r>
        <w:rPr>
          <w:kern w:val="2"/>
          <w:sz w:val="24"/>
          <w:szCs w:val="24"/>
        </w:rPr>
        <w:t xml:space="preserve"> </w:t>
      </w:r>
      <w:r>
        <w:rPr>
          <w:rFonts w:hint="eastAsia"/>
          <w:kern w:val="2"/>
          <w:sz w:val="24"/>
          <w:szCs w:val="24"/>
        </w:rPr>
        <w:t>O</w:t>
      </w:r>
      <w:r>
        <w:rPr>
          <w:kern w:val="2"/>
          <w:sz w:val="24"/>
          <w:szCs w:val="24"/>
        </w:rPr>
        <w:t>utstanding land-development loans registered RMB 1.45 trillion, up by 6.6 percent year on year, 0.4 percentage point lower than that at end-June.</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kern w:val="2"/>
          <w:sz w:val="24"/>
          <w:szCs w:val="24"/>
        </w:rPr>
      </w:pPr>
      <w:r>
        <w:rPr>
          <w:rFonts w:hint="eastAsia"/>
          <w:b/>
          <w:kern w:val="2"/>
          <w:sz w:val="24"/>
          <w:szCs w:val="24"/>
        </w:rPr>
        <w:lastRenderedPageBreak/>
        <w:t xml:space="preserve">Both </w:t>
      </w:r>
      <w:r>
        <w:rPr>
          <w:b/>
          <w:kern w:val="2"/>
          <w:sz w:val="24"/>
          <w:szCs w:val="24"/>
        </w:rPr>
        <w:t xml:space="preserve">the </w:t>
      </w:r>
      <w:r>
        <w:rPr>
          <w:rFonts w:hint="eastAsia"/>
          <w:b/>
          <w:kern w:val="2"/>
          <w:sz w:val="24"/>
          <w:szCs w:val="24"/>
        </w:rPr>
        <w:t>g</w:t>
      </w:r>
      <w:r>
        <w:rPr>
          <w:b/>
          <w:kern w:val="2"/>
          <w:sz w:val="24"/>
          <w:szCs w:val="24"/>
        </w:rPr>
        <w:t>rowth and the proportion of loans for welfare housing decreased.</w:t>
      </w:r>
      <w:r>
        <w:rPr>
          <w:kern w:val="2"/>
          <w:sz w:val="24"/>
          <w:szCs w:val="24"/>
        </w:rPr>
        <w:t xml:space="preserve"> At end-September, outstanding loans for the development of </w:t>
      </w:r>
      <w:r>
        <w:rPr>
          <w:rFonts w:hint="eastAsia"/>
          <w:kern w:val="2"/>
          <w:sz w:val="24"/>
          <w:szCs w:val="24"/>
        </w:rPr>
        <w:t>government-subsidized</w:t>
      </w:r>
      <w:r>
        <w:rPr>
          <w:kern w:val="2"/>
          <w:sz w:val="24"/>
          <w:szCs w:val="24"/>
        </w:rPr>
        <w:t xml:space="preserve"> housing stood at RMB 4.25 trillion, up 34.4 percent year on year and a deceleration of 3 percentage point</w:t>
      </w:r>
      <w:r>
        <w:rPr>
          <w:rFonts w:hint="eastAsia"/>
          <w:kern w:val="2"/>
          <w:sz w:val="24"/>
          <w:szCs w:val="24"/>
        </w:rPr>
        <w:t>s</w:t>
      </w:r>
      <w:r>
        <w:rPr>
          <w:kern w:val="2"/>
          <w:sz w:val="24"/>
          <w:szCs w:val="24"/>
        </w:rPr>
        <w:t xml:space="preserve"> from that at end-June. </w:t>
      </w:r>
      <w:r>
        <w:rPr>
          <w:sz w:val="24"/>
        </w:rPr>
        <w:t>During</w:t>
      </w:r>
      <w:r>
        <w:rPr>
          <w:kern w:val="2"/>
          <w:sz w:val="24"/>
          <w:szCs w:val="24"/>
        </w:rPr>
        <w:t xml:space="preserve"> the first three quarters of 2018, loans for the development of </w:t>
      </w:r>
      <w:r>
        <w:rPr>
          <w:rFonts w:hint="eastAsia"/>
          <w:kern w:val="2"/>
          <w:sz w:val="24"/>
          <w:szCs w:val="24"/>
        </w:rPr>
        <w:t>government-subsidized</w:t>
      </w:r>
      <w:r>
        <w:rPr>
          <w:kern w:val="2"/>
          <w:sz w:val="24"/>
          <w:szCs w:val="24"/>
        </w:rPr>
        <w:t xml:space="preserve"> housing increased by RMB 917.18 billion, accounting for 56.5 percent of all new real-estate development loans and 5.5 percentage point</w:t>
      </w:r>
      <w:r>
        <w:rPr>
          <w:rFonts w:hint="eastAsia"/>
          <w:kern w:val="2"/>
          <w:sz w:val="24"/>
          <w:szCs w:val="24"/>
        </w:rPr>
        <w:t>s</w:t>
      </w:r>
      <w:r>
        <w:rPr>
          <w:kern w:val="2"/>
          <w:sz w:val="24"/>
          <w:szCs w:val="24"/>
        </w:rPr>
        <w:t xml:space="preserve"> lower than that in H1. By end-September, loans for 373 </w:t>
      </w:r>
      <w:r>
        <w:rPr>
          <w:rFonts w:hint="eastAsia"/>
          <w:kern w:val="2"/>
          <w:sz w:val="24"/>
          <w:szCs w:val="24"/>
        </w:rPr>
        <w:t xml:space="preserve">government-subsidized </w:t>
      </w:r>
      <w:r>
        <w:rPr>
          <w:kern w:val="2"/>
          <w:sz w:val="24"/>
          <w:szCs w:val="24"/>
        </w:rPr>
        <w:t>housing projects in 85 cities had been approved, RMB 87.22 billion had been disbursed based on the progress of the project</w:t>
      </w:r>
      <w:r>
        <w:rPr>
          <w:rFonts w:hint="eastAsia"/>
          <w:kern w:val="2"/>
          <w:sz w:val="24"/>
          <w:szCs w:val="24"/>
        </w:rPr>
        <w:t>s</w:t>
      </w:r>
      <w:r>
        <w:rPr>
          <w:kern w:val="2"/>
          <w:sz w:val="24"/>
          <w:szCs w:val="24"/>
        </w:rPr>
        <w:t xml:space="preserve">, and RMB 81.77 billion </w:t>
      </w:r>
      <w:r>
        <w:rPr>
          <w:rFonts w:hint="eastAsia"/>
          <w:kern w:val="2"/>
          <w:sz w:val="24"/>
          <w:szCs w:val="24"/>
        </w:rPr>
        <w:t>of</w:t>
      </w:r>
      <w:r>
        <w:rPr>
          <w:kern w:val="2"/>
          <w:sz w:val="24"/>
          <w:szCs w:val="24"/>
        </w:rPr>
        <w:t xml:space="preserve"> the loan principals had been repaid. </w:t>
      </w:r>
    </w:p>
    <w:p w:rsidR="005A0958" w:rsidRDefault="005A0958" w:rsidP="005A0958">
      <w:pPr>
        <w:jc w:val="left"/>
        <w:rPr>
          <w:b/>
          <w:bCs/>
          <w:sz w:val="24"/>
        </w:rPr>
      </w:pPr>
    </w:p>
    <w:p w:rsidR="005A0958" w:rsidRDefault="005A0958" w:rsidP="005A0958">
      <w:pPr>
        <w:jc w:val="left"/>
        <w:rPr>
          <w:b/>
          <w:bCs/>
          <w:sz w:val="24"/>
        </w:rPr>
      </w:pPr>
      <w:r>
        <w:rPr>
          <w:rFonts w:hint="eastAsia"/>
          <w:b/>
          <w:bCs/>
          <w:sz w:val="24"/>
        </w:rPr>
        <w:t>(</w:t>
      </w:r>
      <w:r>
        <w:rPr>
          <w:b/>
          <w:bCs/>
          <w:sz w:val="24"/>
        </w:rPr>
        <w:t>2</w:t>
      </w:r>
      <w:r>
        <w:rPr>
          <w:rFonts w:hint="eastAsia"/>
          <w:b/>
          <w:bCs/>
          <w:sz w:val="24"/>
        </w:rPr>
        <w:t>)</w:t>
      </w:r>
      <w:hyperlink r:id="rId13" w:anchor="keyfrom=E2Ctranslation" w:history="1">
        <w:r>
          <w:rPr>
            <w:b/>
            <w:bCs/>
            <w:sz w:val="24"/>
          </w:rPr>
          <w:t xml:space="preserve"> Electronic information industry</w:t>
        </w:r>
      </w:hyperlink>
    </w:p>
    <w:p w:rsidR="005A0958" w:rsidRDefault="005A0958" w:rsidP="005A0958">
      <w:pPr>
        <w:pStyle w:val="20"/>
        <w:spacing w:line="360" w:lineRule="auto"/>
        <w:rPr>
          <w:rFonts w:ascii="Times New Roman" w:eastAsia="宋体"/>
          <w:b w:val="0"/>
          <w:sz w:val="24"/>
          <w:szCs w:val="24"/>
        </w:rPr>
      </w:pPr>
      <w:r>
        <w:rPr>
          <w:rFonts w:ascii="Times New Roman" w:eastAsia="宋体"/>
          <w:b w:val="0"/>
          <w:sz w:val="24"/>
          <w:szCs w:val="24"/>
        </w:rPr>
        <w:t xml:space="preserve">The electronic information industry can improve resource </w:t>
      </w:r>
      <w:r>
        <w:rPr>
          <w:rFonts w:ascii="Times New Roman" w:eastAsia="宋体" w:hint="eastAsia"/>
          <w:b w:val="0"/>
          <w:sz w:val="24"/>
          <w:szCs w:val="24"/>
        </w:rPr>
        <w:t>allocation</w:t>
      </w:r>
      <w:r>
        <w:rPr>
          <w:rFonts w:ascii="Times New Roman" w:eastAsia="宋体"/>
          <w:b w:val="0"/>
          <w:sz w:val="24"/>
          <w:szCs w:val="24"/>
        </w:rPr>
        <w:t xml:space="preserve">s and the </w:t>
      </w:r>
      <w:r>
        <w:rPr>
          <w:rFonts w:ascii="Times New Roman" w:eastAsia="宋体" w:hint="eastAsia"/>
          <w:b w:val="0"/>
          <w:sz w:val="24"/>
          <w:szCs w:val="24"/>
        </w:rPr>
        <w:t>productivity</w:t>
      </w:r>
      <w:r>
        <w:rPr>
          <w:rFonts w:ascii="Times New Roman" w:eastAsia="宋体"/>
          <w:b w:val="0"/>
          <w:sz w:val="24"/>
          <w:szCs w:val="24"/>
        </w:rPr>
        <w:t xml:space="preserve"> of </w:t>
      </w:r>
      <w:r>
        <w:rPr>
          <w:rFonts w:ascii="Times New Roman" w:eastAsia="宋体" w:hint="eastAsia"/>
          <w:b w:val="0"/>
          <w:sz w:val="24"/>
          <w:szCs w:val="24"/>
        </w:rPr>
        <w:t>all</w:t>
      </w:r>
      <w:r>
        <w:rPr>
          <w:rFonts w:ascii="Times New Roman" w:eastAsia="宋体"/>
          <w:b w:val="0"/>
          <w:sz w:val="24"/>
          <w:szCs w:val="24"/>
        </w:rPr>
        <w:t xml:space="preserve"> industr</w:t>
      </w:r>
      <w:r>
        <w:rPr>
          <w:rFonts w:ascii="Times New Roman" w:eastAsia="宋体" w:hint="eastAsia"/>
          <w:b w:val="0"/>
          <w:sz w:val="24"/>
          <w:szCs w:val="24"/>
        </w:rPr>
        <w:t>ies</w:t>
      </w:r>
      <w:r>
        <w:rPr>
          <w:rFonts w:ascii="Times New Roman" w:eastAsia="宋体"/>
          <w:b w:val="0"/>
          <w:sz w:val="24"/>
          <w:szCs w:val="24"/>
        </w:rPr>
        <w:t xml:space="preserve"> through technologi</w:t>
      </w:r>
      <w:r>
        <w:rPr>
          <w:rFonts w:ascii="Times New Roman" w:eastAsia="宋体" w:hint="eastAsia"/>
          <w:b w:val="0"/>
          <w:sz w:val="24"/>
          <w:szCs w:val="24"/>
        </w:rPr>
        <w:t>cal advances</w:t>
      </w:r>
      <w:r>
        <w:rPr>
          <w:rFonts w:ascii="Times New Roman" w:eastAsia="宋体"/>
          <w:b w:val="0"/>
          <w:sz w:val="24"/>
          <w:szCs w:val="24"/>
        </w:rPr>
        <w:t xml:space="preserve">. It is an important force </w:t>
      </w:r>
      <w:r>
        <w:rPr>
          <w:rFonts w:ascii="Times New Roman" w:eastAsia="宋体" w:hint="eastAsia"/>
          <w:b w:val="0"/>
          <w:sz w:val="24"/>
          <w:szCs w:val="24"/>
        </w:rPr>
        <w:t xml:space="preserve">driving </w:t>
      </w:r>
      <w:r>
        <w:rPr>
          <w:rFonts w:ascii="Times New Roman" w:eastAsia="宋体"/>
          <w:b w:val="0"/>
          <w:sz w:val="24"/>
          <w:szCs w:val="24"/>
        </w:rPr>
        <w:t xml:space="preserve">changes and industrial innovations throughout the world, and it provides vital support to develop strategic emerging industries, including </w:t>
      </w:r>
      <w:r>
        <w:rPr>
          <w:rFonts w:ascii="Times New Roman" w:eastAsia="宋体" w:hint="eastAsia"/>
          <w:b w:val="0"/>
          <w:sz w:val="24"/>
          <w:szCs w:val="24"/>
        </w:rPr>
        <w:t>the</w:t>
      </w:r>
      <w:r>
        <w:rPr>
          <w:rFonts w:ascii="Times New Roman" w:eastAsia="宋体"/>
          <w:b w:val="0"/>
          <w:sz w:val="24"/>
          <w:szCs w:val="24"/>
        </w:rPr>
        <w:t xml:space="preserve"> high-end equipment manufacturing industry. </w:t>
      </w:r>
    </w:p>
    <w:p w:rsidR="005A0958" w:rsidRDefault="005A0958" w:rsidP="005A0958">
      <w:pPr>
        <w:pStyle w:val="20"/>
        <w:spacing w:line="360" w:lineRule="auto"/>
        <w:rPr>
          <w:rFonts w:ascii="Times New Roman" w:eastAsia="宋体"/>
          <w:b w:val="0"/>
          <w:sz w:val="24"/>
          <w:szCs w:val="24"/>
        </w:rPr>
      </w:pPr>
    </w:p>
    <w:p w:rsidR="005A0958" w:rsidRDefault="005A0958" w:rsidP="005A0958">
      <w:pPr>
        <w:pStyle w:val="20"/>
        <w:spacing w:line="360" w:lineRule="auto"/>
        <w:rPr>
          <w:rFonts w:ascii="Times New Roman" w:eastAsia="宋体"/>
          <w:b w:val="0"/>
          <w:sz w:val="24"/>
          <w:szCs w:val="24"/>
        </w:rPr>
      </w:pPr>
      <w:r>
        <w:rPr>
          <w:rFonts w:ascii="Times New Roman" w:eastAsia="宋体"/>
          <w:b w:val="0"/>
          <w:sz w:val="24"/>
          <w:szCs w:val="24"/>
        </w:rPr>
        <w:t>I</w:t>
      </w:r>
      <w:r>
        <w:rPr>
          <w:rFonts w:ascii="Times New Roman" w:eastAsia="宋体" w:hint="eastAsia"/>
          <w:b w:val="0"/>
          <w:sz w:val="24"/>
          <w:szCs w:val="24"/>
        </w:rPr>
        <w:t xml:space="preserve">n </w:t>
      </w:r>
      <w:r>
        <w:rPr>
          <w:rFonts w:ascii="Times New Roman" w:eastAsia="宋体"/>
          <w:b w:val="0"/>
          <w:sz w:val="24"/>
          <w:szCs w:val="24"/>
        </w:rPr>
        <w:t>recent years, the electronic information industry in China has been transitioning from the low-end to the high-end of the industrial chain</w:t>
      </w:r>
      <w:r>
        <w:rPr>
          <w:rFonts w:ascii="Times New Roman" w:eastAsia="宋体" w:hint="eastAsia"/>
          <w:b w:val="0"/>
          <w:sz w:val="24"/>
          <w:szCs w:val="24"/>
        </w:rPr>
        <w:t>, with accelerating developments i</w:t>
      </w:r>
      <w:r>
        <w:rPr>
          <w:rFonts w:ascii="Times New Roman" w:eastAsia="宋体"/>
          <w:b w:val="0"/>
          <w:sz w:val="24"/>
          <w:szCs w:val="24"/>
        </w:rPr>
        <w:t>n terms of raised output, improved efficiency, and technological breakthrough</w:t>
      </w:r>
      <w:r>
        <w:rPr>
          <w:rFonts w:ascii="Times New Roman" w:eastAsia="宋体" w:hint="eastAsia"/>
          <w:b w:val="0"/>
          <w:sz w:val="24"/>
          <w:szCs w:val="24"/>
        </w:rPr>
        <w:t>s</w:t>
      </w:r>
      <w:r>
        <w:rPr>
          <w:rFonts w:ascii="Times New Roman" w:eastAsia="宋体"/>
          <w:b w:val="0"/>
          <w:sz w:val="24"/>
          <w:szCs w:val="24"/>
        </w:rPr>
        <w:t>. First, its production</w:t>
      </w:r>
      <w:r>
        <w:rPr>
          <w:rFonts w:ascii="Times New Roman" w:eastAsia="宋体" w:hint="eastAsia"/>
          <w:b w:val="0"/>
          <w:sz w:val="24"/>
          <w:szCs w:val="24"/>
        </w:rPr>
        <w:t xml:space="preserve"> gains</w:t>
      </w:r>
      <w:r>
        <w:rPr>
          <w:rFonts w:ascii="Times New Roman" w:eastAsia="宋体"/>
          <w:b w:val="0"/>
          <w:sz w:val="24"/>
          <w:szCs w:val="24"/>
        </w:rPr>
        <w:t xml:space="preserve"> </w:t>
      </w:r>
      <w:r>
        <w:rPr>
          <w:rFonts w:ascii="Times New Roman" w:eastAsia="宋体" w:hint="eastAsia"/>
          <w:b w:val="0"/>
          <w:sz w:val="24"/>
          <w:szCs w:val="24"/>
        </w:rPr>
        <w:t xml:space="preserve">have </w:t>
      </w:r>
      <w:r>
        <w:rPr>
          <w:rFonts w:ascii="Times New Roman" w:eastAsia="宋体"/>
          <w:b w:val="0"/>
          <w:sz w:val="24"/>
          <w:szCs w:val="24"/>
        </w:rPr>
        <w:t>take</w:t>
      </w:r>
      <w:r>
        <w:rPr>
          <w:rFonts w:ascii="Times New Roman" w:eastAsia="宋体" w:hint="eastAsia"/>
          <w:b w:val="0"/>
          <w:sz w:val="24"/>
          <w:szCs w:val="24"/>
        </w:rPr>
        <w:t>n</w:t>
      </w:r>
      <w:r>
        <w:rPr>
          <w:rFonts w:ascii="Times New Roman" w:eastAsia="宋体"/>
          <w:b w:val="0"/>
          <w:sz w:val="24"/>
          <w:szCs w:val="24"/>
        </w:rPr>
        <w:t xml:space="preserve"> the lead among all industries. From January to August in 2018, the value-added of statistically large electronic information firms increased </w:t>
      </w:r>
      <w:r>
        <w:rPr>
          <w:rFonts w:ascii="Times New Roman" w:eastAsia="宋体" w:hint="eastAsia"/>
          <w:b w:val="0"/>
          <w:sz w:val="24"/>
          <w:szCs w:val="24"/>
        </w:rPr>
        <w:t xml:space="preserve">by </w:t>
      </w:r>
      <w:r>
        <w:rPr>
          <w:rFonts w:ascii="Times New Roman" w:eastAsia="宋体"/>
          <w:b w:val="0"/>
          <w:sz w:val="24"/>
          <w:szCs w:val="24"/>
        </w:rPr>
        <w:t>13.3 percent year on year, faster than</w:t>
      </w:r>
      <w:r>
        <w:rPr>
          <w:rFonts w:ascii="Times New Roman" w:eastAsia="宋体" w:hint="eastAsia"/>
          <w:b w:val="0"/>
          <w:sz w:val="24"/>
          <w:szCs w:val="24"/>
        </w:rPr>
        <w:t xml:space="preserve"> the growth of </w:t>
      </w:r>
      <w:r>
        <w:rPr>
          <w:rFonts w:ascii="Times New Roman" w:eastAsia="宋体"/>
          <w:b w:val="0"/>
          <w:sz w:val="24"/>
          <w:szCs w:val="24"/>
        </w:rPr>
        <w:t xml:space="preserve">6.8 percent of all SLIFs. Specifically, the year-on-year increase in the value-added of </w:t>
      </w:r>
      <w:r>
        <w:rPr>
          <w:rFonts w:ascii="Times New Roman" w:eastAsia="宋体" w:hint="eastAsia"/>
          <w:b w:val="0"/>
          <w:sz w:val="24"/>
          <w:szCs w:val="24"/>
        </w:rPr>
        <w:t xml:space="preserve">the </w:t>
      </w:r>
      <w:r>
        <w:rPr>
          <w:rFonts w:ascii="Times New Roman" w:eastAsia="宋体"/>
          <w:b w:val="0"/>
          <w:sz w:val="24"/>
          <w:szCs w:val="24"/>
        </w:rPr>
        <w:t xml:space="preserve">communication equipment manufacturing, </w:t>
      </w:r>
      <w:r>
        <w:rPr>
          <w:rFonts w:ascii="Times New Roman" w:eastAsia="宋体" w:hint="eastAsia"/>
          <w:b w:val="0"/>
          <w:sz w:val="24"/>
          <w:szCs w:val="24"/>
        </w:rPr>
        <w:t xml:space="preserve">the </w:t>
      </w:r>
      <w:r>
        <w:rPr>
          <w:rFonts w:ascii="Times New Roman" w:eastAsia="宋体"/>
          <w:b w:val="0"/>
          <w:sz w:val="24"/>
          <w:szCs w:val="24"/>
        </w:rPr>
        <w:t xml:space="preserve">electronic device manufacturing, </w:t>
      </w:r>
      <w:r>
        <w:rPr>
          <w:rFonts w:ascii="Times New Roman" w:eastAsia="宋体" w:hint="eastAsia"/>
          <w:b w:val="0"/>
          <w:sz w:val="24"/>
          <w:szCs w:val="24"/>
        </w:rPr>
        <w:t xml:space="preserve">and the </w:t>
      </w:r>
      <w:r>
        <w:rPr>
          <w:rFonts w:ascii="Times New Roman" w:eastAsia="宋体"/>
          <w:b w:val="0"/>
          <w:sz w:val="24"/>
          <w:szCs w:val="24"/>
        </w:rPr>
        <w:t xml:space="preserve">electronic components and </w:t>
      </w:r>
      <w:r>
        <w:rPr>
          <w:rFonts w:ascii="Times New Roman" w:eastAsia="宋体" w:hint="eastAsia"/>
          <w:b w:val="0"/>
          <w:sz w:val="24"/>
          <w:szCs w:val="24"/>
        </w:rPr>
        <w:t xml:space="preserve">electronic </w:t>
      </w:r>
      <w:r>
        <w:rPr>
          <w:rFonts w:ascii="Times New Roman" w:eastAsia="宋体"/>
          <w:b w:val="0"/>
          <w:sz w:val="24"/>
          <w:szCs w:val="24"/>
        </w:rPr>
        <w:t xml:space="preserve">special material manufacturing industries increased </w:t>
      </w:r>
      <w:r>
        <w:rPr>
          <w:rFonts w:ascii="Times New Roman" w:eastAsia="宋体" w:hint="eastAsia"/>
          <w:b w:val="0"/>
          <w:sz w:val="24"/>
          <w:szCs w:val="24"/>
        </w:rPr>
        <w:t xml:space="preserve">by </w:t>
      </w:r>
      <w:r>
        <w:rPr>
          <w:rFonts w:ascii="Times New Roman" w:eastAsia="宋体"/>
          <w:b w:val="0"/>
          <w:sz w:val="24"/>
          <w:szCs w:val="24"/>
        </w:rPr>
        <w:t xml:space="preserve">14.7 percent, 15.3 percent, and 15.4 percent respectively. Second, </w:t>
      </w:r>
      <w:r>
        <w:rPr>
          <w:rFonts w:ascii="Times New Roman" w:eastAsia="宋体" w:hint="eastAsia"/>
          <w:b w:val="0"/>
          <w:sz w:val="24"/>
          <w:szCs w:val="24"/>
        </w:rPr>
        <w:t xml:space="preserve">the </w:t>
      </w:r>
      <w:r>
        <w:rPr>
          <w:rFonts w:ascii="Times New Roman" w:eastAsia="宋体"/>
          <w:b w:val="0"/>
          <w:sz w:val="24"/>
          <w:szCs w:val="24"/>
        </w:rPr>
        <w:t>industry’</w:t>
      </w:r>
      <w:r>
        <w:rPr>
          <w:rFonts w:ascii="Times New Roman" w:eastAsia="宋体" w:hint="eastAsia"/>
          <w:b w:val="0"/>
          <w:sz w:val="24"/>
          <w:szCs w:val="24"/>
        </w:rPr>
        <w:t>s</w:t>
      </w:r>
      <w:r>
        <w:rPr>
          <w:rFonts w:ascii="Times New Roman" w:eastAsia="宋体"/>
          <w:b w:val="0"/>
          <w:sz w:val="24"/>
          <w:szCs w:val="24"/>
        </w:rPr>
        <w:t xml:space="preserve"> efficiency has been further enhanced. In 201</w:t>
      </w:r>
      <w:r>
        <w:rPr>
          <w:rFonts w:ascii="Times New Roman" w:eastAsia="宋体" w:hint="eastAsia"/>
          <w:b w:val="0"/>
          <w:sz w:val="24"/>
          <w:szCs w:val="24"/>
        </w:rPr>
        <w:t>7</w:t>
      </w:r>
      <w:r>
        <w:rPr>
          <w:rFonts w:ascii="Times New Roman" w:eastAsia="宋体"/>
          <w:b w:val="0"/>
          <w:sz w:val="24"/>
          <w:szCs w:val="24"/>
        </w:rPr>
        <w:t xml:space="preserve">, </w:t>
      </w:r>
      <w:r>
        <w:rPr>
          <w:rFonts w:ascii="Times New Roman" w:eastAsia="宋体" w:hint="eastAsia"/>
          <w:b w:val="0"/>
          <w:sz w:val="24"/>
          <w:szCs w:val="24"/>
        </w:rPr>
        <w:t>it cost</w:t>
      </w:r>
      <w:r>
        <w:rPr>
          <w:rFonts w:ascii="Times New Roman" w:eastAsia="宋体"/>
          <w:b w:val="0"/>
          <w:sz w:val="24"/>
          <w:szCs w:val="24"/>
        </w:rPr>
        <w:t xml:space="preserve"> </w:t>
      </w:r>
      <w:r>
        <w:rPr>
          <w:rFonts w:ascii="Times New Roman" w:eastAsia="宋体" w:hint="eastAsia"/>
          <w:b w:val="0"/>
          <w:sz w:val="24"/>
          <w:szCs w:val="24"/>
        </w:rPr>
        <w:t xml:space="preserve">the </w:t>
      </w:r>
      <w:r>
        <w:rPr>
          <w:rFonts w:ascii="Times New Roman" w:eastAsia="宋体"/>
          <w:b w:val="0"/>
          <w:sz w:val="24"/>
          <w:szCs w:val="24"/>
        </w:rPr>
        <w:t xml:space="preserve">electronic information industry RMB 95.63 </w:t>
      </w:r>
      <w:r>
        <w:rPr>
          <w:rFonts w:ascii="Times New Roman" w:eastAsia="宋体" w:hint="eastAsia"/>
          <w:b w:val="0"/>
          <w:sz w:val="24"/>
          <w:szCs w:val="24"/>
        </w:rPr>
        <w:t>to generate</w:t>
      </w:r>
      <w:r>
        <w:rPr>
          <w:rFonts w:ascii="Times New Roman" w:eastAsia="宋体"/>
          <w:b w:val="0"/>
          <w:sz w:val="24"/>
          <w:szCs w:val="24"/>
        </w:rPr>
        <w:t xml:space="preserve"> RMB 100 of </w:t>
      </w:r>
      <w:r>
        <w:rPr>
          <w:rFonts w:ascii="Times New Roman" w:eastAsia="宋体" w:hint="eastAsia"/>
          <w:b w:val="0"/>
          <w:sz w:val="24"/>
          <w:szCs w:val="24"/>
        </w:rPr>
        <w:t xml:space="preserve">revenue from </w:t>
      </w:r>
      <w:r>
        <w:rPr>
          <w:rFonts w:ascii="Times New Roman" w:eastAsia="宋体"/>
          <w:b w:val="0"/>
          <w:sz w:val="24"/>
          <w:szCs w:val="24"/>
        </w:rPr>
        <w:t>its</w:t>
      </w:r>
      <w:r>
        <w:rPr>
          <w:rFonts w:ascii="Times New Roman" w:eastAsia="宋体" w:hint="eastAsia"/>
          <w:b w:val="0"/>
          <w:sz w:val="24"/>
          <w:szCs w:val="24"/>
        </w:rPr>
        <w:t xml:space="preserve"> </w:t>
      </w:r>
      <w:r>
        <w:rPr>
          <w:rFonts w:ascii="Times New Roman" w:eastAsia="宋体"/>
          <w:b w:val="0"/>
          <w:sz w:val="24"/>
          <w:szCs w:val="24"/>
        </w:rPr>
        <w:t xml:space="preserve">main </w:t>
      </w:r>
      <w:r>
        <w:rPr>
          <w:rFonts w:ascii="Times New Roman" w:eastAsia="宋体"/>
          <w:b w:val="0"/>
          <w:sz w:val="24"/>
          <w:szCs w:val="24"/>
        </w:rPr>
        <w:lastRenderedPageBreak/>
        <w:t xml:space="preserve">operations, </w:t>
      </w:r>
      <w:r>
        <w:rPr>
          <w:rFonts w:ascii="Times New Roman" w:eastAsia="宋体" w:hint="eastAsia"/>
          <w:b w:val="0"/>
          <w:sz w:val="24"/>
          <w:szCs w:val="24"/>
        </w:rPr>
        <w:t xml:space="preserve">a further drop of </w:t>
      </w:r>
      <w:r>
        <w:rPr>
          <w:rFonts w:ascii="Times New Roman" w:eastAsia="宋体"/>
          <w:b w:val="0"/>
          <w:sz w:val="24"/>
          <w:szCs w:val="24"/>
        </w:rPr>
        <w:t xml:space="preserve">RMB 0.24 from 2016. Per capita revenue </w:t>
      </w:r>
      <w:r>
        <w:rPr>
          <w:rFonts w:ascii="Times New Roman" w:eastAsia="宋体" w:hint="eastAsia"/>
          <w:b w:val="0"/>
          <w:sz w:val="24"/>
          <w:szCs w:val="24"/>
        </w:rPr>
        <w:t xml:space="preserve">from </w:t>
      </w:r>
      <w:r>
        <w:rPr>
          <w:rFonts w:ascii="Times New Roman" w:eastAsia="宋体"/>
          <w:b w:val="0"/>
          <w:sz w:val="24"/>
          <w:szCs w:val="24"/>
        </w:rPr>
        <w:t>its</w:t>
      </w:r>
      <w:r>
        <w:rPr>
          <w:rFonts w:ascii="Times New Roman" w:eastAsia="宋体" w:hint="eastAsia"/>
          <w:b w:val="0"/>
          <w:sz w:val="24"/>
          <w:szCs w:val="24"/>
        </w:rPr>
        <w:t xml:space="preserve"> </w:t>
      </w:r>
      <w:r>
        <w:rPr>
          <w:rFonts w:ascii="Times New Roman" w:eastAsia="宋体"/>
          <w:b w:val="0"/>
          <w:sz w:val="24"/>
          <w:szCs w:val="24"/>
        </w:rPr>
        <w:t>main operation</w:t>
      </w:r>
      <w:r>
        <w:rPr>
          <w:rFonts w:ascii="Times New Roman" w:eastAsia="宋体" w:hint="eastAsia"/>
          <w:b w:val="0"/>
          <w:sz w:val="24"/>
          <w:szCs w:val="24"/>
        </w:rPr>
        <w:t>s</w:t>
      </w:r>
      <w:r>
        <w:rPr>
          <w:rFonts w:ascii="Times New Roman" w:eastAsia="宋体"/>
          <w:b w:val="0"/>
          <w:sz w:val="24"/>
          <w:szCs w:val="24"/>
        </w:rPr>
        <w:t xml:space="preserve"> reached RMB 1.198 million, a year-on-year increase of RMB 112,000. Third, preliminary breakthroughs </w:t>
      </w:r>
      <w:r>
        <w:rPr>
          <w:rFonts w:ascii="Times New Roman" w:eastAsia="宋体" w:hint="eastAsia"/>
          <w:b w:val="0"/>
          <w:sz w:val="24"/>
          <w:szCs w:val="24"/>
        </w:rPr>
        <w:t>have been</w:t>
      </w:r>
      <w:r>
        <w:rPr>
          <w:rFonts w:ascii="Times New Roman" w:eastAsia="宋体"/>
          <w:b w:val="0"/>
          <w:sz w:val="24"/>
          <w:szCs w:val="24"/>
        </w:rPr>
        <w:t xml:space="preserve"> made in some key technologies, </w:t>
      </w:r>
      <w:r>
        <w:rPr>
          <w:rFonts w:ascii="Times New Roman" w:eastAsia="宋体" w:hint="eastAsia"/>
          <w:b w:val="0"/>
          <w:sz w:val="24"/>
          <w:szCs w:val="24"/>
        </w:rPr>
        <w:t>representing the highest level in the</w:t>
      </w:r>
      <w:r>
        <w:rPr>
          <w:rFonts w:ascii="Times New Roman" w:eastAsia="宋体"/>
          <w:b w:val="0"/>
          <w:sz w:val="24"/>
          <w:szCs w:val="24"/>
        </w:rPr>
        <w:t xml:space="preserve"> world’s electronic information industry</w:t>
      </w:r>
      <w:r>
        <w:rPr>
          <w:rFonts w:ascii="Times New Roman" w:eastAsia="宋体" w:hint="eastAsia"/>
          <w:b w:val="0"/>
          <w:sz w:val="24"/>
          <w:szCs w:val="24"/>
        </w:rPr>
        <w:t>,</w:t>
      </w:r>
      <w:r>
        <w:rPr>
          <w:rFonts w:ascii="Times New Roman" w:eastAsia="宋体"/>
          <w:b w:val="0"/>
          <w:sz w:val="24"/>
          <w:szCs w:val="24"/>
        </w:rPr>
        <w:t xml:space="preserve"> such as core electronic components, high-end universal chips, and elementary software products. From </w:t>
      </w:r>
      <w:r>
        <w:rPr>
          <w:rFonts w:ascii="Times New Roman" w:eastAsia="宋体" w:hint="eastAsia"/>
          <w:b w:val="0"/>
          <w:sz w:val="24"/>
          <w:szCs w:val="24"/>
        </w:rPr>
        <w:t>2016 when</w:t>
      </w:r>
      <w:r>
        <w:rPr>
          <w:rFonts w:ascii="Times New Roman" w:eastAsia="宋体"/>
          <w:b w:val="0"/>
          <w:sz w:val="24"/>
          <w:szCs w:val="24"/>
        </w:rPr>
        <w:t xml:space="preserve"> the National Science and Technology Major Project “Core Electronic Components, High-end Universal Chips, and Elementary Software Products” </w:t>
      </w:r>
      <w:r>
        <w:rPr>
          <w:rFonts w:ascii="Times New Roman" w:eastAsia="宋体" w:hint="eastAsia"/>
          <w:b w:val="0"/>
          <w:sz w:val="24"/>
          <w:szCs w:val="24"/>
        </w:rPr>
        <w:t xml:space="preserve">was implemented </w:t>
      </w:r>
      <w:r>
        <w:rPr>
          <w:rFonts w:ascii="Times New Roman" w:eastAsia="宋体"/>
          <w:b w:val="0"/>
          <w:sz w:val="24"/>
          <w:szCs w:val="24"/>
        </w:rPr>
        <w:t xml:space="preserve">to the end of 2017, the self-sufficiency rate of core electronic components </w:t>
      </w:r>
      <w:r>
        <w:rPr>
          <w:rFonts w:ascii="Times New Roman" w:eastAsia="宋体" w:hint="eastAsia"/>
          <w:b w:val="0"/>
          <w:sz w:val="24"/>
          <w:szCs w:val="24"/>
        </w:rPr>
        <w:t>increased</w:t>
      </w:r>
      <w:r>
        <w:rPr>
          <w:rFonts w:ascii="Times New Roman" w:eastAsia="宋体"/>
          <w:b w:val="0"/>
          <w:sz w:val="24"/>
          <w:szCs w:val="24"/>
        </w:rPr>
        <w:t xml:space="preserve"> from less than 30 percent to above 85 percent. Domestic embedded CPUs have entered into </w:t>
      </w:r>
      <w:r>
        <w:rPr>
          <w:rFonts w:ascii="Times New Roman" w:eastAsia="宋体" w:hint="eastAsia"/>
          <w:b w:val="0"/>
          <w:sz w:val="24"/>
          <w:szCs w:val="24"/>
        </w:rPr>
        <w:t xml:space="preserve">mass </w:t>
      </w:r>
      <w:r>
        <w:rPr>
          <w:rFonts w:ascii="Times New Roman" w:eastAsia="宋体"/>
          <w:b w:val="0"/>
          <w:sz w:val="24"/>
          <w:szCs w:val="24"/>
        </w:rPr>
        <w:t>production based on our own research and development achievements. In the field of elementary software products, the</w:t>
      </w:r>
      <w:r>
        <w:rPr>
          <w:rFonts w:ascii="Times New Roman" w:eastAsia="宋体" w:hint="eastAsia"/>
          <w:b w:val="0"/>
          <w:sz w:val="24"/>
          <w:szCs w:val="24"/>
        </w:rPr>
        <w:t xml:space="preserve"> number of</w:t>
      </w:r>
      <w:r>
        <w:rPr>
          <w:rFonts w:ascii="Times New Roman" w:eastAsia="宋体"/>
          <w:b w:val="0"/>
          <w:sz w:val="24"/>
          <w:szCs w:val="24"/>
        </w:rPr>
        <w:t xml:space="preserve"> </w:t>
      </w:r>
      <w:r>
        <w:rPr>
          <w:rFonts w:ascii="Times New Roman" w:eastAsia="宋体" w:hint="eastAsia"/>
          <w:b w:val="0"/>
          <w:sz w:val="24"/>
          <w:szCs w:val="24"/>
        </w:rPr>
        <w:t>terminals using</w:t>
      </w:r>
      <w:r>
        <w:rPr>
          <w:rFonts w:ascii="Times New Roman" w:eastAsia="宋体"/>
          <w:b w:val="0"/>
          <w:sz w:val="24"/>
          <w:szCs w:val="24"/>
        </w:rPr>
        <w:t xml:space="preserve"> domestic intelligence operation</w:t>
      </w:r>
      <w:r>
        <w:rPr>
          <w:rFonts w:ascii="Times New Roman" w:eastAsia="宋体" w:hint="eastAsia"/>
          <w:b w:val="0"/>
          <w:sz w:val="24"/>
          <w:szCs w:val="24"/>
        </w:rPr>
        <w:t>s</w:t>
      </w:r>
      <w:r>
        <w:rPr>
          <w:rFonts w:ascii="Times New Roman" w:eastAsia="宋体"/>
          <w:b w:val="0"/>
          <w:sz w:val="24"/>
          <w:szCs w:val="24"/>
        </w:rPr>
        <w:t xml:space="preserve"> systems </w:t>
      </w:r>
      <w:r>
        <w:rPr>
          <w:rFonts w:ascii="Times New Roman" w:eastAsia="宋体" w:hint="eastAsia"/>
          <w:b w:val="0"/>
          <w:sz w:val="24"/>
          <w:szCs w:val="24"/>
        </w:rPr>
        <w:t>has</w:t>
      </w:r>
      <w:r>
        <w:rPr>
          <w:rFonts w:ascii="Times New Roman" w:eastAsia="宋体"/>
          <w:b w:val="0"/>
          <w:sz w:val="24"/>
          <w:szCs w:val="24"/>
        </w:rPr>
        <w:t xml:space="preserve"> exceeded 100 million, and the number of active users of domestic mobile browsers has exceeded 500 million. </w:t>
      </w:r>
    </w:p>
    <w:p w:rsidR="005A0958" w:rsidRDefault="005A0958" w:rsidP="005A0958">
      <w:pPr>
        <w:widowControl/>
        <w:spacing w:line="360" w:lineRule="auto"/>
        <w:rPr>
          <w:sz w:val="24"/>
        </w:rPr>
      </w:pPr>
    </w:p>
    <w:p w:rsidR="005A0958" w:rsidRDefault="005A0958" w:rsidP="005A0958">
      <w:pPr>
        <w:widowControl/>
        <w:spacing w:line="360" w:lineRule="auto"/>
        <w:rPr>
          <w:sz w:val="24"/>
        </w:rPr>
      </w:pPr>
      <w:r>
        <w:rPr>
          <w:rFonts w:hint="eastAsia"/>
          <w:sz w:val="24"/>
        </w:rPr>
        <w:t>S</w:t>
      </w:r>
      <w:r>
        <w:rPr>
          <w:sz w:val="24"/>
        </w:rPr>
        <w:t>ustainable development of the electronic information industry in China still faces numerous challenges. First, the</w:t>
      </w:r>
      <w:r>
        <w:rPr>
          <w:rFonts w:hint="eastAsia"/>
          <w:sz w:val="24"/>
        </w:rPr>
        <w:t xml:space="preserve">re is </w:t>
      </w:r>
      <w:r>
        <w:rPr>
          <w:sz w:val="24"/>
        </w:rPr>
        <w:t xml:space="preserve">a </w:t>
      </w:r>
      <w:r>
        <w:rPr>
          <w:rFonts w:hint="eastAsia"/>
          <w:sz w:val="24"/>
        </w:rPr>
        <w:t>relative excess capacity in the</w:t>
      </w:r>
      <w:r>
        <w:rPr>
          <w:sz w:val="24"/>
        </w:rPr>
        <w:t xml:space="preserve"> production capacity of the </w:t>
      </w:r>
      <w:hyperlink r:id="rId14" w:anchor="keyfrom=E2Ctranslation" w:history="1">
        <w:r>
          <w:rPr>
            <w:sz w:val="24"/>
          </w:rPr>
          <w:t>electronic appliances industry</w:t>
        </w:r>
      </w:hyperlink>
      <w:r>
        <w:rPr>
          <w:sz w:val="24"/>
        </w:rPr>
        <w:t xml:space="preserve">. In 2017, </w:t>
      </w:r>
      <w:r>
        <w:rPr>
          <w:rFonts w:hint="eastAsia"/>
          <w:sz w:val="24"/>
        </w:rPr>
        <w:t xml:space="preserve">94.7 percent </w:t>
      </w:r>
      <w:r>
        <w:rPr>
          <w:sz w:val="24"/>
        </w:rPr>
        <w:t xml:space="preserve">of electronic appliances </w:t>
      </w:r>
      <w:r>
        <w:rPr>
          <w:rFonts w:hint="eastAsia"/>
          <w:sz w:val="24"/>
        </w:rPr>
        <w:t>were sold</w:t>
      </w:r>
      <w:r>
        <w:rPr>
          <w:sz w:val="24"/>
        </w:rPr>
        <w:t>, down</w:t>
      </w:r>
      <w:r>
        <w:rPr>
          <w:rFonts w:hint="eastAsia"/>
          <w:sz w:val="24"/>
        </w:rPr>
        <w:t xml:space="preserve"> by</w:t>
      </w:r>
      <w:r>
        <w:rPr>
          <w:sz w:val="24"/>
        </w:rPr>
        <w:t xml:space="preserve"> 0.3 percent year on year. Second, the domestic supply of high-end products, such as integrated circuits, is insufficient. In 2017, the </w:t>
      </w:r>
      <w:r>
        <w:rPr>
          <w:rFonts w:hint="eastAsia"/>
          <w:sz w:val="24"/>
        </w:rPr>
        <w:t>output</w:t>
      </w:r>
      <w:r>
        <w:rPr>
          <w:sz w:val="24"/>
        </w:rPr>
        <w:t xml:space="preserve"> of integrated circuits in China accounted for less than 7 percent of the world’s total, while</w:t>
      </w:r>
      <w:r>
        <w:rPr>
          <w:rFonts w:hint="eastAsia"/>
          <w:sz w:val="24"/>
        </w:rPr>
        <w:t xml:space="preserve"> </w:t>
      </w:r>
      <w:r>
        <w:rPr>
          <w:sz w:val="24"/>
        </w:rPr>
        <w:t xml:space="preserve">market demand </w:t>
      </w:r>
      <w:r>
        <w:rPr>
          <w:rFonts w:hint="eastAsia"/>
          <w:sz w:val="24"/>
        </w:rPr>
        <w:t>wa</w:t>
      </w:r>
      <w:r>
        <w:rPr>
          <w:sz w:val="24"/>
        </w:rPr>
        <w:t>s about one-third of the world’s total</w:t>
      </w:r>
      <w:r>
        <w:rPr>
          <w:rFonts w:hint="eastAsia"/>
          <w:sz w:val="24"/>
        </w:rPr>
        <w:t xml:space="preserve">, resulting therefore in </w:t>
      </w:r>
      <w:r>
        <w:rPr>
          <w:sz w:val="24"/>
        </w:rPr>
        <w:t xml:space="preserve">a </w:t>
      </w:r>
      <w:r>
        <w:rPr>
          <w:rFonts w:hint="eastAsia"/>
          <w:sz w:val="24"/>
        </w:rPr>
        <w:t xml:space="preserve">heavy reliance on imports to </w:t>
      </w:r>
      <w:r>
        <w:rPr>
          <w:sz w:val="24"/>
        </w:rPr>
        <w:t xml:space="preserve">fill the gap. The volume of imported integrated circuits accounted </w:t>
      </w:r>
      <w:r>
        <w:rPr>
          <w:rFonts w:hint="eastAsia"/>
          <w:sz w:val="24"/>
        </w:rPr>
        <w:t>for</w:t>
      </w:r>
      <w:r>
        <w:rPr>
          <w:sz w:val="24"/>
        </w:rPr>
        <w:t xml:space="preserve"> 14.1 percent of the total imports in 2017. Third, there is a large gap between the developed countries and China in terms of </w:t>
      </w:r>
      <w:r>
        <w:rPr>
          <w:rFonts w:hint="eastAsia"/>
          <w:sz w:val="24"/>
        </w:rPr>
        <w:t>R</w:t>
      </w:r>
      <w:r>
        <w:rPr>
          <w:sz w:val="24"/>
        </w:rPr>
        <w:t>&amp;</w:t>
      </w:r>
      <w:r>
        <w:rPr>
          <w:rFonts w:hint="eastAsia"/>
          <w:sz w:val="24"/>
        </w:rPr>
        <w:t>D</w:t>
      </w:r>
      <w:r>
        <w:rPr>
          <w:sz w:val="24"/>
        </w:rPr>
        <w:t xml:space="preserve"> inputs. In 2017, </w:t>
      </w:r>
      <w:r>
        <w:rPr>
          <w:rFonts w:hint="eastAsia"/>
          <w:sz w:val="24"/>
        </w:rPr>
        <w:t xml:space="preserve">revenue from the </w:t>
      </w:r>
      <w:r>
        <w:rPr>
          <w:sz w:val="24"/>
        </w:rPr>
        <w:t>main operation</w:t>
      </w:r>
      <w:r>
        <w:rPr>
          <w:rFonts w:hint="eastAsia"/>
          <w:sz w:val="24"/>
        </w:rPr>
        <w:t>s</w:t>
      </w:r>
      <w:r>
        <w:rPr>
          <w:sz w:val="24"/>
        </w:rPr>
        <w:t xml:space="preserve"> of the top 100 electronic information enterprises in China exceeded RMB 3 trillion, whereas their </w:t>
      </w:r>
      <w:r>
        <w:rPr>
          <w:rFonts w:hint="eastAsia"/>
          <w:sz w:val="24"/>
        </w:rPr>
        <w:t>R&amp;D</w:t>
      </w:r>
      <w:r>
        <w:rPr>
          <w:sz w:val="24"/>
        </w:rPr>
        <w:t xml:space="preserve"> inputs only totaled RMB 189 billion. </w:t>
      </w:r>
    </w:p>
    <w:p w:rsidR="005A0958" w:rsidRDefault="005A0958" w:rsidP="005A0958">
      <w:pPr>
        <w:widowControl/>
        <w:spacing w:line="360" w:lineRule="auto"/>
        <w:rPr>
          <w:sz w:val="24"/>
        </w:rPr>
      </w:pPr>
    </w:p>
    <w:p w:rsidR="00E86627" w:rsidRPr="005A0958" w:rsidRDefault="005A0958" w:rsidP="005A0958">
      <w:pPr>
        <w:widowControl/>
        <w:spacing w:line="360" w:lineRule="auto"/>
        <w:rPr>
          <w:sz w:val="24"/>
        </w:rPr>
      </w:pPr>
      <w:r>
        <w:rPr>
          <w:rFonts w:hint="eastAsia"/>
          <w:sz w:val="24"/>
        </w:rPr>
        <w:t>Going forward</w:t>
      </w:r>
      <w:r>
        <w:rPr>
          <w:sz w:val="24"/>
        </w:rPr>
        <w:t>, efforts should be made to adhere to the supply-side structural reform</w:t>
      </w:r>
      <w:r>
        <w:rPr>
          <w:rFonts w:hint="eastAsia"/>
          <w:sz w:val="24"/>
        </w:rPr>
        <w:t>s</w:t>
      </w:r>
      <w:r>
        <w:rPr>
          <w:sz w:val="24"/>
        </w:rPr>
        <w:t xml:space="preserve">, improve intellectual property rights </w:t>
      </w:r>
      <w:r>
        <w:rPr>
          <w:rFonts w:hint="eastAsia"/>
          <w:sz w:val="24"/>
        </w:rPr>
        <w:t xml:space="preserve">(IPR) </w:t>
      </w:r>
      <w:r>
        <w:rPr>
          <w:sz w:val="24"/>
        </w:rPr>
        <w:t xml:space="preserve">protection, encourage competition, foster a </w:t>
      </w:r>
      <w:r>
        <w:rPr>
          <w:sz w:val="24"/>
        </w:rPr>
        <w:lastRenderedPageBreak/>
        <w:t xml:space="preserve">favorable business environment, continuously encourage the vitality of micro entities, </w:t>
      </w:r>
      <w:r>
        <w:rPr>
          <w:rFonts w:hint="eastAsia"/>
          <w:sz w:val="24"/>
        </w:rPr>
        <w:t xml:space="preserve">the </w:t>
      </w:r>
      <w:r>
        <w:rPr>
          <w:sz w:val="24"/>
        </w:rPr>
        <w:t xml:space="preserve">private </w:t>
      </w:r>
      <w:r>
        <w:rPr>
          <w:rFonts w:hint="eastAsia"/>
          <w:sz w:val="24"/>
        </w:rPr>
        <w:t>sector</w:t>
      </w:r>
      <w:r>
        <w:rPr>
          <w:sz w:val="24"/>
        </w:rPr>
        <w:t xml:space="preserve"> in particular, and increase inputs into the electronic information industry. Intellectual property rights protection should be enhanced. </w:t>
      </w:r>
      <w:r>
        <w:rPr>
          <w:rFonts w:hint="eastAsia"/>
          <w:sz w:val="24"/>
        </w:rPr>
        <w:t>Efforts should be made to strike a balance</w:t>
      </w:r>
      <w:r>
        <w:rPr>
          <w:sz w:val="24"/>
        </w:rPr>
        <w:t xml:space="preserve"> among </w:t>
      </w:r>
      <w:r>
        <w:rPr>
          <w:rFonts w:hint="eastAsia"/>
          <w:sz w:val="24"/>
        </w:rPr>
        <w:t xml:space="preserve">investments, ownership, </w:t>
      </w:r>
      <w:r>
        <w:rPr>
          <w:sz w:val="24"/>
        </w:rPr>
        <w:t xml:space="preserve">and </w:t>
      </w:r>
      <w:r>
        <w:rPr>
          <w:rFonts w:hint="eastAsia"/>
          <w:sz w:val="24"/>
        </w:rPr>
        <w:t>application</w:t>
      </w:r>
      <w:r>
        <w:rPr>
          <w:sz w:val="24"/>
        </w:rPr>
        <w:t xml:space="preserve"> and profit </w:t>
      </w:r>
      <w:r>
        <w:rPr>
          <w:rFonts w:hint="eastAsia"/>
          <w:sz w:val="24"/>
        </w:rPr>
        <w:t>allocation</w:t>
      </w:r>
      <w:r>
        <w:rPr>
          <w:sz w:val="24"/>
        </w:rPr>
        <w:t>s of intellectual property rights</w:t>
      </w:r>
      <w:r>
        <w:rPr>
          <w:rFonts w:hint="eastAsia"/>
          <w:sz w:val="24"/>
        </w:rPr>
        <w:t>.</w:t>
      </w:r>
      <w:r>
        <w:rPr>
          <w:sz w:val="24"/>
        </w:rPr>
        <w:t xml:space="preserve"> </w:t>
      </w:r>
      <w:r>
        <w:rPr>
          <w:rFonts w:hint="eastAsia"/>
          <w:sz w:val="24"/>
        </w:rPr>
        <w:t>Investment</w:t>
      </w:r>
      <w:r>
        <w:rPr>
          <w:sz w:val="24"/>
        </w:rPr>
        <w:t xml:space="preserve">s </w:t>
      </w:r>
      <w:r>
        <w:rPr>
          <w:rFonts w:hint="eastAsia"/>
          <w:sz w:val="24"/>
        </w:rPr>
        <w:t>in forms of i</w:t>
      </w:r>
      <w:r>
        <w:rPr>
          <w:sz w:val="24"/>
        </w:rPr>
        <w:t xml:space="preserve">nnovation, creation, and technology should be encouraged. Efforts should made to establish a market-oriented mechanism for </w:t>
      </w:r>
      <w:r>
        <w:rPr>
          <w:rFonts w:hint="eastAsia"/>
          <w:sz w:val="24"/>
        </w:rPr>
        <w:t>selection, budgeting</w:t>
      </w:r>
      <w:r>
        <w:rPr>
          <w:sz w:val="24"/>
        </w:rPr>
        <w:t>,</w:t>
      </w:r>
      <w:r>
        <w:rPr>
          <w:rFonts w:hint="eastAsia"/>
          <w:sz w:val="24"/>
        </w:rPr>
        <w:t xml:space="preserve"> and outcome assessment</w:t>
      </w:r>
      <w:r>
        <w:rPr>
          <w:sz w:val="24"/>
        </w:rPr>
        <w:t>s</w:t>
      </w:r>
      <w:r>
        <w:rPr>
          <w:rFonts w:hint="eastAsia"/>
          <w:sz w:val="24"/>
        </w:rPr>
        <w:t xml:space="preserve"> of </w:t>
      </w:r>
      <w:r>
        <w:rPr>
          <w:sz w:val="24"/>
        </w:rPr>
        <w:t>technological innovation projects</w:t>
      </w:r>
      <w:r>
        <w:rPr>
          <w:rFonts w:hint="eastAsia"/>
          <w:sz w:val="24"/>
        </w:rPr>
        <w:t xml:space="preserve"> to </w:t>
      </w:r>
      <w:r>
        <w:rPr>
          <w:sz w:val="24"/>
        </w:rPr>
        <w:t xml:space="preserve">accelerate the </w:t>
      </w:r>
      <w:r>
        <w:rPr>
          <w:rFonts w:hint="eastAsia"/>
          <w:sz w:val="24"/>
        </w:rPr>
        <w:t>transfer</w:t>
      </w:r>
      <w:r>
        <w:rPr>
          <w:sz w:val="24"/>
        </w:rPr>
        <w:t xml:space="preserve"> and the </w:t>
      </w:r>
      <w:r>
        <w:rPr>
          <w:rFonts w:hint="eastAsia"/>
          <w:sz w:val="24"/>
        </w:rPr>
        <w:t>putting into production</w:t>
      </w:r>
      <w:r>
        <w:rPr>
          <w:sz w:val="24"/>
        </w:rPr>
        <w:t xml:space="preserve"> of scientific </w:t>
      </w:r>
      <w:r>
        <w:rPr>
          <w:rFonts w:hint="eastAsia"/>
          <w:sz w:val="24"/>
        </w:rPr>
        <w:t>research outcomes</w:t>
      </w:r>
      <w:r>
        <w:rPr>
          <w:sz w:val="24"/>
        </w:rPr>
        <w:t xml:space="preserve"> and to form a positive incentive mechanism for management and innovation.</w:t>
      </w:r>
      <w:r>
        <w:rPr>
          <w:rFonts w:hint="eastAsia"/>
          <w:sz w:val="24"/>
        </w:rPr>
        <w:t xml:space="preserve"> Progress should be made </w:t>
      </w:r>
      <w:r>
        <w:rPr>
          <w:sz w:val="24"/>
        </w:rPr>
        <w:t>to turn</w:t>
      </w:r>
      <w:r>
        <w:rPr>
          <w:rFonts w:hint="eastAsia"/>
          <w:sz w:val="24"/>
        </w:rPr>
        <w:t xml:space="preserve"> scientific achievements into service industries, intellectual property rights, productive legal services</w:t>
      </w:r>
      <w:r>
        <w:rPr>
          <w:sz w:val="24"/>
        </w:rPr>
        <w:t>,</w:t>
      </w:r>
      <w:r>
        <w:rPr>
          <w:rFonts w:hint="eastAsia"/>
          <w:sz w:val="24"/>
        </w:rPr>
        <w:t xml:space="preserve"> and the</w:t>
      </w:r>
      <w:r>
        <w:rPr>
          <w:sz w:val="24"/>
        </w:rPr>
        <w:t xml:space="preserve"> inspection and testing standards measurement services industry. Through the expansion of quantity and the enhancement of quality in the produc</w:t>
      </w:r>
      <w:r>
        <w:rPr>
          <w:rFonts w:hint="eastAsia"/>
          <w:sz w:val="24"/>
        </w:rPr>
        <w:t>tive</w:t>
      </w:r>
      <w:r>
        <w:rPr>
          <w:sz w:val="24"/>
        </w:rPr>
        <w:t xml:space="preserve"> services industry, the efficiency of production, </w:t>
      </w:r>
      <w:r>
        <w:rPr>
          <w:rFonts w:hint="eastAsia"/>
          <w:sz w:val="24"/>
        </w:rPr>
        <w:t>R&amp;D</w:t>
      </w:r>
      <w:r>
        <w:rPr>
          <w:sz w:val="24"/>
        </w:rPr>
        <w:t xml:space="preserve">, and international competitiveness of the electronic information industry shall be improved. Efforts will be made to </w:t>
      </w:r>
      <w:r>
        <w:rPr>
          <w:rFonts w:hint="eastAsia"/>
          <w:sz w:val="24"/>
        </w:rPr>
        <w:t>improve</w:t>
      </w:r>
      <w:r>
        <w:rPr>
          <w:sz w:val="24"/>
        </w:rPr>
        <w:t xml:space="preserve"> the training, </w:t>
      </w:r>
      <w:r>
        <w:rPr>
          <w:rFonts w:hint="eastAsia"/>
          <w:sz w:val="24"/>
        </w:rPr>
        <w:t>recruitment</w:t>
      </w:r>
      <w:r>
        <w:rPr>
          <w:sz w:val="24"/>
        </w:rPr>
        <w:t xml:space="preserve">, and employment mechanism for high-end </w:t>
      </w:r>
      <w:r>
        <w:rPr>
          <w:rFonts w:hint="eastAsia"/>
          <w:sz w:val="24"/>
        </w:rPr>
        <w:t>innovation-oriented</w:t>
      </w:r>
      <w:r>
        <w:rPr>
          <w:sz w:val="24"/>
        </w:rPr>
        <w:t xml:space="preserve"> talent and to promote the overall development and use of </w:t>
      </w:r>
      <w:r>
        <w:rPr>
          <w:rFonts w:hint="eastAsia"/>
          <w:sz w:val="24"/>
        </w:rPr>
        <w:t>human</w:t>
      </w:r>
      <w:r>
        <w:rPr>
          <w:sz w:val="24"/>
        </w:rPr>
        <w:t xml:space="preserve"> resources in the electronic information industry.</w:t>
      </w:r>
    </w:p>
    <w:p w:rsidR="005A0958" w:rsidRDefault="005A0958" w:rsidP="002E7312">
      <w:pPr>
        <w:keepNext/>
        <w:keepLines/>
        <w:tabs>
          <w:tab w:val="center" w:pos="4153"/>
        </w:tabs>
        <w:spacing w:beforeLines="100" w:afterLines="100" w:line="360" w:lineRule="auto"/>
        <w:outlineLvl w:val="0"/>
        <w:rPr>
          <w:b/>
          <w:sz w:val="28"/>
        </w:rPr>
      </w:pPr>
      <w:r>
        <w:rPr>
          <w:b/>
          <w:sz w:val="28"/>
        </w:rPr>
        <w:tab/>
      </w:r>
      <w:bookmarkStart w:id="109" w:name="_Toc532201097"/>
      <w:r>
        <w:rPr>
          <w:b/>
          <w:sz w:val="28"/>
        </w:rPr>
        <w:t>Part 5. Monetary-Policy Stance to be Adopted during the Next Stage</w:t>
      </w:r>
      <w:bookmarkEnd w:id="109"/>
    </w:p>
    <w:p w:rsidR="006C05F2" w:rsidRDefault="00566343" w:rsidP="006C05F2">
      <w:pPr>
        <w:keepNext/>
        <w:keepLines/>
        <w:widowControl/>
        <w:adjustRightInd w:val="0"/>
        <w:spacing w:line="360" w:lineRule="auto"/>
        <w:outlineLvl w:val="1"/>
        <w:rPr>
          <w:b/>
          <w:sz w:val="24"/>
        </w:rPr>
      </w:pPr>
      <w:bookmarkStart w:id="110" w:name="_Toc532201098"/>
      <w:r>
        <w:rPr>
          <w:b/>
          <w:sz w:val="24"/>
        </w:rPr>
        <w:t>I</w:t>
      </w:r>
      <w:r w:rsidR="006C05F2">
        <w:rPr>
          <w:b/>
          <w:sz w:val="24"/>
        </w:rPr>
        <w:t>.Outlook for the Chinese economy</w:t>
      </w:r>
      <w:bookmarkEnd w:id="110"/>
    </w:p>
    <w:p w:rsidR="005A0958" w:rsidRDefault="005A0958" w:rsidP="005A0958">
      <w:pPr>
        <w:pStyle w:val="p0"/>
        <w:spacing w:line="360" w:lineRule="auto"/>
        <w:rPr>
          <w:kern w:val="2"/>
          <w:sz w:val="24"/>
          <w:szCs w:val="24"/>
        </w:rPr>
      </w:pPr>
      <w:r>
        <w:rPr>
          <w:b/>
          <w:kern w:val="2"/>
          <w:sz w:val="24"/>
          <w:szCs w:val="24"/>
        </w:rPr>
        <w:t xml:space="preserve">During the next period, several favorable factors will support sound growth of the Chinese economy. </w:t>
      </w:r>
      <w:r>
        <w:rPr>
          <w:kern w:val="2"/>
          <w:sz w:val="24"/>
          <w:szCs w:val="24"/>
        </w:rPr>
        <w:t xml:space="preserve">The global </w:t>
      </w:r>
      <w:r>
        <w:rPr>
          <w:rFonts w:hint="eastAsia"/>
          <w:kern w:val="2"/>
          <w:sz w:val="24"/>
          <w:szCs w:val="24"/>
        </w:rPr>
        <w:t>economy is expected to further recover and maintain relatively rapid growth.</w:t>
      </w:r>
      <w:r>
        <w:rPr>
          <w:kern w:val="2"/>
          <w:sz w:val="24"/>
          <w:szCs w:val="24"/>
        </w:rPr>
        <w:t xml:space="preserve"> The Chinese economy is resilient, </w:t>
      </w:r>
      <w:r>
        <w:rPr>
          <w:rFonts w:hint="eastAsia"/>
          <w:kern w:val="2"/>
          <w:sz w:val="24"/>
          <w:szCs w:val="24"/>
        </w:rPr>
        <w:t xml:space="preserve">with </w:t>
      </w:r>
      <w:r>
        <w:rPr>
          <w:kern w:val="2"/>
          <w:sz w:val="24"/>
          <w:szCs w:val="24"/>
        </w:rPr>
        <w:t>basically</w:t>
      </w:r>
      <w:r>
        <w:rPr>
          <w:rFonts w:hint="eastAsia"/>
          <w:kern w:val="2"/>
          <w:sz w:val="24"/>
          <w:szCs w:val="24"/>
        </w:rPr>
        <w:t xml:space="preserve"> balanced aggregate supply and demand. The shifting of </w:t>
      </w:r>
      <w:r>
        <w:rPr>
          <w:kern w:val="2"/>
          <w:sz w:val="24"/>
          <w:szCs w:val="24"/>
        </w:rPr>
        <w:t xml:space="preserve">the </w:t>
      </w:r>
      <w:r>
        <w:rPr>
          <w:rFonts w:hint="eastAsia"/>
          <w:kern w:val="2"/>
          <w:sz w:val="24"/>
          <w:szCs w:val="24"/>
        </w:rPr>
        <w:t xml:space="preserve">growth engine </w:t>
      </w:r>
      <w:r>
        <w:rPr>
          <w:kern w:val="2"/>
          <w:sz w:val="24"/>
          <w:szCs w:val="24"/>
        </w:rPr>
        <w:t>has accelerated</w:t>
      </w:r>
      <w:r>
        <w:rPr>
          <w:rFonts w:hint="eastAsia"/>
          <w:kern w:val="2"/>
          <w:sz w:val="24"/>
          <w:szCs w:val="24"/>
        </w:rPr>
        <w:t xml:space="preserve">, and </w:t>
      </w:r>
      <w:r>
        <w:rPr>
          <w:kern w:val="2"/>
          <w:sz w:val="24"/>
          <w:szCs w:val="24"/>
        </w:rPr>
        <w:t xml:space="preserve">the long-term momentum and the fundamentals remain unchanged. The economy has a huge growth potential, with much room for development in new urbanization, services, advanced manufacturing, and consumption upgrading. There is also fairly large room for policy maneuvers. Reform of the economic system has been </w:t>
      </w:r>
      <w:r>
        <w:rPr>
          <w:kern w:val="2"/>
          <w:sz w:val="24"/>
          <w:szCs w:val="24"/>
        </w:rPr>
        <w:lastRenderedPageBreak/>
        <w:t xml:space="preserve">furthered. Supported by the supply-side reforms and the market mechanism, </w:t>
      </w:r>
      <w:r>
        <w:rPr>
          <w:rFonts w:hint="eastAsia"/>
          <w:kern w:val="2"/>
          <w:sz w:val="24"/>
          <w:szCs w:val="24"/>
        </w:rPr>
        <w:t xml:space="preserve">domestic demand </w:t>
      </w:r>
      <w:r>
        <w:rPr>
          <w:kern w:val="2"/>
          <w:sz w:val="24"/>
          <w:szCs w:val="24"/>
        </w:rPr>
        <w:t>now</w:t>
      </w:r>
      <w:r>
        <w:rPr>
          <w:rFonts w:hint="eastAsia"/>
          <w:kern w:val="2"/>
          <w:sz w:val="24"/>
          <w:szCs w:val="24"/>
        </w:rPr>
        <w:t xml:space="preserve"> contribute</w:t>
      </w:r>
      <w:r>
        <w:rPr>
          <w:kern w:val="2"/>
          <w:sz w:val="24"/>
          <w:szCs w:val="24"/>
        </w:rPr>
        <w:t>s</w:t>
      </w:r>
      <w:r>
        <w:rPr>
          <w:rFonts w:hint="eastAsia"/>
          <w:kern w:val="2"/>
          <w:sz w:val="24"/>
          <w:szCs w:val="24"/>
        </w:rPr>
        <w:t xml:space="preserve"> more to growth. </w:t>
      </w:r>
      <w:r>
        <w:rPr>
          <w:kern w:val="2"/>
          <w:sz w:val="24"/>
          <w:szCs w:val="24"/>
        </w:rPr>
        <w:t>The e</w:t>
      </w:r>
      <w:r>
        <w:rPr>
          <w:rFonts w:hint="eastAsia"/>
          <w:kern w:val="2"/>
          <w:sz w:val="24"/>
          <w:szCs w:val="24"/>
        </w:rPr>
        <w:t>merging industries are burgeoning, and</w:t>
      </w:r>
      <w:r>
        <w:rPr>
          <w:kern w:val="2"/>
          <w:sz w:val="24"/>
          <w:szCs w:val="24"/>
        </w:rPr>
        <w:t xml:space="preserve"> the</w:t>
      </w:r>
      <w:r>
        <w:rPr>
          <w:rFonts w:hint="eastAsia"/>
          <w:kern w:val="2"/>
          <w:sz w:val="24"/>
          <w:szCs w:val="24"/>
        </w:rPr>
        <w:t xml:space="preserve"> traditional industries are </w:t>
      </w:r>
      <w:r>
        <w:rPr>
          <w:kern w:val="2"/>
          <w:sz w:val="24"/>
          <w:szCs w:val="24"/>
        </w:rPr>
        <w:t xml:space="preserve">being </w:t>
      </w:r>
      <w:r>
        <w:rPr>
          <w:rFonts w:hint="eastAsia"/>
          <w:kern w:val="2"/>
          <w:sz w:val="24"/>
          <w:szCs w:val="24"/>
        </w:rPr>
        <w:t>upgrad</w:t>
      </w:r>
      <w:r>
        <w:rPr>
          <w:kern w:val="2"/>
          <w:sz w:val="24"/>
          <w:szCs w:val="24"/>
        </w:rPr>
        <w:t>ed</w:t>
      </w:r>
      <w:r>
        <w:rPr>
          <w:rFonts w:hint="eastAsia"/>
          <w:kern w:val="2"/>
          <w:sz w:val="24"/>
          <w:szCs w:val="24"/>
        </w:rPr>
        <w:t xml:space="preserve">. </w:t>
      </w:r>
      <w:r>
        <w:rPr>
          <w:kern w:val="2"/>
          <w:sz w:val="24"/>
          <w:szCs w:val="24"/>
        </w:rPr>
        <w:t>T</w:t>
      </w:r>
      <w:r>
        <w:rPr>
          <w:rFonts w:hint="eastAsia"/>
          <w:kern w:val="2"/>
          <w:sz w:val="24"/>
          <w:szCs w:val="24"/>
        </w:rPr>
        <w:t>he economy is better structured and employment</w:t>
      </w:r>
      <w:r>
        <w:rPr>
          <w:kern w:val="2"/>
          <w:sz w:val="24"/>
          <w:szCs w:val="24"/>
        </w:rPr>
        <w:t xml:space="preserve"> has</w:t>
      </w:r>
      <w:r>
        <w:rPr>
          <w:rFonts w:hint="eastAsia"/>
          <w:kern w:val="2"/>
          <w:sz w:val="24"/>
          <w:szCs w:val="24"/>
        </w:rPr>
        <w:t xml:space="preserve"> turned for the better. </w:t>
      </w:r>
      <w:r>
        <w:rPr>
          <w:kern w:val="2"/>
          <w:sz w:val="24"/>
          <w:szCs w:val="24"/>
        </w:rPr>
        <w:t>M</w:t>
      </w:r>
      <w:r>
        <w:rPr>
          <w:rFonts w:hint="eastAsia"/>
          <w:kern w:val="2"/>
          <w:sz w:val="24"/>
          <w:szCs w:val="24"/>
        </w:rPr>
        <w:t>eanwhile,</w:t>
      </w:r>
      <w:r>
        <w:rPr>
          <w:kern w:val="2"/>
          <w:sz w:val="24"/>
          <w:szCs w:val="24"/>
        </w:rPr>
        <w:t xml:space="preserve"> the </w:t>
      </w:r>
      <w:r>
        <w:rPr>
          <w:rFonts w:hint="eastAsia"/>
          <w:kern w:val="2"/>
          <w:sz w:val="24"/>
          <w:szCs w:val="24"/>
        </w:rPr>
        <w:t>overall</w:t>
      </w:r>
      <w:r>
        <w:rPr>
          <w:kern w:val="2"/>
          <w:sz w:val="24"/>
          <w:szCs w:val="24"/>
        </w:rPr>
        <w:t xml:space="preserve"> leverage </w:t>
      </w:r>
      <w:r>
        <w:rPr>
          <w:rFonts w:hint="eastAsia"/>
          <w:kern w:val="2"/>
          <w:sz w:val="24"/>
          <w:szCs w:val="24"/>
        </w:rPr>
        <w:t>of</w:t>
      </w:r>
      <w:r>
        <w:rPr>
          <w:kern w:val="2"/>
          <w:sz w:val="24"/>
          <w:szCs w:val="24"/>
        </w:rPr>
        <w:t xml:space="preserve"> the economy has stabilized, and </w:t>
      </w:r>
      <w:r>
        <w:rPr>
          <w:rFonts w:hint="eastAsia"/>
          <w:kern w:val="2"/>
          <w:sz w:val="24"/>
          <w:szCs w:val="24"/>
        </w:rPr>
        <w:t>efforts</w:t>
      </w:r>
      <w:r>
        <w:rPr>
          <w:kern w:val="2"/>
          <w:sz w:val="24"/>
          <w:szCs w:val="24"/>
        </w:rPr>
        <w:t xml:space="preserve"> to prevent financial risks</w:t>
      </w:r>
      <w:r>
        <w:rPr>
          <w:rFonts w:hint="eastAsia"/>
          <w:kern w:val="2"/>
          <w:sz w:val="24"/>
          <w:szCs w:val="24"/>
        </w:rPr>
        <w:t xml:space="preserve"> have produced results</w:t>
      </w:r>
      <w:r>
        <w:rPr>
          <w:kern w:val="2"/>
          <w:sz w:val="24"/>
          <w:szCs w:val="24"/>
        </w:rPr>
        <w:t xml:space="preserve">. </w:t>
      </w:r>
      <w:r>
        <w:rPr>
          <w:rFonts w:hint="eastAsia"/>
          <w:kern w:val="2"/>
          <w:sz w:val="24"/>
          <w:szCs w:val="24"/>
        </w:rPr>
        <w:t>The financial sector has provided sound support to the real economy.</w:t>
      </w:r>
      <w:r>
        <w:rPr>
          <w:kern w:val="2"/>
          <w:sz w:val="24"/>
          <w:szCs w:val="24"/>
        </w:rPr>
        <w:t xml:space="preserve"> The PBC’s Quarterly Survey of Entrepreneurs and Bankers in </w:t>
      </w:r>
      <w:r>
        <w:rPr>
          <w:sz w:val="24"/>
        </w:rPr>
        <w:t>Q3 of</w:t>
      </w:r>
      <w:r>
        <w:rPr>
          <w:rFonts w:hint="eastAsia"/>
          <w:kern w:val="2"/>
          <w:sz w:val="24"/>
          <w:szCs w:val="24"/>
        </w:rPr>
        <w:t xml:space="preserve"> </w:t>
      </w:r>
      <w:r>
        <w:rPr>
          <w:kern w:val="2"/>
          <w:sz w:val="24"/>
          <w:szCs w:val="24"/>
        </w:rPr>
        <w:t>2018 reveals that the macroeconomic indicator</w:t>
      </w:r>
      <w:r>
        <w:rPr>
          <w:rFonts w:hint="eastAsia"/>
          <w:kern w:val="2"/>
          <w:sz w:val="24"/>
          <w:szCs w:val="24"/>
        </w:rPr>
        <w:t xml:space="preserve"> and</w:t>
      </w:r>
      <w:r>
        <w:rPr>
          <w:kern w:val="2"/>
          <w:sz w:val="24"/>
          <w:szCs w:val="24"/>
        </w:rPr>
        <w:t xml:space="preserve"> confidence indicator have risen </w:t>
      </w:r>
      <w:r>
        <w:rPr>
          <w:rFonts w:hint="eastAsia"/>
          <w:kern w:val="2"/>
          <w:sz w:val="24"/>
          <w:szCs w:val="24"/>
        </w:rPr>
        <w:t>year</w:t>
      </w:r>
      <w:r>
        <w:rPr>
          <w:kern w:val="2"/>
          <w:sz w:val="24"/>
          <w:szCs w:val="24"/>
        </w:rPr>
        <w:t xml:space="preserve"> </w:t>
      </w:r>
      <w:r>
        <w:rPr>
          <w:rFonts w:hint="eastAsia"/>
          <w:kern w:val="2"/>
          <w:sz w:val="24"/>
          <w:szCs w:val="24"/>
        </w:rPr>
        <w:t>o</w:t>
      </w:r>
      <w:r>
        <w:rPr>
          <w:kern w:val="2"/>
          <w:sz w:val="24"/>
          <w:szCs w:val="24"/>
        </w:rPr>
        <w:t xml:space="preserve">n </w:t>
      </w:r>
      <w:r>
        <w:rPr>
          <w:rFonts w:hint="eastAsia"/>
          <w:kern w:val="2"/>
          <w:sz w:val="24"/>
          <w:szCs w:val="24"/>
        </w:rPr>
        <w:t>y</w:t>
      </w:r>
      <w:r>
        <w:rPr>
          <w:kern w:val="2"/>
          <w:sz w:val="24"/>
          <w:szCs w:val="24"/>
        </w:rPr>
        <w:t>ear</w:t>
      </w:r>
      <w:r>
        <w:rPr>
          <w:rFonts w:hint="eastAsia"/>
          <w:kern w:val="2"/>
          <w:sz w:val="24"/>
          <w:szCs w:val="24"/>
        </w:rPr>
        <w:t xml:space="preserve"> and edged down </w:t>
      </w:r>
      <w:r>
        <w:rPr>
          <w:kern w:val="2"/>
          <w:sz w:val="24"/>
          <w:szCs w:val="24"/>
        </w:rPr>
        <w:t>quarter</w:t>
      </w:r>
      <w:r>
        <w:rPr>
          <w:rFonts w:hint="eastAsia"/>
          <w:kern w:val="2"/>
          <w:sz w:val="24"/>
          <w:szCs w:val="24"/>
        </w:rPr>
        <w:t xml:space="preserve">-on-quarter, </w:t>
      </w:r>
      <w:r>
        <w:rPr>
          <w:kern w:val="2"/>
          <w:sz w:val="24"/>
          <w:szCs w:val="24"/>
        </w:rPr>
        <w:t xml:space="preserve">but they have been </w:t>
      </w:r>
      <w:r>
        <w:rPr>
          <w:rFonts w:hint="eastAsia"/>
          <w:kern w:val="2"/>
          <w:sz w:val="24"/>
          <w:szCs w:val="24"/>
        </w:rPr>
        <w:t xml:space="preserve">standing at a relatively high level </w:t>
      </w:r>
      <w:r>
        <w:rPr>
          <w:kern w:val="2"/>
          <w:sz w:val="24"/>
          <w:szCs w:val="24"/>
        </w:rPr>
        <w:t>in</w:t>
      </w:r>
      <w:r>
        <w:rPr>
          <w:rFonts w:hint="eastAsia"/>
          <w:kern w:val="2"/>
          <w:sz w:val="24"/>
          <w:szCs w:val="24"/>
        </w:rPr>
        <w:t xml:space="preserve"> recent years. </w:t>
      </w:r>
      <w:r>
        <w:rPr>
          <w:kern w:val="2"/>
          <w:sz w:val="24"/>
          <w:szCs w:val="24"/>
        </w:rPr>
        <w:t xml:space="preserve">The Survey of Urban Depositors shows that household employment </w:t>
      </w:r>
      <w:r>
        <w:rPr>
          <w:rFonts w:hint="eastAsia"/>
          <w:kern w:val="2"/>
          <w:sz w:val="24"/>
          <w:szCs w:val="24"/>
        </w:rPr>
        <w:t xml:space="preserve">sentiment and </w:t>
      </w:r>
      <w:r>
        <w:rPr>
          <w:kern w:val="2"/>
          <w:sz w:val="24"/>
          <w:szCs w:val="24"/>
        </w:rPr>
        <w:t>expectations remain at a high level.</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kern w:val="2"/>
          <w:sz w:val="24"/>
          <w:szCs w:val="24"/>
        </w:rPr>
      </w:pPr>
      <w:r>
        <w:rPr>
          <w:rFonts w:hint="eastAsia"/>
          <w:b/>
          <w:kern w:val="2"/>
          <w:sz w:val="24"/>
          <w:szCs w:val="24"/>
        </w:rPr>
        <w:t>It</w:t>
      </w:r>
      <w:r>
        <w:rPr>
          <w:b/>
          <w:kern w:val="2"/>
          <w:sz w:val="24"/>
          <w:szCs w:val="24"/>
        </w:rPr>
        <w:t xml:space="preserve"> is</w:t>
      </w:r>
      <w:r>
        <w:rPr>
          <w:rFonts w:hint="eastAsia"/>
          <w:b/>
          <w:kern w:val="2"/>
          <w:sz w:val="24"/>
          <w:szCs w:val="24"/>
        </w:rPr>
        <w:t xml:space="preserve"> worth noting that </w:t>
      </w:r>
      <w:r>
        <w:rPr>
          <w:b/>
          <w:kern w:val="2"/>
          <w:sz w:val="24"/>
          <w:szCs w:val="24"/>
        </w:rPr>
        <w:t xml:space="preserve">despite the stable growth, </w:t>
      </w:r>
      <w:r>
        <w:rPr>
          <w:rFonts w:hint="eastAsia"/>
          <w:b/>
          <w:kern w:val="2"/>
          <w:sz w:val="24"/>
          <w:szCs w:val="24"/>
        </w:rPr>
        <w:t xml:space="preserve">uncertainties </w:t>
      </w:r>
      <w:r>
        <w:rPr>
          <w:b/>
          <w:kern w:val="2"/>
          <w:sz w:val="24"/>
          <w:szCs w:val="24"/>
        </w:rPr>
        <w:t xml:space="preserve">still </w:t>
      </w:r>
      <w:r>
        <w:rPr>
          <w:rFonts w:hint="eastAsia"/>
          <w:b/>
          <w:kern w:val="2"/>
          <w:sz w:val="24"/>
          <w:szCs w:val="24"/>
        </w:rPr>
        <w:t>remain</w:t>
      </w:r>
      <w:r>
        <w:rPr>
          <w:b/>
          <w:kern w:val="2"/>
          <w:sz w:val="24"/>
          <w:szCs w:val="24"/>
        </w:rPr>
        <w:t>.</w:t>
      </w:r>
      <w:r>
        <w:rPr>
          <w:rFonts w:hint="eastAsia"/>
          <w:b/>
          <w:kern w:val="2"/>
          <w:sz w:val="24"/>
          <w:szCs w:val="24"/>
        </w:rPr>
        <w:t xml:space="preserve"> </w:t>
      </w:r>
      <w:r>
        <w:rPr>
          <w:kern w:val="2"/>
          <w:sz w:val="24"/>
          <w:szCs w:val="24"/>
        </w:rPr>
        <w:t>T</w:t>
      </w:r>
      <w:r>
        <w:rPr>
          <w:rFonts w:hint="eastAsia"/>
          <w:kern w:val="2"/>
          <w:sz w:val="24"/>
          <w:szCs w:val="24"/>
        </w:rPr>
        <w:t>he external environment has changed profoundly, exerting greater downward pressure</w:t>
      </w:r>
      <w:r>
        <w:rPr>
          <w:kern w:val="2"/>
          <w:sz w:val="24"/>
          <w:szCs w:val="24"/>
        </w:rPr>
        <w:t>s on</w:t>
      </w:r>
      <w:r>
        <w:rPr>
          <w:rFonts w:hint="eastAsia"/>
          <w:kern w:val="2"/>
          <w:sz w:val="24"/>
          <w:szCs w:val="24"/>
        </w:rPr>
        <w:t xml:space="preserve"> the economy. </w:t>
      </w:r>
      <w:r>
        <w:rPr>
          <w:kern w:val="2"/>
          <w:sz w:val="24"/>
          <w:szCs w:val="24"/>
        </w:rPr>
        <w:t>S</w:t>
      </w:r>
      <w:r>
        <w:rPr>
          <w:rFonts w:hint="eastAsia"/>
          <w:kern w:val="2"/>
          <w:sz w:val="24"/>
          <w:szCs w:val="24"/>
        </w:rPr>
        <w:t xml:space="preserve">ome enterprises </w:t>
      </w:r>
      <w:r>
        <w:rPr>
          <w:kern w:val="2"/>
          <w:sz w:val="24"/>
          <w:szCs w:val="24"/>
        </w:rPr>
        <w:t>confront</w:t>
      </w:r>
      <w:r>
        <w:rPr>
          <w:rFonts w:hint="eastAsia"/>
          <w:kern w:val="2"/>
          <w:sz w:val="24"/>
          <w:szCs w:val="24"/>
        </w:rPr>
        <w:t xml:space="preserve"> significant difficulties in their operation</w:t>
      </w:r>
      <w:r>
        <w:rPr>
          <w:kern w:val="2"/>
          <w:sz w:val="24"/>
          <w:szCs w:val="24"/>
        </w:rPr>
        <w:t>s</w:t>
      </w:r>
      <w:r>
        <w:rPr>
          <w:rFonts w:hint="eastAsia"/>
          <w:kern w:val="2"/>
          <w:sz w:val="24"/>
          <w:szCs w:val="24"/>
        </w:rPr>
        <w:t xml:space="preserve">, </w:t>
      </w:r>
      <w:r>
        <w:rPr>
          <w:kern w:val="2"/>
          <w:sz w:val="24"/>
          <w:szCs w:val="24"/>
        </w:rPr>
        <w:t xml:space="preserve">and </w:t>
      </w:r>
      <w:r>
        <w:rPr>
          <w:rFonts w:hint="eastAsia"/>
          <w:kern w:val="2"/>
          <w:sz w:val="24"/>
          <w:szCs w:val="24"/>
        </w:rPr>
        <w:t>risks</w:t>
      </w:r>
      <w:r>
        <w:rPr>
          <w:kern w:val="2"/>
          <w:sz w:val="24"/>
          <w:szCs w:val="24"/>
        </w:rPr>
        <w:t xml:space="preserve"> and vulnerabilities in the economy that accumulated over the years are exposed</w:t>
      </w:r>
      <w:r>
        <w:rPr>
          <w:rFonts w:hint="eastAsia"/>
          <w:kern w:val="2"/>
          <w:sz w:val="24"/>
          <w:szCs w:val="24"/>
        </w:rPr>
        <w:t xml:space="preserve">, whereas it takes time for </w:t>
      </w:r>
      <w:r>
        <w:rPr>
          <w:kern w:val="2"/>
          <w:sz w:val="24"/>
          <w:szCs w:val="24"/>
        </w:rPr>
        <w:t xml:space="preserve">the previous </w:t>
      </w:r>
      <w:r>
        <w:rPr>
          <w:rFonts w:hint="eastAsia"/>
          <w:kern w:val="2"/>
          <w:sz w:val="24"/>
          <w:szCs w:val="24"/>
        </w:rPr>
        <w:t xml:space="preserve">policy responses to produce </w:t>
      </w:r>
      <w:r>
        <w:rPr>
          <w:kern w:val="2"/>
          <w:sz w:val="24"/>
          <w:szCs w:val="24"/>
        </w:rPr>
        <w:t xml:space="preserve">further </w:t>
      </w:r>
      <w:r>
        <w:rPr>
          <w:rFonts w:hint="eastAsia"/>
          <w:kern w:val="2"/>
          <w:sz w:val="24"/>
          <w:szCs w:val="24"/>
        </w:rPr>
        <w:t xml:space="preserve">results. </w:t>
      </w:r>
      <w:r>
        <w:rPr>
          <w:kern w:val="2"/>
          <w:sz w:val="24"/>
          <w:szCs w:val="24"/>
        </w:rPr>
        <w:t>The g</w:t>
      </w:r>
      <w:r>
        <w:rPr>
          <w:rFonts w:hint="eastAsia"/>
          <w:kern w:val="2"/>
          <w:sz w:val="24"/>
          <w:szCs w:val="24"/>
        </w:rPr>
        <w:t>lobal economic and political landscape has be</w:t>
      </w:r>
      <w:r>
        <w:rPr>
          <w:kern w:val="2"/>
          <w:sz w:val="24"/>
          <w:szCs w:val="24"/>
        </w:rPr>
        <w:t>come</w:t>
      </w:r>
      <w:r>
        <w:rPr>
          <w:rFonts w:hint="eastAsia"/>
          <w:kern w:val="2"/>
          <w:sz w:val="24"/>
          <w:szCs w:val="24"/>
        </w:rPr>
        <w:t xml:space="preserve"> more complicated. </w:t>
      </w:r>
      <w:r>
        <w:rPr>
          <w:kern w:val="2"/>
          <w:sz w:val="24"/>
          <w:szCs w:val="24"/>
        </w:rPr>
        <w:t>G</w:t>
      </w:r>
      <w:r>
        <w:rPr>
          <w:rFonts w:hint="eastAsia"/>
          <w:kern w:val="2"/>
          <w:sz w:val="24"/>
          <w:szCs w:val="24"/>
        </w:rPr>
        <w:t>eopolitical risks remain heightened, and monetary</w:t>
      </w:r>
      <w:r>
        <w:rPr>
          <w:kern w:val="2"/>
          <w:sz w:val="24"/>
          <w:szCs w:val="24"/>
        </w:rPr>
        <w:t>-</w:t>
      </w:r>
      <w:r>
        <w:rPr>
          <w:rFonts w:hint="eastAsia"/>
          <w:kern w:val="2"/>
          <w:sz w:val="24"/>
          <w:szCs w:val="24"/>
        </w:rPr>
        <w:t xml:space="preserve">policy normalization </w:t>
      </w:r>
      <w:r>
        <w:rPr>
          <w:kern w:val="2"/>
          <w:sz w:val="24"/>
          <w:szCs w:val="24"/>
        </w:rPr>
        <w:t>in the</w:t>
      </w:r>
      <w:r>
        <w:rPr>
          <w:rFonts w:hint="eastAsia"/>
          <w:kern w:val="2"/>
          <w:sz w:val="24"/>
          <w:szCs w:val="24"/>
        </w:rPr>
        <w:t xml:space="preserve"> advanced economies </w:t>
      </w:r>
      <w:r>
        <w:rPr>
          <w:kern w:val="2"/>
          <w:sz w:val="24"/>
          <w:szCs w:val="24"/>
        </w:rPr>
        <w:t>creates</w:t>
      </w:r>
      <w:r>
        <w:rPr>
          <w:rFonts w:hint="eastAsia"/>
          <w:kern w:val="2"/>
          <w:sz w:val="24"/>
          <w:szCs w:val="24"/>
        </w:rPr>
        <w:t xml:space="preserve"> uncertainties. </w:t>
      </w:r>
      <w:r>
        <w:rPr>
          <w:kern w:val="2"/>
          <w:sz w:val="24"/>
          <w:szCs w:val="24"/>
        </w:rPr>
        <w:t>T</w:t>
      </w:r>
      <w:r>
        <w:rPr>
          <w:rFonts w:hint="eastAsia"/>
          <w:kern w:val="2"/>
          <w:sz w:val="24"/>
          <w:szCs w:val="24"/>
        </w:rPr>
        <w:t xml:space="preserve">rade </w:t>
      </w:r>
      <w:r>
        <w:rPr>
          <w:kern w:val="2"/>
          <w:sz w:val="24"/>
          <w:szCs w:val="24"/>
        </w:rPr>
        <w:t>tension</w:t>
      </w:r>
      <w:r>
        <w:rPr>
          <w:rFonts w:hint="eastAsia"/>
          <w:kern w:val="2"/>
          <w:sz w:val="24"/>
          <w:szCs w:val="24"/>
        </w:rPr>
        <w:t>s brought uncertainties for export</w:t>
      </w:r>
      <w:r>
        <w:rPr>
          <w:kern w:val="2"/>
          <w:sz w:val="24"/>
          <w:szCs w:val="24"/>
        </w:rPr>
        <w:t>s</w:t>
      </w:r>
      <w:r>
        <w:rPr>
          <w:rFonts w:hint="eastAsia"/>
          <w:kern w:val="2"/>
          <w:sz w:val="24"/>
          <w:szCs w:val="24"/>
        </w:rPr>
        <w:t>, and may result in diminishing marginal contribution</w:t>
      </w:r>
      <w:r>
        <w:rPr>
          <w:kern w:val="2"/>
          <w:sz w:val="24"/>
          <w:szCs w:val="24"/>
        </w:rPr>
        <w:t>s</w:t>
      </w:r>
      <w:r>
        <w:rPr>
          <w:rFonts w:hint="eastAsia"/>
          <w:kern w:val="2"/>
          <w:sz w:val="24"/>
          <w:szCs w:val="24"/>
        </w:rPr>
        <w:t xml:space="preserve"> to growth</w:t>
      </w:r>
      <w:r w:rsidDel="00046020">
        <w:rPr>
          <w:rFonts w:hint="eastAsia"/>
          <w:kern w:val="2"/>
          <w:sz w:val="24"/>
          <w:szCs w:val="24"/>
        </w:rPr>
        <w:t xml:space="preserve"> </w:t>
      </w:r>
      <w:r>
        <w:rPr>
          <w:rFonts w:hint="eastAsia"/>
          <w:kern w:val="2"/>
          <w:sz w:val="24"/>
          <w:szCs w:val="24"/>
        </w:rPr>
        <w:t xml:space="preserve">by </w:t>
      </w:r>
      <w:r>
        <w:rPr>
          <w:kern w:val="2"/>
          <w:sz w:val="24"/>
          <w:szCs w:val="24"/>
        </w:rPr>
        <w:t>external</w:t>
      </w:r>
      <w:r>
        <w:rPr>
          <w:rFonts w:hint="eastAsia"/>
          <w:kern w:val="2"/>
          <w:sz w:val="24"/>
          <w:szCs w:val="24"/>
        </w:rPr>
        <w:t xml:space="preserve"> demand, </w:t>
      </w:r>
      <w:r>
        <w:rPr>
          <w:kern w:val="2"/>
          <w:sz w:val="24"/>
          <w:szCs w:val="24"/>
        </w:rPr>
        <w:t xml:space="preserve">a </w:t>
      </w:r>
      <w:r>
        <w:rPr>
          <w:rFonts w:hint="eastAsia"/>
          <w:kern w:val="2"/>
          <w:sz w:val="24"/>
          <w:szCs w:val="24"/>
        </w:rPr>
        <w:t>dampen</w:t>
      </w:r>
      <w:r>
        <w:rPr>
          <w:kern w:val="2"/>
          <w:sz w:val="24"/>
          <w:szCs w:val="24"/>
        </w:rPr>
        <w:t>ing of</w:t>
      </w:r>
      <w:r>
        <w:rPr>
          <w:rFonts w:hint="eastAsia"/>
          <w:kern w:val="2"/>
          <w:sz w:val="24"/>
          <w:szCs w:val="24"/>
        </w:rPr>
        <w:t xml:space="preserve"> investor confidence</w:t>
      </w:r>
      <w:r>
        <w:rPr>
          <w:kern w:val="2"/>
          <w:sz w:val="24"/>
          <w:szCs w:val="24"/>
        </w:rPr>
        <w:t>,</w:t>
      </w:r>
      <w:r>
        <w:rPr>
          <w:rFonts w:hint="eastAsia"/>
          <w:kern w:val="2"/>
          <w:sz w:val="24"/>
          <w:szCs w:val="24"/>
        </w:rPr>
        <w:t xml:space="preserve"> and aggravat</w:t>
      </w:r>
      <w:r>
        <w:rPr>
          <w:kern w:val="2"/>
          <w:sz w:val="24"/>
          <w:szCs w:val="24"/>
        </w:rPr>
        <w:t>ion of</w:t>
      </w:r>
      <w:r>
        <w:rPr>
          <w:rFonts w:hint="eastAsia"/>
          <w:kern w:val="2"/>
          <w:sz w:val="24"/>
          <w:szCs w:val="24"/>
        </w:rPr>
        <w:t xml:space="preserve"> financial market fluctuations. </w:t>
      </w:r>
      <w:r>
        <w:rPr>
          <w:kern w:val="2"/>
          <w:sz w:val="24"/>
          <w:szCs w:val="24"/>
        </w:rPr>
        <w:t>T</w:t>
      </w:r>
      <w:r>
        <w:rPr>
          <w:rFonts w:hint="eastAsia"/>
          <w:kern w:val="2"/>
          <w:sz w:val="24"/>
          <w:szCs w:val="24"/>
        </w:rPr>
        <w:t>he IMF made downward adjustments to</w:t>
      </w:r>
      <w:r>
        <w:rPr>
          <w:kern w:val="2"/>
          <w:sz w:val="24"/>
          <w:szCs w:val="24"/>
        </w:rPr>
        <w:t xml:space="preserve"> its</w:t>
      </w:r>
      <w:r>
        <w:rPr>
          <w:rFonts w:hint="eastAsia"/>
          <w:kern w:val="2"/>
          <w:sz w:val="24"/>
          <w:szCs w:val="24"/>
        </w:rPr>
        <w:t xml:space="preserve"> projection </w:t>
      </w:r>
      <w:r>
        <w:rPr>
          <w:kern w:val="2"/>
          <w:sz w:val="24"/>
          <w:szCs w:val="24"/>
        </w:rPr>
        <w:t>for</w:t>
      </w:r>
      <w:r>
        <w:rPr>
          <w:rFonts w:hint="eastAsia"/>
          <w:kern w:val="2"/>
          <w:sz w:val="24"/>
          <w:szCs w:val="24"/>
        </w:rPr>
        <w:t xml:space="preserve"> global growth in 2018 and 2019 from 3.9</w:t>
      </w:r>
      <w:r>
        <w:rPr>
          <w:kern w:val="2"/>
          <w:sz w:val="24"/>
          <w:szCs w:val="24"/>
        </w:rPr>
        <w:t xml:space="preserve"> percent</w:t>
      </w:r>
      <w:r>
        <w:rPr>
          <w:rFonts w:hint="eastAsia"/>
          <w:kern w:val="2"/>
          <w:sz w:val="24"/>
          <w:szCs w:val="24"/>
        </w:rPr>
        <w:t xml:space="preserve"> to 3.7</w:t>
      </w:r>
      <w:r>
        <w:rPr>
          <w:kern w:val="2"/>
          <w:sz w:val="24"/>
          <w:szCs w:val="24"/>
        </w:rPr>
        <w:t xml:space="preserve"> percent</w:t>
      </w:r>
      <w:r>
        <w:rPr>
          <w:rFonts w:hint="eastAsia"/>
          <w:kern w:val="2"/>
          <w:sz w:val="24"/>
          <w:szCs w:val="24"/>
        </w:rPr>
        <w:t xml:space="preserve">, and revised </w:t>
      </w:r>
      <w:r>
        <w:rPr>
          <w:kern w:val="2"/>
          <w:sz w:val="24"/>
          <w:szCs w:val="24"/>
        </w:rPr>
        <w:t xml:space="preserve">the </w:t>
      </w:r>
      <w:r>
        <w:rPr>
          <w:rFonts w:hint="eastAsia"/>
          <w:kern w:val="2"/>
          <w:sz w:val="24"/>
          <w:szCs w:val="24"/>
        </w:rPr>
        <w:t xml:space="preserve">projected growth rate of China and </w:t>
      </w:r>
      <w:r>
        <w:rPr>
          <w:kern w:val="2"/>
          <w:sz w:val="24"/>
          <w:szCs w:val="24"/>
        </w:rPr>
        <w:t xml:space="preserve">the </w:t>
      </w:r>
      <w:r>
        <w:rPr>
          <w:rFonts w:hint="eastAsia"/>
          <w:kern w:val="2"/>
          <w:sz w:val="24"/>
          <w:szCs w:val="24"/>
        </w:rPr>
        <w:t>U.S. in 2019 from 6.4</w:t>
      </w:r>
      <w:r>
        <w:rPr>
          <w:kern w:val="2"/>
          <w:sz w:val="24"/>
          <w:szCs w:val="24"/>
        </w:rPr>
        <w:t xml:space="preserve"> percent</w:t>
      </w:r>
      <w:r>
        <w:rPr>
          <w:rFonts w:hint="eastAsia"/>
          <w:kern w:val="2"/>
          <w:sz w:val="24"/>
          <w:szCs w:val="24"/>
        </w:rPr>
        <w:t xml:space="preserve"> to </w:t>
      </w:r>
      <w:r>
        <w:rPr>
          <w:kern w:val="2"/>
          <w:sz w:val="24"/>
          <w:szCs w:val="24"/>
        </w:rPr>
        <w:t>6.2 percent</w:t>
      </w:r>
      <w:r>
        <w:rPr>
          <w:rFonts w:hint="eastAsia"/>
          <w:kern w:val="2"/>
          <w:sz w:val="24"/>
          <w:szCs w:val="24"/>
        </w:rPr>
        <w:t xml:space="preserve"> and from </w:t>
      </w:r>
      <w:r>
        <w:rPr>
          <w:kern w:val="2"/>
          <w:sz w:val="24"/>
          <w:szCs w:val="24"/>
        </w:rPr>
        <w:t>2.7 percent</w:t>
      </w:r>
      <w:r>
        <w:rPr>
          <w:rFonts w:hint="eastAsia"/>
          <w:kern w:val="2"/>
          <w:sz w:val="24"/>
          <w:szCs w:val="24"/>
        </w:rPr>
        <w:t xml:space="preserve"> to 2.5</w:t>
      </w:r>
      <w:r>
        <w:rPr>
          <w:kern w:val="2"/>
          <w:sz w:val="24"/>
          <w:szCs w:val="24"/>
        </w:rPr>
        <w:t xml:space="preserve"> percent</w:t>
      </w:r>
      <w:r>
        <w:rPr>
          <w:rFonts w:hint="eastAsia"/>
          <w:kern w:val="2"/>
          <w:sz w:val="24"/>
          <w:szCs w:val="24"/>
        </w:rPr>
        <w:t xml:space="preserve"> respectively. </w:t>
      </w:r>
      <w:r>
        <w:rPr>
          <w:kern w:val="2"/>
          <w:sz w:val="24"/>
          <w:szCs w:val="24"/>
        </w:rPr>
        <w:t>D</w:t>
      </w:r>
      <w:r>
        <w:rPr>
          <w:rFonts w:hint="eastAsia"/>
          <w:kern w:val="2"/>
          <w:sz w:val="24"/>
          <w:szCs w:val="24"/>
        </w:rPr>
        <w:t xml:space="preserve">omestically, the </w:t>
      </w:r>
      <w:r>
        <w:rPr>
          <w:kern w:val="2"/>
          <w:sz w:val="24"/>
          <w:szCs w:val="24"/>
        </w:rPr>
        <w:t>growth</w:t>
      </w:r>
      <w:r>
        <w:rPr>
          <w:rFonts w:hint="eastAsia"/>
          <w:kern w:val="2"/>
          <w:sz w:val="24"/>
          <w:szCs w:val="24"/>
        </w:rPr>
        <w:t xml:space="preserve"> of infrastructure investment</w:t>
      </w:r>
      <w:r>
        <w:rPr>
          <w:kern w:val="2"/>
          <w:sz w:val="24"/>
          <w:szCs w:val="24"/>
        </w:rPr>
        <w:t>s</w:t>
      </w:r>
      <w:r>
        <w:rPr>
          <w:rFonts w:hint="eastAsia"/>
          <w:kern w:val="2"/>
          <w:sz w:val="24"/>
          <w:szCs w:val="24"/>
        </w:rPr>
        <w:t xml:space="preserve"> slowed down,</w:t>
      </w:r>
      <w:r>
        <w:rPr>
          <w:kern w:val="2"/>
          <w:sz w:val="24"/>
          <w:szCs w:val="24"/>
        </w:rPr>
        <w:t xml:space="preserve"> the</w:t>
      </w:r>
      <w:r>
        <w:rPr>
          <w:rFonts w:hint="eastAsia"/>
          <w:kern w:val="2"/>
          <w:sz w:val="24"/>
          <w:szCs w:val="24"/>
        </w:rPr>
        <w:t xml:space="preserve"> risk appetite of financial institutions decreased</w:t>
      </w:r>
      <w:r>
        <w:rPr>
          <w:kern w:val="2"/>
          <w:sz w:val="24"/>
          <w:szCs w:val="24"/>
        </w:rPr>
        <w:t>,</w:t>
      </w:r>
      <w:r>
        <w:rPr>
          <w:rFonts w:hint="eastAsia"/>
          <w:kern w:val="2"/>
          <w:sz w:val="24"/>
          <w:szCs w:val="24"/>
        </w:rPr>
        <w:t xml:space="preserve"> and credit growth continued to slow down</w:t>
      </w:r>
      <w:r>
        <w:rPr>
          <w:kern w:val="2"/>
          <w:sz w:val="24"/>
          <w:szCs w:val="24"/>
        </w:rPr>
        <w:t>, along with the notable</w:t>
      </w:r>
      <w:r>
        <w:rPr>
          <w:rFonts w:hint="eastAsia"/>
          <w:kern w:val="2"/>
          <w:sz w:val="24"/>
          <w:szCs w:val="24"/>
        </w:rPr>
        <w:t xml:space="preserve"> </w:t>
      </w:r>
      <w:r>
        <w:rPr>
          <w:kern w:val="2"/>
          <w:sz w:val="24"/>
          <w:szCs w:val="24"/>
        </w:rPr>
        <w:t>f</w:t>
      </w:r>
      <w:r>
        <w:rPr>
          <w:rFonts w:hint="eastAsia"/>
          <w:kern w:val="2"/>
          <w:sz w:val="24"/>
          <w:szCs w:val="24"/>
        </w:rPr>
        <w:t xml:space="preserve">inancing difficulties of small and micro-enterprises as well as private enterprises and </w:t>
      </w:r>
      <w:r>
        <w:rPr>
          <w:kern w:val="2"/>
          <w:sz w:val="24"/>
          <w:szCs w:val="24"/>
        </w:rPr>
        <w:t xml:space="preserve">the constraints on </w:t>
      </w:r>
      <w:r>
        <w:rPr>
          <w:rFonts w:hint="eastAsia"/>
          <w:kern w:val="2"/>
          <w:sz w:val="24"/>
          <w:szCs w:val="24"/>
        </w:rPr>
        <w:t>monetary</w:t>
      </w:r>
      <w:r>
        <w:rPr>
          <w:kern w:val="2"/>
          <w:sz w:val="24"/>
          <w:szCs w:val="24"/>
        </w:rPr>
        <w:t>-</w:t>
      </w:r>
      <w:r>
        <w:rPr>
          <w:rFonts w:hint="eastAsia"/>
          <w:kern w:val="2"/>
          <w:sz w:val="24"/>
          <w:szCs w:val="24"/>
        </w:rPr>
        <w:t xml:space="preserve">policy transmission. </w:t>
      </w:r>
      <w:r>
        <w:rPr>
          <w:kern w:val="2"/>
          <w:sz w:val="24"/>
          <w:szCs w:val="24"/>
        </w:rPr>
        <w:t>P</w:t>
      </w:r>
      <w:r>
        <w:rPr>
          <w:rFonts w:hint="eastAsia"/>
          <w:kern w:val="2"/>
          <w:sz w:val="24"/>
          <w:szCs w:val="24"/>
        </w:rPr>
        <w:t>rivate investment</w:t>
      </w:r>
      <w:r>
        <w:rPr>
          <w:kern w:val="2"/>
          <w:sz w:val="24"/>
          <w:szCs w:val="24"/>
        </w:rPr>
        <w:t>s are</w:t>
      </w:r>
      <w:r>
        <w:rPr>
          <w:rFonts w:hint="eastAsia"/>
          <w:kern w:val="2"/>
          <w:sz w:val="24"/>
          <w:szCs w:val="24"/>
        </w:rPr>
        <w:t xml:space="preserve"> lackluster and </w:t>
      </w:r>
      <w:r>
        <w:rPr>
          <w:kern w:val="2"/>
          <w:sz w:val="24"/>
          <w:szCs w:val="24"/>
        </w:rPr>
        <w:t xml:space="preserve">the momentum </w:t>
      </w:r>
      <w:r>
        <w:rPr>
          <w:kern w:val="2"/>
          <w:sz w:val="24"/>
          <w:szCs w:val="24"/>
        </w:rPr>
        <w:lastRenderedPageBreak/>
        <w:t xml:space="preserve">for </w:t>
      </w:r>
      <w:r>
        <w:rPr>
          <w:rFonts w:hint="eastAsia"/>
          <w:kern w:val="2"/>
          <w:sz w:val="24"/>
          <w:szCs w:val="24"/>
        </w:rPr>
        <w:t>endogenous growth need</w:t>
      </w:r>
      <w:r>
        <w:rPr>
          <w:kern w:val="2"/>
          <w:sz w:val="24"/>
          <w:szCs w:val="24"/>
        </w:rPr>
        <w:t>s</w:t>
      </w:r>
      <w:r>
        <w:rPr>
          <w:rFonts w:hint="eastAsia"/>
          <w:kern w:val="2"/>
          <w:sz w:val="24"/>
          <w:szCs w:val="24"/>
        </w:rPr>
        <w:t xml:space="preserve"> to be further strengthened. </w:t>
      </w:r>
      <w:r>
        <w:rPr>
          <w:kern w:val="2"/>
          <w:sz w:val="24"/>
          <w:szCs w:val="24"/>
        </w:rPr>
        <w:t>C</w:t>
      </w:r>
      <w:r>
        <w:rPr>
          <w:rFonts w:hint="eastAsia"/>
          <w:kern w:val="2"/>
          <w:sz w:val="24"/>
          <w:szCs w:val="24"/>
        </w:rPr>
        <w:t xml:space="preserve">hallenges still remain </w:t>
      </w:r>
      <w:r>
        <w:rPr>
          <w:kern w:val="2"/>
          <w:sz w:val="24"/>
          <w:szCs w:val="24"/>
        </w:rPr>
        <w:t>to balance support for</w:t>
      </w:r>
      <w:r>
        <w:rPr>
          <w:rFonts w:hint="eastAsia"/>
          <w:kern w:val="2"/>
          <w:sz w:val="24"/>
          <w:szCs w:val="24"/>
        </w:rPr>
        <w:t xml:space="preserve"> growth, restructuring</w:t>
      </w:r>
      <w:r>
        <w:rPr>
          <w:kern w:val="2"/>
          <w:sz w:val="24"/>
          <w:szCs w:val="24"/>
        </w:rPr>
        <w:t xml:space="preserve"> of the economy,</w:t>
      </w:r>
      <w:r>
        <w:rPr>
          <w:rFonts w:hint="eastAsia"/>
          <w:kern w:val="2"/>
          <w:sz w:val="24"/>
          <w:szCs w:val="24"/>
        </w:rPr>
        <w:t xml:space="preserve"> and </w:t>
      </w:r>
      <w:r>
        <w:rPr>
          <w:kern w:val="2"/>
          <w:sz w:val="24"/>
          <w:szCs w:val="24"/>
        </w:rPr>
        <w:t xml:space="preserve">mitigation of </w:t>
      </w:r>
      <w:r>
        <w:rPr>
          <w:rFonts w:hint="eastAsia"/>
          <w:kern w:val="2"/>
          <w:sz w:val="24"/>
          <w:szCs w:val="24"/>
        </w:rPr>
        <w:t>risk</w:t>
      </w:r>
      <w:r>
        <w:rPr>
          <w:kern w:val="2"/>
          <w:sz w:val="24"/>
          <w:szCs w:val="24"/>
        </w:rPr>
        <w:t>s</w:t>
      </w:r>
      <w:r>
        <w:rPr>
          <w:rFonts w:hint="eastAsia"/>
          <w:kern w:val="2"/>
          <w:sz w:val="24"/>
          <w:szCs w:val="24"/>
        </w:rPr>
        <w:t>.</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kern w:val="2"/>
          <w:sz w:val="24"/>
          <w:szCs w:val="24"/>
        </w:rPr>
      </w:pPr>
      <w:r>
        <w:rPr>
          <w:b/>
          <w:kern w:val="2"/>
          <w:sz w:val="24"/>
          <w:szCs w:val="24"/>
        </w:rPr>
        <w:t>Prices are generally stable.</w:t>
      </w:r>
      <w:r>
        <w:rPr>
          <w:kern w:val="2"/>
          <w:sz w:val="24"/>
          <w:szCs w:val="24"/>
        </w:rPr>
        <w:t xml:space="preserve"> The pace of price hikes is determined by the economic fundamentals and the relative changes in supply and demand. Globally, inflation in the major economies remains at a subdued level, despite some moderate increases. Domestically, stable economic growth, large agricultural production, and completion of the current round of reforms of medical-service prices in some regions will help maintain stable price levels. Nevertheless, prices may go up</w:t>
      </w:r>
      <w:r>
        <w:rPr>
          <w:rFonts w:hint="eastAsia"/>
          <w:kern w:val="2"/>
          <w:sz w:val="24"/>
          <w:szCs w:val="24"/>
        </w:rPr>
        <w:t xml:space="preserve"> in the short term</w:t>
      </w:r>
      <w:r>
        <w:rPr>
          <w:kern w:val="2"/>
          <w:sz w:val="24"/>
          <w:szCs w:val="24"/>
        </w:rPr>
        <w:t xml:space="preserve"> due to various factors, such as a rebound in the prices of some agricultural products</w:t>
      </w:r>
      <w:r>
        <w:rPr>
          <w:rFonts w:hint="eastAsia"/>
          <w:kern w:val="2"/>
          <w:sz w:val="24"/>
          <w:szCs w:val="24"/>
        </w:rPr>
        <w:t xml:space="preserve"> and the spread of swine fever. </w:t>
      </w:r>
      <w:r>
        <w:rPr>
          <w:kern w:val="2"/>
          <w:sz w:val="24"/>
          <w:szCs w:val="24"/>
        </w:rPr>
        <w:t xml:space="preserve">However, in general, inflationary pressures remain under control. According to the </w:t>
      </w:r>
      <w:r>
        <w:rPr>
          <w:sz w:val="24"/>
        </w:rPr>
        <w:t>Q3</w:t>
      </w:r>
      <w:r>
        <w:rPr>
          <w:rFonts w:hint="eastAsia"/>
          <w:sz w:val="24"/>
        </w:rPr>
        <w:t xml:space="preserve"> </w:t>
      </w:r>
      <w:r>
        <w:rPr>
          <w:kern w:val="2"/>
          <w:sz w:val="24"/>
          <w:szCs w:val="24"/>
        </w:rPr>
        <w:t xml:space="preserve">Urban Depositors’ Survey conducted by the PBC, the Future Price Expectation Index was higher by </w:t>
      </w:r>
      <w:r>
        <w:rPr>
          <w:rFonts w:hint="eastAsia"/>
          <w:kern w:val="2"/>
          <w:sz w:val="24"/>
          <w:szCs w:val="24"/>
        </w:rPr>
        <w:t>2.7</w:t>
      </w:r>
      <w:r>
        <w:rPr>
          <w:kern w:val="2"/>
          <w:sz w:val="24"/>
          <w:szCs w:val="24"/>
        </w:rPr>
        <w:t xml:space="preserve"> percentage points from that in the previous quarter. It is necessary to continue to monitor potential uncertainties in the future.</w:t>
      </w:r>
    </w:p>
    <w:p w:rsidR="005A0958" w:rsidRDefault="005A0958" w:rsidP="005A0958">
      <w:pPr>
        <w:pStyle w:val="p0"/>
        <w:spacing w:line="360" w:lineRule="auto"/>
        <w:rPr>
          <w:kern w:val="2"/>
          <w:sz w:val="24"/>
          <w:szCs w:val="24"/>
        </w:rPr>
      </w:pPr>
    </w:p>
    <w:p w:rsidR="005A0958" w:rsidRPr="006C05F2" w:rsidRDefault="005A0958" w:rsidP="006C05F2">
      <w:pPr>
        <w:keepNext/>
        <w:keepLines/>
        <w:widowControl/>
        <w:adjustRightInd w:val="0"/>
        <w:spacing w:line="360" w:lineRule="auto"/>
        <w:outlineLvl w:val="1"/>
        <w:rPr>
          <w:b/>
          <w:sz w:val="24"/>
        </w:rPr>
      </w:pPr>
      <w:bookmarkStart w:id="111" w:name="_Toc532201099"/>
      <w:r>
        <w:rPr>
          <w:b/>
          <w:sz w:val="24"/>
        </w:rPr>
        <w:t>II. Monetary policy during the next stage</w:t>
      </w:r>
      <w:bookmarkEnd w:id="111"/>
    </w:p>
    <w:p w:rsidR="005A0958" w:rsidRDefault="005A0958" w:rsidP="005A0958">
      <w:pPr>
        <w:pStyle w:val="p0"/>
        <w:spacing w:line="360" w:lineRule="auto"/>
        <w:rPr>
          <w:kern w:val="2"/>
          <w:sz w:val="24"/>
          <w:szCs w:val="24"/>
        </w:rPr>
      </w:pPr>
      <w:r>
        <w:rPr>
          <w:kern w:val="2"/>
          <w:sz w:val="24"/>
          <w:szCs w:val="24"/>
        </w:rPr>
        <w:t xml:space="preserve">Going forward, the PBC will act in accordance with the decisions and overall arrangements of the CPC Central Committee and the State Council, follow the guidance of Xi Jinping’s Thought on Socialism with Chinese Characteristics for a New Era, continue to adhere to the guiding principles of seeking progress while maintaining stability and to the new vision for development, </w:t>
      </w:r>
      <w:r>
        <w:rPr>
          <w:rFonts w:hint="eastAsia"/>
          <w:kern w:val="2"/>
          <w:sz w:val="24"/>
          <w:szCs w:val="24"/>
        </w:rPr>
        <w:t>focus on the three major tasks of serving the real economy, preventing financial risks</w:t>
      </w:r>
      <w:r>
        <w:rPr>
          <w:kern w:val="2"/>
          <w:sz w:val="24"/>
          <w:szCs w:val="24"/>
        </w:rPr>
        <w:t>,</w:t>
      </w:r>
      <w:r>
        <w:rPr>
          <w:rFonts w:hint="eastAsia"/>
          <w:kern w:val="2"/>
          <w:sz w:val="24"/>
          <w:szCs w:val="24"/>
        </w:rPr>
        <w:t xml:space="preserve"> and deepening financial reforms, strike a balance between stable growth, restructuring</w:t>
      </w:r>
      <w:r>
        <w:rPr>
          <w:kern w:val="2"/>
          <w:sz w:val="24"/>
          <w:szCs w:val="24"/>
        </w:rPr>
        <w:t>,</w:t>
      </w:r>
      <w:r>
        <w:rPr>
          <w:rFonts w:hint="eastAsia"/>
          <w:kern w:val="2"/>
          <w:sz w:val="24"/>
          <w:szCs w:val="24"/>
        </w:rPr>
        <w:t xml:space="preserve"> and risk prevention, and </w:t>
      </w:r>
      <w:r>
        <w:rPr>
          <w:kern w:val="2"/>
          <w:sz w:val="24"/>
          <w:szCs w:val="24"/>
        </w:rPr>
        <w:t>adopt innovative approaches and improve financial macro-management</w:t>
      </w:r>
      <w:r>
        <w:rPr>
          <w:rFonts w:hint="eastAsia"/>
          <w:kern w:val="2"/>
          <w:sz w:val="24"/>
          <w:szCs w:val="24"/>
        </w:rPr>
        <w:t>. Efforts will be made to</w:t>
      </w:r>
      <w:r>
        <w:rPr>
          <w:kern w:val="2"/>
          <w:sz w:val="24"/>
          <w:szCs w:val="24"/>
        </w:rPr>
        <w:t xml:space="preserve"> maintain policy consistency and stability, and to make policies more forward-looking, flexible, and </w:t>
      </w:r>
      <w:r>
        <w:rPr>
          <w:rFonts w:hint="eastAsia"/>
          <w:kern w:val="2"/>
          <w:sz w:val="24"/>
          <w:szCs w:val="24"/>
        </w:rPr>
        <w:t>better targeted</w:t>
      </w:r>
      <w:r>
        <w:rPr>
          <w:kern w:val="2"/>
          <w:sz w:val="24"/>
          <w:szCs w:val="24"/>
        </w:rPr>
        <w:t>. It is important that the sound monetary policy remains neutral, and efforts are made to control money supply,</w:t>
      </w:r>
      <w:r>
        <w:rPr>
          <w:rFonts w:hint="eastAsia"/>
          <w:kern w:val="2"/>
          <w:sz w:val="24"/>
          <w:szCs w:val="24"/>
        </w:rPr>
        <w:t xml:space="preserve"> balance </w:t>
      </w:r>
      <w:r>
        <w:rPr>
          <w:kern w:val="2"/>
          <w:sz w:val="24"/>
          <w:szCs w:val="24"/>
        </w:rPr>
        <w:t xml:space="preserve">numerous </w:t>
      </w:r>
      <w:r>
        <w:rPr>
          <w:rFonts w:hint="eastAsia"/>
          <w:kern w:val="2"/>
          <w:sz w:val="24"/>
          <w:szCs w:val="24"/>
        </w:rPr>
        <w:t xml:space="preserve">policy goals, and </w:t>
      </w:r>
      <w:r>
        <w:rPr>
          <w:kern w:val="2"/>
          <w:sz w:val="24"/>
          <w:szCs w:val="24"/>
        </w:rPr>
        <w:t>conduct fine-tunings based on changes in the situation</w:t>
      </w:r>
      <w:r>
        <w:rPr>
          <w:rFonts w:hint="eastAsia"/>
          <w:kern w:val="2"/>
          <w:sz w:val="24"/>
          <w:szCs w:val="24"/>
        </w:rPr>
        <w:t>. Efforts will be made to</w:t>
      </w:r>
      <w:r>
        <w:rPr>
          <w:kern w:val="2"/>
          <w:sz w:val="24"/>
          <w:szCs w:val="24"/>
        </w:rPr>
        <w:t xml:space="preserve"> enhance policy coordination, </w:t>
      </w:r>
      <w:r>
        <w:rPr>
          <w:rFonts w:hint="eastAsia"/>
          <w:kern w:val="2"/>
          <w:sz w:val="24"/>
          <w:szCs w:val="24"/>
        </w:rPr>
        <w:t xml:space="preserve">smooth </w:t>
      </w:r>
      <w:r>
        <w:rPr>
          <w:kern w:val="2"/>
          <w:sz w:val="24"/>
          <w:szCs w:val="24"/>
        </w:rPr>
        <w:t xml:space="preserve">the </w:t>
      </w:r>
      <w:r>
        <w:rPr>
          <w:rFonts w:hint="eastAsia"/>
          <w:kern w:val="2"/>
          <w:sz w:val="24"/>
          <w:szCs w:val="24"/>
        </w:rPr>
        <w:t>monetary</w:t>
      </w:r>
      <w:r>
        <w:rPr>
          <w:kern w:val="2"/>
          <w:sz w:val="24"/>
          <w:szCs w:val="24"/>
        </w:rPr>
        <w:t>-</w:t>
      </w:r>
      <w:r>
        <w:rPr>
          <w:rFonts w:hint="eastAsia"/>
          <w:kern w:val="2"/>
          <w:sz w:val="24"/>
          <w:szCs w:val="24"/>
        </w:rPr>
        <w:t xml:space="preserve">policy </w:t>
      </w:r>
      <w:r>
        <w:rPr>
          <w:rFonts w:hint="eastAsia"/>
          <w:kern w:val="2"/>
          <w:sz w:val="24"/>
          <w:szCs w:val="24"/>
        </w:rPr>
        <w:lastRenderedPageBreak/>
        <w:t xml:space="preserve">transmission channels, </w:t>
      </w:r>
      <w:r>
        <w:rPr>
          <w:kern w:val="2"/>
          <w:sz w:val="24"/>
          <w:szCs w:val="24"/>
        </w:rPr>
        <w:t xml:space="preserve">and </w:t>
      </w:r>
      <w:r>
        <w:rPr>
          <w:rFonts w:hint="eastAsia"/>
          <w:kern w:val="2"/>
          <w:sz w:val="24"/>
          <w:szCs w:val="24"/>
        </w:rPr>
        <w:t>adopt new monetary</w:t>
      </w:r>
      <w:r>
        <w:rPr>
          <w:kern w:val="2"/>
          <w:sz w:val="24"/>
          <w:szCs w:val="24"/>
        </w:rPr>
        <w:t>-</w:t>
      </w:r>
      <w:r>
        <w:rPr>
          <w:rFonts w:hint="eastAsia"/>
          <w:kern w:val="2"/>
          <w:sz w:val="24"/>
          <w:szCs w:val="24"/>
        </w:rPr>
        <w:t>policy instruments and mechanism</w:t>
      </w:r>
      <w:r>
        <w:rPr>
          <w:kern w:val="2"/>
          <w:sz w:val="24"/>
          <w:szCs w:val="24"/>
        </w:rPr>
        <w:t>s</w:t>
      </w:r>
      <w:r>
        <w:rPr>
          <w:rFonts w:hint="eastAsia"/>
          <w:kern w:val="2"/>
          <w:sz w:val="24"/>
          <w:szCs w:val="24"/>
        </w:rPr>
        <w:t xml:space="preserve"> so as to enhance the capacity and willingness of the </w:t>
      </w:r>
      <w:r>
        <w:rPr>
          <w:kern w:val="2"/>
          <w:sz w:val="24"/>
          <w:szCs w:val="24"/>
        </w:rPr>
        <w:t>financial</w:t>
      </w:r>
      <w:r>
        <w:rPr>
          <w:rFonts w:hint="eastAsia"/>
          <w:kern w:val="2"/>
          <w:sz w:val="24"/>
          <w:szCs w:val="24"/>
        </w:rPr>
        <w:t xml:space="preserve"> sector to serve the real economy. </w:t>
      </w:r>
      <w:r>
        <w:rPr>
          <w:kern w:val="2"/>
          <w:sz w:val="24"/>
          <w:szCs w:val="24"/>
        </w:rPr>
        <w:t>There will be more focus on</w:t>
      </w:r>
      <w:r>
        <w:rPr>
          <w:rFonts w:hint="eastAsia"/>
          <w:kern w:val="2"/>
          <w:sz w:val="24"/>
          <w:szCs w:val="24"/>
        </w:rPr>
        <w:t xml:space="preserve"> further deepening supply-side structural reform</w:t>
      </w:r>
      <w:r>
        <w:rPr>
          <w:kern w:val="2"/>
          <w:sz w:val="24"/>
          <w:szCs w:val="24"/>
        </w:rPr>
        <w:t>s</w:t>
      </w:r>
      <w:r>
        <w:rPr>
          <w:rFonts w:hint="eastAsia"/>
          <w:kern w:val="2"/>
          <w:sz w:val="24"/>
          <w:szCs w:val="24"/>
        </w:rPr>
        <w:t>, and a three-prong</w:t>
      </w:r>
      <w:r>
        <w:rPr>
          <w:kern w:val="2"/>
          <w:sz w:val="24"/>
          <w:szCs w:val="24"/>
        </w:rPr>
        <w:t>ed</w:t>
      </w:r>
      <w:r>
        <w:rPr>
          <w:rFonts w:hint="eastAsia"/>
          <w:kern w:val="2"/>
          <w:sz w:val="24"/>
          <w:szCs w:val="24"/>
        </w:rPr>
        <w:t xml:space="preserve"> approach </w:t>
      </w:r>
      <w:r>
        <w:rPr>
          <w:kern w:val="2"/>
          <w:sz w:val="24"/>
          <w:szCs w:val="24"/>
        </w:rPr>
        <w:t>for</w:t>
      </w:r>
      <w:r>
        <w:rPr>
          <w:rFonts w:hint="eastAsia"/>
          <w:kern w:val="2"/>
          <w:sz w:val="24"/>
          <w:szCs w:val="24"/>
        </w:rPr>
        <w:t xml:space="preserve"> implementing </w:t>
      </w:r>
      <w:r>
        <w:rPr>
          <w:kern w:val="2"/>
          <w:sz w:val="24"/>
          <w:szCs w:val="24"/>
        </w:rPr>
        <w:t xml:space="preserve">a </w:t>
      </w:r>
      <w:r>
        <w:rPr>
          <w:rFonts w:hint="eastAsia"/>
          <w:kern w:val="2"/>
          <w:sz w:val="24"/>
          <w:szCs w:val="24"/>
        </w:rPr>
        <w:t>sound and neutral monetary policy, enhancing</w:t>
      </w:r>
      <w:r>
        <w:rPr>
          <w:kern w:val="2"/>
          <w:sz w:val="24"/>
          <w:szCs w:val="24"/>
        </w:rPr>
        <w:t xml:space="preserve"> the</w:t>
      </w:r>
      <w:r>
        <w:rPr>
          <w:rFonts w:hint="eastAsia"/>
          <w:kern w:val="2"/>
          <w:sz w:val="24"/>
          <w:szCs w:val="24"/>
        </w:rPr>
        <w:t xml:space="preserve"> dynamism of market players</w:t>
      </w:r>
      <w:r>
        <w:rPr>
          <w:kern w:val="2"/>
          <w:sz w:val="24"/>
          <w:szCs w:val="24"/>
        </w:rPr>
        <w:t>,</w:t>
      </w:r>
      <w:r>
        <w:rPr>
          <w:rFonts w:hint="eastAsia"/>
          <w:kern w:val="2"/>
          <w:sz w:val="24"/>
          <w:szCs w:val="24"/>
        </w:rPr>
        <w:t xml:space="preserve"> and tapping the capital market</w:t>
      </w:r>
      <w:r>
        <w:rPr>
          <w:kern w:val="2"/>
          <w:sz w:val="24"/>
          <w:szCs w:val="24"/>
        </w:rPr>
        <w:t xml:space="preserve"> so as</w:t>
      </w:r>
      <w:r>
        <w:rPr>
          <w:rFonts w:hint="eastAsia"/>
          <w:kern w:val="2"/>
          <w:sz w:val="24"/>
          <w:szCs w:val="24"/>
        </w:rPr>
        <w:t xml:space="preserve"> to</w:t>
      </w:r>
      <w:r>
        <w:rPr>
          <w:kern w:val="2"/>
          <w:sz w:val="24"/>
          <w:szCs w:val="24"/>
        </w:rPr>
        <w:t xml:space="preserve"> </w:t>
      </w:r>
      <w:r>
        <w:rPr>
          <w:rFonts w:hint="eastAsia"/>
          <w:kern w:val="2"/>
          <w:sz w:val="24"/>
          <w:szCs w:val="24"/>
        </w:rPr>
        <w:t xml:space="preserve">foster </w:t>
      </w:r>
      <w:r>
        <w:rPr>
          <w:kern w:val="2"/>
          <w:sz w:val="24"/>
          <w:szCs w:val="24"/>
        </w:rPr>
        <w:t>on the whole</w:t>
      </w:r>
      <w:r>
        <w:rPr>
          <w:rFonts w:hint="eastAsia"/>
          <w:kern w:val="2"/>
          <w:sz w:val="24"/>
          <w:szCs w:val="24"/>
        </w:rPr>
        <w:t xml:space="preserve"> a virtuous c</w:t>
      </w:r>
      <w:r>
        <w:rPr>
          <w:kern w:val="2"/>
          <w:sz w:val="24"/>
          <w:szCs w:val="24"/>
        </w:rPr>
        <w:t xml:space="preserve">ycle in the national </w:t>
      </w:r>
      <w:r>
        <w:rPr>
          <w:rFonts w:hint="eastAsia"/>
          <w:kern w:val="2"/>
          <w:sz w:val="24"/>
          <w:szCs w:val="24"/>
        </w:rPr>
        <w:t>economy.</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kern w:val="2"/>
          <w:sz w:val="24"/>
          <w:szCs w:val="24"/>
        </w:rPr>
      </w:pPr>
      <w:r>
        <w:rPr>
          <w:b/>
          <w:kern w:val="2"/>
          <w:sz w:val="24"/>
          <w:szCs w:val="24"/>
        </w:rPr>
        <w:t xml:space="preserve">First, </w:t>
      </w:r>
      <w:r>
        <w:rPr>
          <w:rFonts w:hint="eastAsia"/>
          <w:b/>
          <w:kern w:val="2"/>
          <w:sz w:val="24"/>
          <w:szCs w:val="24"/>
        </w:rPr>
        <w:t xml:space="preserve">the PBC will implement </w:t>
      </w:r>
      <w:r>
        <w:rPr>
          <w:b/>
          <w:kern w:val="2"/>
          <w:sz w:val="24"/>
          <w:szCs w:val="24"/>
        </w:rPr>
        <w:t xml:space="preserve">a </w:t>
      </w:r>
      <w:r>
        <w:rPr>
          <w:rFonts w:hint="eastAsia"/>
          <w:b/>
          <w:kern w:val="2"/>
          <w:sz w:val="24"/>
          <w:szCs w:val="24"/>
        </w:rPr>
        <w:t xml:space="preserve">sound and neutral monetary </w:t>
      </w:r>
      <w:r>
        <w:rPr>
          <w:b/>
          <w:kern w:val="2"/>
          <w:sz w:val="24"/>
          <w:szCs w:val="24"/>
        </w:rPr>
        <w:t>policy</w:t>
      </w:r>
      <w:r>
        <w:rPr>
          <w:rFonts w:hint="eastAsia"/>
          <w:b/>
          <w:kern w:val="2"/>
          <w:sz w:val="24"/>
          <w:szCs w:val="24"/>
        </w:rPr>
        <w:t xml:space="preserve"> in a more forward-looking, flexible</w:t>
      </w:r>
      <w:r>
        <w:rPr>
          <w:b/>
          <w:kern w:val="2"/>
          <w:sz w:val="24"/>
          <w:szCs w:val="24"/>
        </w:rPr>
        <w:t>,</w:t>
      </w:r>
      <w:r>
        <w:rPr>
          <w:rFonts w:hint="eastAsia"/>
          <w:b/>
          <w:kern w:val="2"/>
          <w:sz w:val="24"/>
          <w:szCs w:val="24"/>
        </w:rPr>
        <w:t xml:space="preserve"> and well-targeted manner.</w:t>
      </w:r>
      <w:r>
        <w:rPr>
          <w:b/>
          <w:kern w:val="2"/>
          <w:sz w:val="24"/>
          <w:szCs w:val="24"/>
        </w:rPr>
        <w:t xml:space="preserve"> </w:t>
      </w:r>
      <w:r>
        <w:rPr>
          <w:rFonts w:hint="eastAsia"/>
          <w:kern w:val="2"/>
          <w:sz w:val="24"/>
          <w:szCs w:val="24"/>
        </w:rPr>
        <w:t>The</w:t>
      </w:r>
      <w:r>
        <w:rPr>
          <w:rFonts w:hint="eastAsia"/>
          <w:b/>
          <w:kern w:val="2"/>
          <w:sz w:val="24"/>
          <w:szCs w:val="24"/>
        </w:rPr>
        <w:t xml:space="preserve"> </w:t>
      </w:r>
      <w:r>
        <w:rPr>
          <w:rFonts w:hint="eastAsia"/>
          <w:kern w:val="2"/>
          <w:sz w:val="24"/>
          <w:szCs w:val="24"/>
        </w:rPr>
        <w:t>two</w:t>
      </w:r>
      <w:r>
        <w:rPr>
          <w:kern w:val="2"/>
          <w:sz w:val="24"/>
          <w:szCs w:val="24"/>
        </w:rPr>
        <w:t>-</w:t>
      </w:r>
      <w:r>
        <w:rPr>
          <w:rFonts w:hint="eastAsia"/>
          <w:kern w:val="2"/>
          <w:sz w:val="24"/>
          <w:szCs w:val="24"/>
        </w:rPr>
        <w:t>pillar macro-management framework of monetary policy and macro-prudential policy will be improved by guarding the gate of money supply, flexibly adopting a mix of monetary</w:t>
      </w:r>
      <w:r>
        <w:rPr>
          <w:kern w:val="2"/>
          <w:sz w:val="24"/>
          <w:szCs w:val="24"/>
        </w:rPr>
        <w:t>-</w:t>
      </w:r>
      <w:r>
        <w:rPr>
          <w:rFonts w:hint="eastAsia"/>
          <w:kern w:val="2"/>
          <w:sz w:val="24"/>
          <w:szCs w:val="24"/>
        </w:rPr>
        <w:t xml:space="preserve"> policy tools in a well-coordinated and well-paced manner, </w:t>
      </w:r>
      <w:r>
        <w:rPr>
          <w:kern w:val="2"/>
          <w:sz w:val="24"/>
          <w:szCs w:val="24"/>
        </w:rPr>
        <w:t xml:space="preserve">and </w:t>
      </w:r>
      <w:r>
        <w:rPr>
          <w:rFonts w:hint="eastAsia"/>
          <w:kern w:val="2"/>
          <w:sz w:val="24"/>
          <w:szCs w:val="24"/>
        </w:rPr>
        <w:t xml:space="preserve">fine-tuning in a forward-looking manner to keep liquidity at an adequate level and </w:t>
      </w:r>
      <w:r>
        <w:rPr>
          <w:kern w:val="2"/>
          <w:sz w:val="24"/>
          <w:szCs w:val="24"/>
        </w:rPr>
        <w:t xml:space="preserve">to </w:t>
      </w:r>
      <w:r>
        <w:rPr>
          <w:rFonts w:hint="eastAsia"/>
          <w:kern w:val="2"/>
          <w:sz w:val="24"/>
          <w:szCs w:val="24"/>
        </w:rPr>
        <w:t xml:space="preserve">maintain </w:t>
      </w:r>
      <w:r>
        <w:rPr>
          <w:kern w:val="2"/>
          <w:sz w:val="24"/>
          <w:szCs w:val="24"/>
        </w:rPr>
        <w:t>reasonable</w:t>
      </w:r>
      <w:r>
        <w:rPr>
          <w:rFonts w:hint="eastAsia"/>
          <w:kern w:val="2"/>
          <w:sz w:val="24"/>
          <w:szCs w:val="24"/>
        </w:rPr>
        <w:t xml:space="preserve"> growth of money, </w:t>
      </w:r>
      <w:r>
        <w:rPr>
          <w:kern w:val="2"/>
          <w:sz w:val="24"/>
          <w:szCs w:val="24"/>
        </w:rPr>
        <w:t>credit,</w:t>
      </w:r>
      <w:r>
        <w:rPr>
          <w:rFonts w:hint="eastAsia"/>
          <w:kern w:val="2"/>
          <w:sz w:val="24"/>
          <w:szCs w:val="24"/>
        </w:rPr>
        <w:t xml:space="preserve"> and total social financing. </w:t>
      </w:r>
      <w:r>
        <w:rPr>
          <w:kern w:val="2"/>
          <w:sz w:val="24"/>
          <w:szCs w:val="24"/>
        </w:rPr>
        <w:t>Measures will be taken to further enhance macro-prudential management, make full use of the MPA in counter-cyclical adjustments, and to take advantage of its role to guide financial institutions to give more support to micro and small enterprises</w:t>
      </w:r>
      <w:r>
        <w:rPr>
          <w:rFonts w:hint="eastAsia"/>
          <w:kern w:val="2"/>
          <w:sz w:val="24"/>
          <w:szCs w:val="24"/>
        </w:rPr>
        <w:t>, private enterprises</w:t>
      </w:r>
      <w:r>
        <w:rPr>
          <w:kern w:val="2"/>
          <w:sz w:val="24"/>
          <w:szCs w:val="24"/>
        </w:rPr>
        <w:t>,</w:t>
      </w:r>
      <w:r>
        <w:rPr>
          <w:rFonts w:hint="eastAsia"/>
          <w:kern w:val="2"/>
          <w:sz w:val="24"/>
          <w:szCs w:val="24"/>
        </w:rPr>
        <w:t xml:space="preserve"> and other weak links</w:t>
      </w:r>
      <w:r>
        <w:rPr>
          <w:kern w:val="2"/>
          <w:sz w:val="24"/>
          <w:szCs w:val="24"/>
        </w:rPr>
        <w:t xml:space="preserve"> in the economy.</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kern w:val="2"/>
          <w:sz w:val="24"/>
          <w:szCs w:val="24"/>
        </w:rPr>
      </w:pPr>
      <w:r>
        <w:rPr>
          <w:b/>
          <w:kern w:val="2"/>
          <w:sz w:val="24"/>
          <w:szCs w:val="24"/>
        </w:rPr>
        <w:t xml:space="preserve">Second, </w:t>
      </w:r>
      <w:r>
        <w:rPr>
          <w:rFonts w:hint="eastAsia"/>
          <w:b/>
          <w:kern w:val="2"/>
          <w:sz w:val="24"/>
          <w:szCs w:val="24"/>
        </w:rPr>
        <w:t>monetary policy will promote structur</w:t>
      </w:r>
      <w:r>
        <w:rPr>
          <w:b/>
          <w:kern w:val="2"/>
          <w:sz w:val="24"/>
          <w:szCs w:val="24"/>
        </w:rPr>
        <w:t>al</w:t>
      </w:r>
      <w:r>
        <w:rPr>
          <w:rFonts w:hint="eastAsia"/>
          <w:b/>
          <w:kern w:val="2"/>
          <w:sz w:val="24"/>
          <w:szCs w:val="24"/>
        </w:rPr>
        <w:t xml:space="preserve"> optimization</w:t>
      </w:r>
      <w:r>
        <w:rPr>
          <w:b/>
          <w:kern w:val="2"/>
          <w:sz w:val="24"/>
          <w:szCs w:val="24"/>
        </w:rPr>
        <w:t xml:space="preserve"> </w:t>
      </w:r>
      <w:r>
        <w:rPr>
          <w:rFonts w:hint="eastAsia"/>
          <w:b/>
          <w:kern w:val="2"/>
          <w:sz w:val="24"/>
          <w:szCs w:val="24"/>
        </w:rPr>
        <w:t>and</w:t>
      </w:r>
      <w:r>
        <w:rPr>
          <w:b/>
          <w:kern w:val="2"/>
          <w:sz w:val="24"/>
          <w:szCs w:val="24"/>
        </w:rPr>
        <w:t xml:space="preserve"> support economic </w:t>
      </w:r>
      <w:r>
        <w:rPr>
          <w:rFonts w:hint="eastAsia"/>
          <w:b/>
          <w:kern w:val="2"/>
          <w:sz w:val="24"/>
          <w:szCs w:val="24"/>
        </w:rPr>
        <w:t>restructuring</w:t>
      </w:r>
      <w:r>
        <w:rPr>
          <w:b/>
          <w:kern w:val="2"/>
          <w:sz w:val="24"/>
          <w:szCs w:val="24"/>
        </w:rPr>
        <w:t xml:space="preserve">, transformation, and upgrading. </w:t>
      </w:r>
      <w:r>
        <w:rPr>
          <w:rFonts w:hint="eastAsia"/>
          <w:kern w:val="2"/>
          <w:sz w:val="24"/>
          <w:szCs w:val="24"/>
        </w:rPr>
        <w:t>Structural monetary</w:t>
      </w:r>
      <w:r>
        <w:rPr>
          <w:kern w:val="2"/>
          <w:sz w:val="24"/>
          <w:szCs w:val="24"/>
        </w:rPr>
        <w:t>-</w:t>
      </w:r>
      <w:r>
        <w:rPr>
          <w:rFonts w:hint="eastAsia"/>
          <w:kern w:val="2"/>
          <w:sz w:val="24"/>
          <w:szCs w:val="24"/>
        </w:rPr>
        <w:t xml:space="preserve">policy tools will be </w:t>
      </w:r>
      <w:r>
        <w:rPr>
          <w:kern w:val="2"/>
          <w:sz w:val="24"/>
          <w:szCs w:val="24"/>
        </w:rPr>
        <w:t>deployed</w:t>
      </w:r>
      <w:r>
        <w:rPr>
          <w:rFonts w:hint="eastAsia"/>
          <w:kern w:val="2"/>
          <w:sz w:val="24"/>
          <w:szCs w:val="24"/>
        </w:rPr>
        <w:t xml:space="preserve"> to provide well-targeted support to market players. </w:t>
      </w:r>
      <w:r>
        <w:rPr>
          <w:kern w:val="2"/>
          <w:sz w:val="24"/>
          <w:szCs w:val="24"/>
        </w:rPr>
        <w:t>N</w:t>
      </w:r>
      <w:r>
        <w:rPr>
          <w:rFonts w:hint="eastAsia"/>
          <w:kern w:val="2"/>
          <w:sz w:val="24"/>
          <w:szCs w:val="24"/>
        </w:rPr>
        <w:t>ew monetary</w:t>
      </w:r>
      <w:r>
        <w:rPr>
          <w:kern w:val="2"/>
          <w:sz w:val="24"/>
          <w:szCs w:val="24"/>
        </w:rPr>
        <w:t>-</w:t>
      </w:r>
      <w:r>
        <w:rPr>
          <w:rFonts w:hint="eastAsia"/>
          <w:kern w:val="2"/>
          <w:sz w:val="24"/>
          <w:szCs w:val="24"/>
        </w:rPr>
        <w:t xml:space="preserve">policy instruments will be designed to help viable market players with temporary difficulties </w:t>
      </w:r>
      <w:r>
        <w:rPr>
          <w:kern w:val="2"/>
          <w:sz w:val="24"/>
          <w:szCs w:val="24"/>
        </w:rPr>
        <w:t>to</w:t>
      </w:r>
      <w:r>
        <w:rPr>
          <w:rFonts w:hint="eastAsia"/>
          <w:kern w:val="2"/>
          <w:sz w:val="24"/>
          <w:szCs w:val="24"/>
        </w:rPr>
        <w:t xml:space="preserve"> remedy market failure</w:t>
      </w:r>
      <w:r>
        <w:rPr>
          <w:kern w:val="2"/>
          <w:sz w:val="24"/>
          <w:szCs w:val="24"/>
        </w:rPr>
        <w:t>s</w:t>
      </w:r>
      <w:r>
        <w:rPr>
          <w:rFonts w:hint="eastAsia"/>
          <w:kern w:val="2"/>
          <w:sz w:val="24"/>
          <w:szCs w:val="24"/>
        </w:rPr>
        <w:t xml:space="preserve">. Measures providing targeted and precise support </w:t>
      </w:r>
      <w:r>
        <w:rPr>
          <w:kern w:val="2"/>
          <w:sz w:val="24"/>
          <w:szCs w:val="24"/>
        </w:rPr>
        <w:t>for already launched policies</w:t>
      </w:r>
      <w:r>
        <w:rPr>
          <w:rFonts w:hint="eastAsia"/>
          <w:kern w:val="2"/>
          <w:sz w:val="24"/>
          <w:szCs w:val="24"/>
        </w:rPr>
        <w:t xml:space="preserve"> will be implemented. </w:t>
      </w:r>
      <w:r>
        <w:rPr>
          <w:kern w:val="2"/>
          <w:sz w:val="24"/>
          <w:szCs w:val="24"/>
        </w:rPr>
        <w:t>A b</w:t>
      </w:r>
      <w:r>
        <w:rPr>
          <w:rFonts w:hint="eastAsia"/>
          <w:kern w:val="2"/>
          <w:sz w:val="24"/>
          <w:szCs w:val="24"/>
        </w:rPr>
        <w:t>ond financing support instrument</w:t>
      </w:r>
      <w:r>
        <w:rPr>
          <w:kern w:val="2"/>
          <w:sz w:val="24"/>
          <w:szCs w:val="24"/>
        </w:rPr>
        <w:t xml:space="preserve"> for private enterprises</w:t>
      </w:r>
      <w:r>
        <w:rPr>
          <w:rFonts w:hint="eastAsia"/>
          <w:kern w:val="2"/>
          <w:sz w:val="24"/>
          <w:szCs w:val="24"/>
        </w:rPr>
        <w:t xml:space="preserve"> will be implemented, and </w:t>
      </w:r>
      <w:r>
        <w:rPr>
          <w:kern w:val="2"/>
          <w:sz w:val="24"/>
          <w:szCs w:val="24"/>
        </w:rPr>
        <w:t xml:space="preserve">an </w:t>
      </w:r>
      <w:r>
        <w:rPr>
          <w:rFonts w:hint="eastAsia"/>
          <w:kern w:val="2"/>
          <w:sz w:val="24"/>
          <w:szCs w:val="24"/>
        </w:rPr>
        <w:t>equity financing support instrument will be designed and put in</w:t>
      </w:r>
      <w:r>
        <w:rPr>
          <w:kern w:val="2"/>
          <w:sz w:val="24"/>
          <w:szCs w:val="24"/>
        </w:rPr>
        <w:t>to</w:t>
      </w:r>
      <w:r>
        <w:rPr>
          <w:rFonts w:hint="eastAsia"/>
          <w:kern w:val="2"/>
          <w:sz w:val="24"/>
          <w:szCs w:val="24"/>
        </w:rPr>
        <w:t xml:space="preserve"> place to improve </w:t>
      </w:r>
      <w:r>
        <w:rPr>
          <w:kern w:val="2"/>
          <w:sz w:val="24"/>
          <w:szCs w:val="24"/>
        </w:rPr>
        <w:t xml:space="preserve">the financing of </w:t>
      </w:r>
      <w:r>
        <w:rPr>
          <w:rFonts w:hint="eastAsia"/>
          <w:kern w:val="2"/>
          <w:sz w:val="24"/>
          <w:szCs w:val="24"/>
        </w:rPr>
        <w:t>private enterprises</w:t>
      </w:r>
      <w:r>
        <w:rPr>
          <w:kern w:val="2"/>
          <w:sz w:val="24"/>
          <w:szCs w:val="24"/>
        </w:rPr>
        <w:t xml:space="preserve"> </w:t>
      </w:r>
      <w:r>
        <w:rPr>
          <w:rFonts w:hint="eastAsia"/>
          <w:kern w:val="2"/>
          <w:sz w:val="24"/>
          <w:szCs w:val="24"/>
        </w:rPr>
        <w:t>via credit, bond</w:t>
      </w:r>
      <w:r>
        <w:rPr>
          <w:kern w:val="2"/>
          <w:sz w:val="24"/>
          <w:szCs w:val="24"/>
        </w:rPr>
        <w:t>s,</w:t>
      </w:r>
      <w:r>
        <w:rPr>
          <w:rFonts w:hint="eastAsia"/>
          <w:kern w:val="2"/>
          <w:sz w:val="24"/>
          <w:szCs w:val="24"/>
        </w:rPr>
        <w:t xml:space="preserve"> and equity. </w:t>
      </w:r>
      <w:r>
        <w:rPr>
          <w:kern w:val="2"/>
          <w:sz w:val="24"/>
          <w:szCs w:val="24"/>
        </w:rPr>
        <w:t>F</w:t>
      </w:r>
      <w:r>
        <w:rPr>
          <w:rFonts w:hint="eastAsia"/>
          <w:kern w:val="2"/>
          <w:sz w:val="24"/>
          <w:szCs w:val="24"/>
        </w:rPr>
        <w:t>inancial institutions will be guided to treat state-owned and private enterprises as equal</w:t>
      </w:r>
      <w:r>
        <w:rPr>
          <w:kern w:val="2"/>
          <w:sz w:val="24"/>
          <w:szCs w:val="24"/>
        </w:rPr>
        <w:t>s</w:t>
      </w:r>
      <w:r>
        <w:rPr>
          <w:rFonts w:hint="eastAsia"/>
          <w:kern w:val="2"/>
          <w:sz w:val="24"/>
          <w:szCs w:val="24"/>
        </w:rPr>
        <w:t xml:space="preserve">, and </w:t>
      </w:r>
      <w:r>
        <w:rPr>
          <w:kern w:val="2"/>
          <w:sz w:val="24"/>
          <w:szCs w:val="24"/>
        </w:rPr>
        <w:t xml:space="preserve">to </w:t>
      </w:r>
      <w:r>
        <w:rPr>
          <w:rFonts w:hint="eastAsia"/>
          <w:kern w:val="2"/>
          <w:sz w:val="24"/>
          <w:szCs w:val="24"/>
        </w:rPr>
        <w:t xml:space="preserve">enhance financing support to private enterprises based on market principles. </w:t>
      </w:r>
      <w:r>
        <w:rPr>
          <w:kern w:val="2"/>
          <w:sz w:val="24"/>
          <w:szCs w:val="24"/>
        </w:rPr>
        <w:t>F</w:t>
      </w:r>
      <w:r>
        <w:rPr>
          <w:rFonts w:hint="eastAsia"/>
          <w:kern w:val="2"/>
          <w:sz w:val="24"/>
          <w:szCs w:val="24"/>
        </w:rPr>
        <w:t xml:space="preserve">inancial support </w:t>
      </w:r>
      <w:r>
        <w:rPr>
          <w:rFonts w:hint="eastAsia"/>
          <w:kern w:val="2"/>
          <w:sz w:val="24"/>
          <w:szCs w:val="24"/>
        </w:rPr>
        <w:lastRenderedPageBreak/>
        <w:t xml:space="preserve">to key areas and weak links </w:t>
      </w:r>
      <w:r>
        <w:rPr>
          <w:kern w:val="2"/>
          <w:sz w:val="24"/>
          <w:szCs w:val="24"/>
        </w:rPr>
        <w:t>in</w:t>
      </w:r>
      <w:r>
        <w:rPr>
          <w:rFonts w:hint="eastAsia"/>
          <w:kern w:val="2"/>
          <w:sz w:val="24"/>
          <w:szCs w:val="24"/>
        </w:rPr>
        <w:t xml:space="preserve"> </w:t>
      </w:r>
      <w:r>
        <w:rPr>
          <w:kern w:val="2"/>
          <w:sz w:val="24"/>
          <w:szCs w:val="24"/>
        </w:rPr>
        <w:t>the</w:t>
      </w:r>
      <w:r>
        <w:rPr>
          <w:rFonts w:hint="eastAsia"/>
          <w:kern w:val="2"/>
          <w:sz w:val="24"/>
          <w:szCs w:val="24"/>
        </w:rPr>
        <w:t xml:space="preserve"> economy</w:t>
      </w:r>
      <w:r>
        <w:rPr>
          <w:kern w:val="2"/>
          <w:sz w:val="24"/>
          <w:szCs w:val="24"/>
        </w:rPr>
        <w:t>,</w:t>
      </w:r>
      <w:r>
        <w:rPr>
          <w:rFonts w:hint="eastAsia"/>
          <w:kern w:val="2"/>
          <w:sz w:val="24"/>
          <w:szCs w:val="24"/>
        </w:rPr>
        <w:t xml:space="preserve"> such as small and micro-enterprises</w:t>
      </w:r>
      <w:r>
        <w:rPr>
          <w:kern w:val="2"/>
          <w:sz w:val="24"/>
          <w:szCs w:val="24"/>
        </w:rPr>
        <w:t>,</w:t>
      </w:r>
      <w:r>
        <w:rPr>
          <w:rFonts w:hint="eastAsia"/>
          <w:kern w:val="2"/>
          <w:sz w:val="24"/>
          <w:szCs w:val="24"/>
        </w:rPr>
        <w:t xml:space="preserve"> will be enhanced by adopting targeted cut</w:t>
      </w:r>
      <w:r>
        <w:rPr>
          <w:kern w:val="2"/>
          <w:sz w:val="24"/>
          <w:szCs w:val="24"/>
        </w:rPr>
        <w:t>s</w:t>
      </w:r>
      <w:r>
        <w:rPr>
          <w:rFonts w:hint="eastAsia"/>
          <w:kern w:val="2"/>
          <w:sz w:val="24"/>
          <w:szCs w:val="24"/>
        </w:rPr>
        <w:t xml:space="preserve"> o</w:t>
      </w:r>
      <w:r>
        <w:rPr>
          <w:kern w:val="2"/>
          <w:sz w:val="24"/>
          <w:szCs w:val="24"/>
        </w:rPr>
        <w:t xml:space="preserve">n the </w:t>
      </w:r>
      <w:r>
        <w:rPr>
          <w:rFonts w:hint="eastAsia"/>
          <w:kern w:val="2"/>
          <w:sz w:val="24"/>
          <w:szCs w:val="24"/>
        </w:rPr>
        <w:t>reserve requirement ratio, central</w:t>
      </w:r>
      <w:r>
        <w:rPr>
          <w:kern w:val="2"/>
          <w:sz w:val="24"/>
          <w:szCs w:val="24"/>
        </w:rPr>
        <w:t>-</w:t>
      </w:r>
      <w:r>
        <w:rPr>
          <w:rFonts w:hint="eastAsia"/>
          <w:kern w:val="2"/>
          <w:sz w:val="24"/>
          <w:szCs w:val="24"/>
        </w:rPr>
        <w:t>bank l</w:t>
      </w:r>
      <w:r>
        <w:rPr>
          <w:kern w:val="2"/>
          <w:sz w:val="24"/>
          <w:szCs w:val="24"/>
        </w:rPr>
        <w:t>e</w:t>
      </w:r>
      <w:r>
        <w:rPr>
          <w:rFonts w:hint="eastAsia"/>
          <w:kern w:val="2"/>
          <w:sz w:val="24"/>
          <w:szCs w:val="24"/>
        </w:rPr>
        <w:t>nding, central</w:t>
      </w:r>
      <w:r>
        <w:rPr>
          <w:kern w:val="2"/>
          <w:sz w:val="24"/>
          <w:szCs w:val="24"/>
        </w:rPr>
        <w:t>-</w:t>
      </w:r>
      <w:r>
        <w:rPr>
          <w:rFonts w:hint="eastAsia"/>
          <w:kern w:val="2"/>
          <w:sz w:val="24"/>
          <w:szCs w:val="24"/>
        </w:rPr>
        <w:t>bank discount</w:t>
      </w:r>
      <w:r>
        <w:rPr>
          <w:kern w:val="2"/>
          <w:sz w:val="24"/>
          <w:szCs w:val="24"/>
        </w:rPr>
        <w:t>s</w:t>
      </w:r>
      <w:r>
        <w:rPr>
          <w:rFonts w:hint="eastAsia"/>
          <w:kern w:val="2"/>
          <w:sz w:val="24"/>
          <w:szCs w:val="24"/>
        </w:rPr>
        <w:t xml:space="preserve">, pledged supplementary lending, and </w:t>
      </w:r>
      <w:r>
        <w:rPr>
          <w:kern w:val="2"/>
          <w:sz w:val="24"/>
          <w:szCs w:val="24"/>
        </w:rPr>
        <w:t xml:space="preserve">by </w:t>
      </w:r>
      <w:r>
        <w:rPr>
          <w:rFonts w:hint="eastAsia"/>
          <w:kern w:val="2"/>
          <w:sz w:val="24"/>
          <w:szCs w:val="24"/>
        </w:rPr>
        <w:t>widening the scope of eligible collateral for medium-term lending facilities, so as to provide financial services to more small and micro-enterprises with more input</w:t>
      </w:r>
      <w:r>
        <w:rPr>
          <w:kern w:val="2"/>
          <w:sz w:val="24"/>
          <w:szCs w:val="24"/>
        </w:rPr>
        <w:t>s and</w:t>
      </w:r>
      <w:r>
        <w:rPr>
          <w:rFonts w:hint="eastAsia"/>
          <w:kern w:val="2"/>
          <w:sz w:val="24"/>
          <w:szCs w:val="24"/>
        </w:rPr>
        <w:t xml:space="preserve"> lower cost</w:t>
      </w:r>
      <w:r>
        <w:rPr>
          <w:kern w:val="2"/>
          <w:sz w:val="24"/>
          <w:szCs w:val="24"/>
        </w:rPr>
        <w:t xml:space="preserve">s, </w:t>
      </w:r>
      <w:r>
        <w:rPr>
          <w:rFonts w:hint="eastAsia"/>
          <w:kern w:val="2"/>
          <w:sz w:val="24"/>
          <w:szCs w:val="24"/>
        </w:rPr>
        <w:t xml:space="preserve">and </w:t>
      </w:r>
      <w:r>
        <w:rPr>
          <w:kern w:val="2"/>
          <w:sz w:val="24"/>
          <w:szCs w:val="24"/>
        </w:rPr>
        <w:t xml:space="preserve">to </w:t>
      </w:r>
      <w:r>
        <w:rPr>
          <w:rFonts w:hint="eastAsia"/>
          <w:kern w:val="2"/>
          <w:sz w:val="24"/>
          <w:szCs w:val="24"/>
        </w:rPr>
        <w:t xml:space="preserve">keep risks under control. </w:t>
      </w:r>
      <w:r>
        <w:rPr>
          <w:kern w:val="2"/>
          <w:sz w:val="24"/>
          <w:szCs w:val="24"/>
        </w:rPr>
        <w:t>P</w:t>
      </w:r>
      <w:r>
        <w:rPr>
          <w:rFonts w:hint="eastAsia"/>
          <w:kern w:val="2"/>
          <w:sz w:val="24"/>
          <w:szCs w:val="24"/>
        </w:rPr>
        <w:t xml:space="preserve">olicy </w:t>
      </w:r>
      <w:r>
        <w:rPr>
          <w:kern w:val="2"/>
          <w:sz w:val="24"/>
          <w:szCs w:val="24"/>
        </w:rPr>
        <w:t>requirements</w:t>
      </w:r>
      <w:r>
        <w:rPr>
          <w:rFonts w:hint="eastAsia"/>
          <w:kern w:val="2"/>
          <w:sz w:val="24"/>
          <w:szCs w:val="24"/>
        </w:rPr>
        <w:t xml:space="preserve"> will be implemented by curbing new contingent liabilities, soundly </w:t>
      </w:r>
      <w:r>
        <w:rPr>
          <w:kern w:val="2"/>
          <w:sz w:val="24"/>
          <w:szCs w:val="24"/>
        </w:rPr>
        <w:t xml:space="preserve">tackling the stock of bank debt, and </w:t>
      </w:r>
      <w:r>
        <w:rPr>
          <w:rFonts w:hint="eastAsia"/>
          <w:kern w:val="2"/>
          <w:sz w:val="24"/>
          <w:szCs w:val="24"/>
        </w:rPr>
        <w:t>promo</w:t>
      </w:r>
      <w:r>
        <w:rPr>
          <w:kern w:val="2"/>
          <w:sz w:val="24"/>
          <w:szCs w:val="24"/>
        </w:rPr>
        <w:t>ting</w:t>
      </w:r>
      <w:r>
        <w:rPr>
          <w:rFonts w:hint="eastAsia"/>
          <w:kern w:val="2"/>
          <w:sz w:val="24"/>
          <w:szCs w:val="24"/>
        </w:rPr>
        <w:t xml:space="preserve"> resolution in a categorized manner so as to protect </w:t>
      </w:r>
      <w:r>
        <w:rPr>
          <w:kern w:val="2"/>
          <w:sz w:val="24"/>
          <w:szCs w:val="24"/>
        </w:rPr>
        <w:t xml:space="preserve">the </w:t>
      </w:r>
      <w:r>
        <w:rPr>
          <w:rFonts w:hint="eastAsia"/>
          <w:kern w:val="2"/>
          <w:sz w:val="24"/>
          <w:szCs w:val="24"/>
        </w:rPr>
        <w:t xml:space="preserve">lawful rights of creditors. </w:t>
      </w:r>
      <w:r>
        <w:rPr>
          <w:kern w:val="2"/>
          <w:sz w:val="24"/>
          <w:szCs w:val="24"/>
        </w:rPr>
        <w:t>A</w:t>
      </w:r>
      <w:r>
        <w:rPr>
          <w:rFonts w:hint="eastAsia"/>
          <w:kern w:val="2"/>
          <w:sz w:val="24"/>
          <w:szCs w:val="24"/>
        </w:rPr>
        <w:t xml:space="preserve">ctive support will be provided to help the industrial sector stabilize growth, adjust </w:t>
      </w:r>
      <w:r>
        <w:rPr>
          <w:kern w:val="2"/>
          <w:sz w:val="24"/>
          <w:szCs w:val="24"/>
        </w:rPr>
        <w:t xml:space="preserve">the </w:t>
      </w:r>
      <w:r>
        <w:rPr>
          <w:rFonts w:hint="eastAsia"/>
          <w:kern w:val="2"/>
          <w:sz w:val="24"/>
          <w:szCs w:val="24"/>
        </w:rPr>
        <w:t>structure</w:t>
      </w:r>
      <w:r>
        <w:rPr>
          <w:kern w:val="2"/>
          <w:sz w:val="24"/>
          <w:szCs w:val="24"/>
        </w:rPr>
        <w:t>,</w:t>
      </w:r>
      <w:r>
        <w:rPr>
          <w:rFonts w:hint="eastAsia"/>
          <w:kern w:val="2"/>
          <w:sz w:val="24"/>
          <w:szCs w:val="24"/>
        </w:rPr>
        <w:t xml:space="preserve"> enhance efficiency, optimize financial support and service</w:t>
      </w:r>
      <w:r>
        <w:rPr>
          <w:kern w:val="2"/>
          <w:sz w:val="24"/>
          <w:szCs w:val="24"/>
        </w:rPr>
        <w:t>s</w:t>
      </w:r>
      <w:r>
        <w:rPr>
          <w:rFonts w:hint="eastAsia"/>
          <w:kern w:val="2"/>
          <w:sz w:val="24"/>
          <w:szCs w:val="24"/>
        </w:rPr>
        <w:t xml:space="preserve"> to </w:t>
      </w:r>
      <w:r>
        <w:rPr>
          <w:kern w:val="2"/>
          <w:sz w:val="24"/>
          <w:szCs w:val="24"/>
        </w:rPr>
        <w:t xml:space="preserve">the </w:t>
      </w:r>
      <w:r>
        <w:rPr>
          <w:rFonts w:hint="eastAsia"/>
          <w:kern w:val="2"/>
          <w:sz w:val="24"/>
          <w:szCs w:val="24"/>
        </w:rPr>
        <w:t xml:space="preserve">transformation and upgrading of the manufacturing sector, and provide financial services </w:t>
      </w:r>
      <w:r>
        <w:rPr>
          <w:kern w:val="2"/>
          <w:sz w:val="24"/>
          <w:szCs w:val="24"/>
        </w:rPr>
        <w:t xml:space="preserve">to reduce </w:t>
      </w:r>
      <w:r>
        <w:rPr>
          <w:rFonts w:hint="eastAsia"/>
          <w:kern w:val="2"/>
          <w:sz w:val="24"/>
          <w:szCs w:val="24"/>
        </w:rPr>
        <w:t xml:space="preserve">overcapacity. </w:t>
      </w:r>
      <w:r>
        <w:rPr>
          <w:kern w:val="2"/>
          <w:sz w:val="24"/>
          <w:szCs w:val="24"/>
        </w:rPr>
        <w:t>M</w:t>
      </w:r>
      <w:r>
        <w:rPr>
          <w:rFonts w:hint="eastAsia"/>
          <w:kern w:val="2"/>
          <w:sz w:val="24"/>
          <w:szCs w:val="24"/>
        </w:rPr>
        <w:t xml:space="preserve">easures will be taken to deepen </w:t>
      </w:r>
      <w:r>
        <w:rPr>
          <w:kern w:val="2"/>
          <w:sz w:val="24"/>
          <w:szCs w:val="24"/>
        </w:rPr>
        <w:t xml:space="preserve">the </w:t>
      </w:r>
      <w:r>
        <w:rPr>
          <w:rFonts w:hint="eastAsia"/>
          <w:kern w:val="2"/>
          <w:sz w:val="24"/>
          <w:szCs w:val="24"/>
        </w:rPr>
        <w:t xml:space="preserve">coordinated development of technology and finance, </w:t>
      </w:r>
      <w:r>
        <w:rPr>
          <w:kern w:val="2"/>
          <w:sz w:val="24"/>
          <w:szCs w:val="24"/>
        </w:rPr>
        <w:t xml:space="preserve">to </w:t>
      </w:r>
      <w:r>
        <w:rPr>
          <w:rFonts w:hint="eastAsia"/>
          <w:kern w:val="2"/>
          <w:sz w:val="24"/>
          <w:szCs w:val="24"/>
        </w:rPr>
        <w:t xml:space="preserve">explore a long-term, market-based mechanism </w:t>
      </w:r>
      <w:r>
        <w:rPr>
          <w:kern w:val="2"/>
          <w:sz w:val="24"/>
          <w:szCs w:val="24"/>
        </w:rPr>
        <w:t>for</w:t>
      </w:r>
      <w:r>
        <w:rPr>
          <w:rFonts w:hint="eastAsia"/>
          <w:kern w:val="2"/>
          <w:sz w:val="24"/>
          <w:szCs w:val="24"/>
        </w:rPr>
        <w:t xml:space="preserve"> providing financial support </w:t>
      </w:r>
      <w:r>
        <w:rPr>
          <w:kern w:val="2"/>
          <w:sz w:val="24"/>
          <w:szCs w:val="24"/>
        </w:rPr>
        <w:t>for</w:t>
      </w:r>
      <w:r>
        <w:rPr>
          <w:rFonts w:hint="eastAsia"/>
          <w:kern w:val="2"/>
          <w:sz w:val="24"/>
          <w:szCs w:val="24"/>
        </w:rPr>
        <w:t xml:space="preserve"> indigenous innovation</w:t>
      </w:r>
      <w:r>
        <w:rPr>
          <w:kern w:val="2"/>
          <w:sz w:val="24"/>
          <w:szCs w:val="24"/>
        </w:rPr>
        <w:t>s</w:t>
      </w:r>
      <w:r>
        <w:rPr>
          <w:rFonts w:hint="eastAsia"/>
          <w:kern w:val="2"/>
          <w:sz w:val="24"/>
          <w:szCs w:val="24"/>
        </w:rPr>
        <w:t xml:space="preserve"> in key areas, and </w:t>
      </w:r>
      <w:r>
        <w:rPr>
          <w:kern w:val="2"/>
          <w:sz w:val="24"/>
          <w:szCs w:val="24"/>
        </w:rPr>
        <w:t xml:space="preserve">to </w:t>
      </w:r>
      <w:r>
        <w:rPr>
          <w:rFonts w:hint="eastAsia"/>
          <w:kern w:val="2"/>
          <w:sz w:val="24"/>
          <w:szCs w:val="24"/>
        </w:rPr>
        <w:t>provid</w:t>
      </w:r>
      <w:r>
        <w:rPr>
          <w:kern w:val="2"/>
          <w:sz w:val="24"/>
          <w:szCs w:val="24"/>
        </w:rPr>
        <w:t>e</w:t>
      </w:r>
      <w:r>
        <w:rPr>
          <w:rFonts w:hint="eastAsia"/>
          <w:kern w:val="2"/>
          <w:sz w:val="24"/>
          <w:szCs w:val="24"/>
        </w:rPr>
        <w:t xml:space="preserve"> quality financial services to key sectors of the economy</w:t>
      </w:r>
      <w:r>
        <w:rPr>
          <w:kern w:val="2"/>
          <w:sz w:val="24"/>
          <w:szCs w:val="24"/>
        </w:rPr>
        <w:t>,</w:t>
      </w:r>
      <w:r>
        <w:rPr>
          <w:rFonts w:hint="eastAsia"/>
          <w:kern w:val="2"/>
          <w:sz w:val="24"/>
          <w:szCs w:val="24"/>
        </w:rPr>
        <w:t xml:space="preserve"> such as technological, cultural</w:t>
      </w:r>
      <w:r>
        <w:rPr>
          <w:kern w:val="2"/>
          <w:sz w:val="24"/>
          <w:szCs w:val="24"/>
        </w:rPr>
        <w:t>,</w:t>
      </w:r>
      <w:r>
        <w:rPr>
          <w:rFonts w:hint="eastAsia"/>
          <w:kern w:val="2"/>
          <w:sz w:val="24"/>
          <w:szCs w:val="24"/>
        </w:rPr>
        <w:t xml:space="preserve"> and strategic emerging industries. </w:t>
      </w:r>
      <w:r>
        <w:rPr>
          <w:kern w:val="2"/>
          <w:sz w:val="24"/>
          <w:szCs w:val="24"/>
        </w:rPr>
        <w:t>F</w:t>
      </w:r>
      <w:r>
        <w:rPr>
          <w:rFonts w:hint="eastAsia"/>
          <w:kern w:val="2"/>
          <w:sz w:val="24"/>
          <w:szCs w:val="24"/>
        </w:rPr>
        <w:t>inancial support to key national strategies</w:t>
      </w:r>
      <w:r>
        <w:rPr>
          <w:kern w:val="2"/>
          <w:sz w:val="24"/>
          <w:szCs w:val="24"/>
        </w:rPr>
        <w:t>,</w:t>
      </w:r>
      <w:r>
        <w:rPr>
          <w:rFonts w:hint="eastAsia"/>
          <w:kern w:val="2"/>
          <w:sz w:val="24"/>
          <w:szCs w:val="24"/>
        </w:rPr>
        <w:t xml:space="preserve"> such as </w:t>
      </w:r>
      <w:r>
        <w:rPr>
          <w:kern w:val="2"/>
          <w:sz w:val="24"/>
          <w:szCs w:val="24"/>
        </w:rPr>
        <w:t xml:space="preserve">the </w:t>
      </w:r>
      <w:r>
        <w:rPr>
          <w:rFonts w:hint="eastAsia"/>
          <w:kern w:val="2"/>
          <w:sz w:val="24"/>
          <w:szCs w:val="24"/>
        </w:rPr>
        <w:t>coordinated development of Beijing, Tianjin</w:t>
      </w:r>
      <w:r>
        <w:rPr>
          <w:kern w:val="2"/>
          <w:sz w:val="24"/>
          <w:szCs w:val="24"/>
        </w:rPr>
        <w:t>,</w:t>
      </w:r>
      <w:r>
        <w:rPr>
          <w:rFonts w:hint="eastAsia"/>
          <w:kern w:val="2"/>
          <w:sz w:val="24"/>
          <w:szCs w:val="24"/>
        </w:rPr>
        <w:t xml:space="preserve"> and Hebei, </w:t>
      </w:r>
      <w:r>
        <w:rPr>
          <w:kern w:val="2"/>
          <w:sz w:val="24"/>
          <w:szCs w:val="24"/>
        </w:rPr>
        <w:t xml:space="preserve">the </w:t>
      </w:r>
      <w:r>
        <w:rPr>
          <w:rFonts w:hint="eastAsia"/>
          <w:kern w:val="2"/>
          <w:sz w:val="24"/>
          <w:szCs w:val="24"/>
        </w:rPr>
        <w:t>modern service</w:t>
      </w:r>
      <w:r>
        <w:rPr>
          <w:kern w:val="2"/>
          <w:sz w:val="24"/>
          <w:szCs w:val="24"/>
        </w:rPr>
        <w:t>s</w:t>
      </w:r>
      <w:r>
        <w:rPr>
          <w:rFonts w:hint="eastAsia"/>
          <w:kern w:val="2"/>
          <w:sz w:val="24"/>
          <w:szCs w:val="24"/>
        </w:rPr>
        <w:t xml:space="preserve"> industries</w:t>
      </w:r>
      <w:r>
        <w:rPr>
          <w:kern w:val="2"/>
          <w:sz w:val="24"/>
          <w:szCs w:val="24"/>
        </w:rPr>
        <w:t xml:space="preserve">, </w:t>
      </w:r>
      <w:r>
        <w:rPr>
          <w:rFonts w:hint="eastAsia"/>
          <w:kern w:val="2"/>
          <w:sz w:val="24"/>
          <w:szCs w:val="24"/>
        </w:rPr>
        <w:t>such as green finance, logistics</w:t>
      </w:r>
      <w:r>
        <w:rPr>
          <w:kern w:val="2"/>
          <w:sz w:val="24"/>
          <w:szCs w:val="24"/>
        </w:rPr>
        <w:t xml:space="preserve">, </w:t>
      </w:r>
      <w:r>
        <w:rPr>
          <w:rFonts w:hint="eastAsia"/>
          <w:kern w:val="2"/>
          <w:sz w:val="24"/>
          <w:szCs w:val="24"/>
        </w:rPr>
        <w:t xml:space="preserve">and </w:t>
      </w:r>
      <w:r>
        <w:rPr>
          <w:kern w:val="2"/>
          <w:sz w:val="24"/>
          <w:szCs w:val="24"/>
        </w:rPr>
        <w:t>elderly</w:t>
      </w:r>
      <w:r>
        <w:rPr>
          <w:rFonts w:hint="eastAsia"/>
          <w:kern w:val="2"/>
          <w:sz w:val="24"/>
          <w:szCs w:val="24"/>
        </w:rPr>
        <w:t xml:space="preserve"> care, and </w:t>
      </w:r>
      <w:r>
        <w:rPr>
          <w:kern w:val="2"/>
          <w:sz w:val="24"/>
          <w:szCs w:val="24"/>
        </w:rPr>
        <w:t xml:space="preserve">the invigoration of </w:t>
      </w:r>
      <w:r>
        <w:rPr>
          <w:rFonts w:hint="eastAsia"/>
          <w:kern w:val="2"/>
          <w:sz w:val="24"/>
          <w:szCs w:val="24"/>
        </w:rPr>
        <w:t>rural area</w:t>
      </w:r>
      <w:r>
        <w:rPr>
          <w:kern w:val="2"/>
          <w:sz w:val="24"/>
          <w:szCs w:val="24"/>
        </w:rPr>
        <w:t>s</w:t>
      </w:r>
      <w:r>
        <w:rPr>
          <w:rFonts w:hint="eastAsia"/>
          <w:kern w:val="2"/>
          <w:sz w:val="24"/>
          <w:szCs w:val="24"/>
        </w:rPr>
        <w:t xml:space="preserve"> will be enhanced. </w:t>
      </w:r>
      <w:r>
        <w:rPr>
          <w:kern w:val="2"/>
          <w:sz w:val="24"/>
          <w:szCs w:val="24"/>
        </w:rPr>
        <w:t>E</w:t>
      </w:r>
      <w:r>
        <w:rPr>
          <w:rFonts w:hint="eastAsia"/>
          <w:kern w:val="2"/>
          <w:sz w:val="24"/>
          <w:szCs w:val="24"/>
        </w:rPr>
        <w:t>ligible credit assets will be securitized to promote quality growth and economic upgrad</w:t>
      </w:r>
      <w:r>
        <w:rPr>
          <w:kern w:val="2"/>
          <w:sz w:val="24"/>
          <w:szCs w:val="24"/>
        </w:rPr>
        <w:t>ing</w:t>
      </w:r>
      <w:r>
        <w:rPr>
          <w:rFonts w:hint="eastAsia"/>
          <w:kern w:val="2"/>
          <w:sz w:val="24"/>
          <w:szCs w:val="24"/>
        </w:rPr>
        <w:t>.</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kern w:val="2"/>
          <w:sz w:val="24"/>
          <w:szCs w:val="24"/>
        </w:rPr>
      </w:pPr>
      <w:r>
        <w:rPr>
          <w:b/>
          <w:kern w:val="2"/>
          <w:sz w:val="24"/>
          <w:szCs w:val="24"/>
        </w:rPr>
        <w:t>Third, the market-based interest-rate reform and the RMB exchange-rate regime reform will be furthered to improve the efficiency of financial resource allocations and to improve the financial management system.</w:t>
      </w:r>
      <w:r>
        <w:rPr>
          <w:kern w:val="2"/>
          <w:sz w:val="24"/>
          <w:szCs w:val="24"/>
        </w:rPr>
        <w:t xml:space="preserve"> Financial institutions will be urged to strengthen their internal control systems and to improve their capacity for independent and rational pricing and risk management. To deepen the financial market, measures will continue to be adopted to develop market-based benchmark rates, to improve the yield curves of government securities, and to continuously improve the market-based interest-rate pricing mechanism. The PBC will </w:t>
      </w:r>
      <w:r>
        <w:rPr>
          <w:rFonts w:hint="eastAsia"/>
          <w:kern w:val="2"/>
          <w:sz w:val="24"/>
          <w:szCs w:val="24"/>
        </w:rPr>
        <w:t xml:space="preserve">make its policy rates more effective </w:t>
      </w:r>
      <w:r>
        <w:rPr>
          <w:kern w:val="2"/>
          <w:sz w:val="24"/>
          <w:szCs w:val="24"/>
        </w:rPr>
        <w:t>to guide</w:t>
      </w:r>
      <w:r>
        <w:rPr>
          <w:rFonts w:hint="eastAsia"/>
          <w:kern w:val="2"/>
          <w:sz w:val="24"/>
          <w:szCs w:val="24"/>
        </w:rPr>
        <w:t xml:space="preserve"> market rates,</w:t>
      </w:r>
      <w:r>
        <w:rPr>
          <w:kern w:val="2"/>
          <w:sz w:val="24"/>
          <w:szCs w:val="24"/>
        </w:rPr>
        <w:t xml:space="preserve"> </w:t>
      </w:r>
      <w:r>
        <w:rPr>
          <w:rFonts w:hint="eastAsia"/>
          <w:kern w:val="2"/>
          <w:sz w:val="24"/>
          <w:szCs w:val="24"/>
        </w:rPr>
        <w:t xml:space="preserve">improve </w:t>
      </w:r>
      <w:r>
        <w:rPr>
          <w:kern w:val="2"/>
          <w:sz w:val="24"/>
          <w:szCs w:val="24"/>
        </w:rPr>
        <w:t xml:space="preserve">the </w:t>
      </w:r>
      <w:r>
        <w:rPr>
          <w:kern w:val="2"/>
          <w:sz w:val="24"/>
          <w:szCs w:val="24"/>
        </w:rPr>
        <w:lastRenderedPageBreak/>
        <w:t>interest-rate corridor mechanism, and enhance the</w:t>
      </w:r>
      <w:r>
        <w:rPr>
          <w:rFonts w:hint="eastAsia"/>
          <w:kern w:val="2"/>
          <w:sz w:val="24"/>
          <w:szCs w:val="24"/>
        </w:rPr>
        <w:t xml:space="preserve"> capacity </w:t>
      </w:r>
      <w:r>
        <w:rPr>
          <w:kern w:val="2"/>
          <w:sz w:val="24"/>
          <w:szCs w:val="24"/>
        </w:rPr>
        <w:t xml:space="preserve">to guide </w:t>
      </w:r>
      <w:r>
        <w:rPr>
          <w:rFonts w:hint="eastAsia"/>
          <w:kern w:val="2"/>
          <w:sz w:val="24"/>
          <w:szCs w:val="24"/>
        </w:rPr>
        <w:t xml:space="preserve">interest rates in order </w:t>
      </w:r>
      <w:r>
        <w:rPr>
          <w:kern w:val="2"/>
          <w:sz w:val="24"/>
          <w:szCs w:val="24"/>
        </w:rPr>
        <w:t>to further improve the transmission of central-bank policy rates to the financial market and the real economy</w:t>
      </w:r>
      <w:r>
        <w:rPr>
          <w:rFonts w:hint="eastAsia"/>
          <w:kern w:val="2"/>
          <w:sz w:val="24"/>
          <w:szCs w:val="24"/>
        </w:rPr>
        <w:t xml:space="preserve"> and to promote </w:t>
      </w:r>
      <w:r>
        <w:rPr>
          <w:kern w:val="2"/>
          <w:sz w:val="24"/>
          <w:szCs w:val="24"/>
        </w:rPr>
        <w:t xml:space="preserve">a </w:t>
      </w:r>
      <w:r>
        <w:rPr>
          <w:rFonts w:hint="eastAsia"/>
          <w:kern w:val="2"/>
          <w:sz w:val="24"/>
          <w:szCs w:val="24"/>
        </w:rPr>
        <w:t xml:space="preserve">gradual convergence of the </w:t>
      </w:r>
      <w:r>
        <w:rPr>
          <w:kern w:val="2"/>
          <w:sz w:val="24"/>
          <w:szCs w:val="24"/>
        </w:rPr>
        <w:t xml:space="preserve">two-track </w:t>
      </w:r>
      <w:r>
        <w:rPr>
          <w:rFonts w:hint="eastAsia"/>
          <w:kern w:val="2"/>
          <w:sz w:val="24"/>
          <w:szCs w:val="24"/>
        </w:rPr>
        <w:t>interest</w:t>
      </w:r>
      <w:r>
        <w:rPr>
          <w:kern w:val="2"/>
          <w:sz w:val="24"/>
          <w:szCs w:val="24"/>
        </w:rPr>
        <w:t>-</w:t>
      </w:r>
      <w:r>
        <w:rPr>
          <w:rFonts w:hint="eastAsia"/>
          <w:kern w:val="2"/>
          <w:sz w:val="24"/>
          <w:szCs w:val="24"/>
        </w:rPr>
        <w:t>rate system into one track</w:t>
      </w:r>
      <w:r>
        <w:rPr>
          <w:kern w:val="2"/>
          <w:sz w:val="24"/>
          <w:szCs w:val="24"/>
        </w:rPr>
        <w:t xml:space="preserve">. Oversight of the irrational pricing behavior of financial institutions will be strengthened. The important role of market interest rates and the self-disciplinary mechanism will be tapped. Effective approaches will be adopted to regulate interest-rate pricing, while industry self-discipline and risk prevention will be reinforced to maintain order for fair pricing. The market-based RMB exchange-rate regime reform will be deepened to improve the managed floating exchange-rate regime, based on market supply and demand and with reference to a basket of currencies, to allow the market to play a greater role in determining the exchange rate, to enhance two-way flexibility in the RMB exchange rate, and to keep the RMB exchange rate basically stable at an adaptive and equilibrium level. Development of the foreign-exchange market will be accelerated to provide exchange-rate risk management services based on actual needs in accordance with the principle that finance should serve the real economy. The PBC will steadily promote the convertibility of the RMB under the capital account, improve the policy framework and infrastructure for the </w:t>
      </w:r>
      <w:r>
        <w:rPr>
          <w:rFonts w:hint="eastAsia"/>
          <w:kern w:val="2"/>
          <w:sz w:val="24"/>
          <w:szCs w:val="24"/>
        </w:rPr>
        <w:t xml:space="preserve">use of </w:t>
      </w:r>
      <w:r>
        <w:rPr>
          <w:kern w:val="2"/>
          <w:sz w:val="24"/>
          <w:szCs w:val="24"/>
        </w:rPr>
        <w:t xml:space="preserve">RMB </w:t>
      </w:r>
      <w:r>
        <w:rPr>
          <w:rFonts w:hint="eastAsia"/>
          <w:kern w:val="2"/>
          <w:sz w:val="24"/>
          <w:szCs w:val="24"/>
        </w:rPr>
        <w:t xml:space="preserve">in </w:t>
      </w:r>
      <w:r>
        <w:rPr>
          <w:kern w:val="2"/>
          <w:sz w:val="24"/>
          <w:szCs w:val="24"/>
        </w:rPr>
        <w:t xml:space="preserve">cross-border activities, </w:t>
      </w:r>
      <w:r>
        <w:rPr>
          <w:rFonts w:hint="eastAsia"/>
          <w:kern w:val="2"/>
          <w:sz w:val="24"/>
          <w:szCs w:val="24"/>
        </w:rPr>
        <w:t xml:space="preserve">and promote development of </w:t>
      </w:r>
      <w:r>
        <w:rPr>
          <w:kern w:val="2"/>
          <w:sz w:val="24"/>
          <w:szCs w:val="24"/>
        </w:rPr>
        <w:t xml:space="preserve">a </w:t>
      </w:r>
      <w:r>
        <w:rPr>
          <w:rFonts w:hint="eastAsia"/>
          <w:kern w:val="2"/>
          <w:sz w:val="24"/>
          <w:szCs w:val="24"/>
        </w:rPr>
        <w:t xml:space="preserve">market for </w:t>
      </w:r>
      <w:r>
        <w:rPr>
          <w:kern w:val="2"/>
          <w:sz w:val="24"/>
          <w:szCs w:val="24"/>
        </w:rPr>
        <w:t xml:space="preserve">the </w:t>
      </w:r>
      <w:r>
        <w:rPr>
          <w:rFonts w:hint="eastAsia"/>
          <w:kern w:val="2"/>
          <w:sz w:val="24"/>
          <w:szCs w:val="24"/>
        </w:rPr>
        <w:t xml:space="preserve">direct trading of RMB against other currencies in order to facilitate the use of RMB </w:t>
      </w:r>
      <w:r>
        <w:rPr>
          <w:kern w:val="2"/>
          <w:sz w:val="24"/>
          <w:szCs w:val="24"/>
        </w:rPr>
        <w:t>for the settlement of</w:t>
      </w:r>
      <w:r>
        <w:rPr>
          <w:rFonts w:hint="eastAsia"/>
          <w:kern w:val="2"/>
          <w:sz w:val="24"/>
          <w:szCs w:val="24"/>
        </w:rPr>
        <w:t xml:space="preserve"> cross-border trade. </w:t>
      </w:r>
      <w:r>
        <w:rPr>
          <w:kern w:val="2"/>
          <w:sz w:val="24"/>
          <w:szCs w:val="24"/>
        </w:rPr>
        <w:t>The PBC will closely monitor the impact of international developments on capital flows and will improve macro-prudential management of cross-border capital flows.</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kern w:val="2"/>
          <w:sz w:val="24"/>
          <w:szCs w:val="24"/>
        </w:rPr>
      </w:pPr>
      <w:r>
        <w:rPr>
          <w:b/>
          <w:kern w:val="2"/>
          <w:sz w:val="24"/>
          <w:szCs w:val="24"/>
        </w:rPr>
        <w:t xml:space="preserve">Fourth, the financial-market system will be improved to enhance its role in stabilizing growth, facilitating </w:t>
      </w:r>
      <w:r>
        <w:rPr>
          <w:rFonts w:hint="eastAsia"/>
          <w:b/>
          <w:kern w:val="2"/>
          <w:sz w:val="24"/>
          <w:szCs w:val="24"/>
        </w:rPr>
        <w:t>restructuring,</w:t>
      </w:r>
      <w:r>
        <w:rPr>
          <w:b/>
          <w:kern w:val="2"/>
          <w:sz w:val="24"/>
          <w:szCs w:val="24"/>
        </w:rPr>
        <w:t xml:space="preserve"> promoting reforms, and preventing risks. </w:t>
      </w:r>
      <w:r>
        <w:rPr>
          <w:kern w:val="2"/>
          <w:sz w:val="24"/>
          <w:szCs w:val="24"/>
        </w:rPr>
        <w:t xml:space="preserve">In accordance with the principle that the financial sector must serve the real economy, measures will be taken to further </w:t>
      </w:r>
      <w:r>
        <w:rPr>
          <w:rFonts w:hint="eastAsia"/>
          <w:kern w:val="2"/>
          <w:sz w:val="24"/>
          <w:szCs w:val="24"/>
        </w:rPr>
        <w:t>enhance</w:t>
      </w:r>
      <w:r>
        <w:rPr>
          <w:kern w:val="2"/>
          <w:sz w:val="24"/>
          <w:szCs w:val="24"/>
        </w:rPr>
        <w:t xml:space="preserve"> product innovations</w:t>
      </w:r>
      <w:r>
        <w:rPr>
          <w:rFonts w:hint="eastAsia"/>
          <w:kern w:val="2"/>
          <w:sz w:val="24"/>
          <w:szCs w:val="24"/>
        </w:rPr>
        <w:t xml:space="preserve"> and institutional arrangements</w:t>
      </w:r>
      <w:r>
        <w:rPr>
          <w:kern w:val="2"/>
          <w:sz w:val="24"/>
          <w:szCs w:val="24"/>
        </w:rPr>
        <w:t xml:space="preserve"> in the bond market, </w:t>
      </w:r>
      <w:r>
        <w:rPr>
          <w:rFonts w:hint="eastAsia"/>
          <w:kern w:val="2"/>
          <w:sz w:val="24"/>
          <w:szCs w:val="24"/>
        </w:rPr>
        <w:t>improve the risk prevention and resolution mechanism for bond default</w:t>
      </w:r>
      <w:r>
        <w:rPr>
          <w:kern w:val="2"/>
          <w:sz w:val="24"/>
          <w:szCs w:val="24"/>
        </w:rPr>
        <w:t>s</w:t>
      </w:r>
      <w:r>
        <w:rPr>
          <w:rFonts w:hint="eastAsia"/>
          <w:kern w:val="2"/>
          <w:sz w:val="24"/>
          <w:szCs w:val="24"/>
        </w:rPr>
        <w:t xml:space="preserve">, </w:t>
      </w:r>
      <w:r>
        <w:rPr>
          <w:kern w:val="2"/>
          <w:sz w:val="24"/>
          <w:szCs w:val="24"/>
        </w:rPr>
        <w:t xml:space="preserve">promote the integration of rules for issuance, </w:t>
      </w:r>
      <w:r>
        <w:rPr>
          <w:kern w:val="2"/>
          <w:sz w:val="24"/>
          <w:szCs w:val="24"/>
        </w:rPr>
        <w:lastRenderedPageBreak/>
        <w:t>entrance, and disclosure of corporate credit debt</w:t>
      </w:r>
      <w:r>
        <w:rPr>
          <w:rFonts w:hint="eastAsia"/>
          <w:kern w:val="2"/>
          <w:sz w:val="24"/>
          <w:szCs w:val="24"/>
        </w:rPr>
        <w:t xml:space="preserve"> instruments</w:t>
      </w:r>
      <w:r>
        <w:rPr>
          <w:kern w:val="2"/>
          <w:sz w:val="24"/>
          <w:szCs w:val="24"/>
        </w:rPr>
        <w:t>, and strengthen the supervision and management of green financial bonds</w:t>
      </w:r>
      <w:r>
        <w:rPr>
          <w:rFonts w:hint="eastAsia"/>
          <w:kern w:val="2"/>
          <w:sz w:val="24"/>
          <w:szCs w:val="24"/>
        </w:rPr>
        <w:t xml:space="preserve"> during </w:t>
      </w:r>
      <w:r>
        <w:rPr>
          <w:kern w:val="2"/>
          <w:sz w:val="24"/>
          <w:szCs w:val="24"/>
        </w:rPr>
        <w:t>their</w:t>
      </w:r>
      <w:r>
        <w:rPr>
          <w:rFonts w:hint="eastAsia"/>
          <w:kern w:val="2"/>
          <w:sz w:val="24"/>
          <w:szCs w:val="24"/>
        </w:rPr>
        <w:t xml:space="preserve"> maturity</w:t>
      </w:r>
      <w:r>
        <w:rPr>
          <w:kern w:val="2"/>
          <w:sz w:val="24"/>
          <w:szCs w:val="24"/>
        </w:rPr>
        <w:t>. The two-way opening of the bond market will continue to be facilitated by encouraging various overseas institutions to issue bonds on the onshore RMB market and for domestic institutions to place bonds on offshore markets, and to encourage overseas institutions to invest in the onshore bond market. Development of the secondary bond market will be facilitated via better institutional arrangements for trading, clearing, and settlement, and improvements will be made in the market-maker assessment system so as to have a friendlier</w:t>
      </w:r>
      <w:r>
        <w:rPr>
          <w:rFonts w:hint="eastAsia"/>
          <w:kern w:val="2"/>
          <w:sz w:val="24"/>
          <w:szCs w:val="24"/>
        </w:rPr>
        <w:t xml:space="preserve"> and more facilitating investment environment</w:t>
      </w:r>
      <w:r>
        <w:rPr>
          <w:kern w:val="2"/>
          <w:sz w:val="24"/>
          <w:szCs w:val="24"/>
        </w:rPr>
        <w:t xml:space="preserve">. </w:t>
      </w:r>
      <w:r>
        <w:rPr>
          <w:rFonts w:hint="eastAsia"/>
          <w:kern w:val="2"/>
          <w:sz w:val="24"/>
          <w:szCs w:val="24"/>
        </w:rPr>
        <w:t xml:space="preserve">An overarching management framework </w:t>
      </w:r>
      <w:r>
        <w:rPr>
          <w:kern w:val="2"/>
          <w:sz w:val="24"/>
          <w:szCs w:val="24"/>
        </w:rPr>
        <w:t>for</w:t>
      </w:r>
      <w:r>
        <w:rPr>
          <w:rFonts w:hint="eastAsia"/>
          <w:kern w:val="2"/>
          <w:sz w:val="24"/>
          <w:szCs w:val="24"/>
        </w:rPr>
        <w:t xml:space="preserve"> financial market </w:t>
      </w:r>
      <w:r>
        <w:rPr>
          <w:kern w:val="2"/>
          <w:sz w:val="24"/>
          <w:szCs w:val="24"/>
        </w:rPr>
        <w:t>infrastructure</w:t>
      </w:r>
      <w:r>
        <w:rPr>
          <w:rFonts w:hint="eastAsia"/>
          <w:kern w:val="2"/>
          <w:sz w:val="24"/>
          <w:szCs w:val="24"/>
        </w:rPr>
        <w:t xml:space="preserve"> will be put in place to enhance </w:t>
      </w:r>
      <w:r>
        <w:rPr>
          <w:kern w:val="2"/>
          <w:sz w:val="24"/>
          <w:szCs w:val="24"/>
        </w:rPr>
        <w:t xml:space="preserve">market infrastructure </w:t>
      </w:r>
      <w:r>
        <w:rPr>
          <w:rFonts w:hint="eastAsia"/>
          <w:kern w:val="2"/>
          <w:sz w:val="24"/>
          <w:szCs w:val="24"/>
        </w:rPr>
        <w:t xml:space="preserve">and </w:t>
      </w:r>
      <w:r>
        <w:rPr>
          <w:kern w:val="2"/>
          <w:sz w:val="24"/>
          <w:szCs w:val="24"/>
        </w:rPr>
        <w:t>to ensure the safe and efficient operation and the overall stability of the financial market. A unified law enforcement mechanism for the bond market will be built to crack down on crimes and illegal activities in the market so as to protect investors’ interests, safeguard order in the bond market, and promote the sound development of the financial market.</w:t>
      </w:r>
      <w:r>
        <w:rPr>
          <w:rFonts w:hint="eastAsia"/>
          <w:kern w:val="2"/>
          <w:sz w:val="24"/>
          <w:szCs w:val="24"/>
        </w:rPr>
        <w:t xml:space="preserve"> </w:t>
      </w:r>
      <w:r>
        <w:rPr>
          <w:kern w:val="2"/>
          <w:sz w:val="24"/>
          <w:szCs w:val="24"/>
        </w:rPr>
        <w:t>Regarding reform of the</w:t>
      </w:r>
      <w:r>
        <w:rPr>
          <w:rFonts w:hint="eastAsia"/>
          <w:kern w:val="2"/>
          <w:sz w:val="24"/>
          <w:szCs w:val="24"/>
        </w:rPr>
        <w:t xml:space="preserve"> capital market, efforts will be made to enhance institutional arrangements in order to invigorate </w:t>
      </w:r>
      <w:r>
        <w:rPr>
          <w:kern w:val="2"/>
          <w:sz w:val="24"/>
          <w:szCs w:val="24"/>
        </w:rPr>
        <w:t>market</w:t>
      </w:r>
      <w:r>
        <w:rPr>
          <w:rFonts w:hint="eastAsia"/>
          <w:kern w:val="2"/>
          <w:sz w:val="24"/>
          <w:szCs w:val="24"/>
        </w:rPr>
        <w:t xml:space="preserve"> dynamism and promote </w:t>
      </w:r>
      <w:r>
        <w:rPr>
          <w:kern w:val="2"/>
          <w:sz w:val="24"/>
          <w:szCs w:val="24"/>
        </w:rPr>
        <w:t xml:space="preserve">the </w:t>
      </w:r>
      <w:r>
        <w:rPr>
          <w:rFonts w:hint="eastAsia"/>
          <w:kern w:val="2"/>
          <w:sz w:val="24"/>
          <w:szCs w:val="24"/>
        </w:rPr>
        <w:t xml:space="preserve">long-term healthy development of the capital market. </w:t>
      </w:r>
    </w:p>
    <w:p w:rsidR="005A0958" w:rsidRDefault="005A0958" w:rsidP="005A0958">
      <w:pPr>
        <w:pStyle w:val="p0"/>
        <w:spacing w:line="360" w:lineRule="auto"/>
        <w:rPr>
          <w:kern w:val="2"/>
          <w:sz w:val="24"/>
          <w:szCs w:val="24"/>
        </w:rPr>
      </w:pPr>
    </w:p>
    <w:p w:rsidR="005A0958" w:rsidRDefault="005A0958" w:rsidP="005A0958">
      <w:pPr>
        <w:pStyle w:val="p0"/>
        <w:spacing w:line="360" w:lineRule="auto"/>
        <w:rPr>
          <w:kern w:val="2"/>
          <w:sz w:val="24"/>
          <w:szCs w:val="24"/>
        </w:rPr>
      </w:pPr>
      <w:r>
        <w:rPr>
          <w:b/>
          <w:kern w:val="2"/>
          <w:sz w:val="24"/>
          <w:szCs w:val="24"/>
        </w:rPr>
        <w:t xml:space="preserve">Fifth, reform of financial institutions will be deepened, and financial services will be improved by increasing supply and enhancing competition. </w:t>
      </w:r>
      <w:r>
        <w:rPr>
          <w:kern w:val="2"/>
          <w:sz w:val="24"/>
          <w:szCs w:val="24"/>
        </w:rPr>
        <w:t>Reform of large commercial banks and other large financial institutions will be further deepened by improving corporate governance, regulating the relationship among the shareholders’ meeting, the board of directors, the board of supervisors, and management, improving the operation authorization system, establishing an effective system for decision making, execution, and checks and balances, and improving the quality of operations and management and the risk-control capacity. There will be innovative i</w:t>
      </w:r>
      <w:r>
        <w:rPr>
          <w:rFonts w:hint="eastAsia"/>
          <w:kern w:val="2"/>
          <w:sz w:val="24"/>
          <w:szCs w:val="24"/>
        </w:rPr>
        <w:t xml:space="preserve">nstruments to supplement bank capital </w:t>
      </w:r>
      <w:r>
        <w:rPr>
          <w:kern w:val="2"/>
          <w:sz w:val="24"/>
          <w:szCs w:val="24"/>
        </w:rPr>
        <w:t xml:space="preserve">so as </w:t>
      </w:r>
      <w:r>
        <w:rPr>
          <w:rFonts w:hint="eastAsia"/>
          <w:kern w:val="2"/>
          <w:sz w:val="24"/>
          <w:szCs w:val="24"/>
        </w:rPr>
        <w:t xml:space="preserve">to enhance </w:t>
      </w:r>
      <w:r>
        <w:rPr>
          <w:kern w:val="2"/>
          <w:sz w:val="24"/>
          <w:szCs w:val="24"/>
        </w:rPr>
        <w:t xml:space="preserve">the </w:t>
      </w:r>
      <w:r>
        <w:rPr>
          <w:rFonts w:hint="eastAsia"/>
          <w:kern w:val="2"/>
          <w:sz w:val="24"/>
          <w:szCs w:val="24"/>
        </w:rPr>
        <w:t xml:space="preserve">capital of financial institutions. </w:t>
      </w:r>
      <w:r>
        <w:rPr>
          <w:kern w:val="2"/>
          <w:sz w:val="24"/>
          <w:szCs w:val="24"/>
        </w:rPr>
        <w:t xml:space="preserve">Further reforms of the management and operational mechanisms of the Agricultural and Rural Financial Service Division of the Agricultural Bank of China will be </w:t>
      </w:r>
      <w:r>
        <w:rPr>
          <w:kern w:val="2"/>
          <w:sz w:val="24"/>
          <w:szCs w:val="24"/>
        </w:rPr>
        <w:lastRenderedPageBreak/>
        <w:t xml:space="preserve">promoted, and effective measures will be taken to revitalize the County Service Division to improve its capacity to serve the real economy at the county level. The reform program for development and policy financial institutions will be implemented in a comprehensive manner. The PBC will coordinate the relevant authorities, based on the requirements and division of responsibilities put forward by the reform plan, to rapidly complete the follow-up tasks for improving the governance structure, specifying the scope of businesses, improving risk compensation mechanisms, and deepening the reforms in order to nurture development and policy financial institutions with Chinese characteristics that provide services for economic development and operate on a sustainable basis. </w:t>
      </w:r>
    </w:p>
    <w:p w:rsidR="005A0958" w:rsidRDefault="005A0958" w:rsidP="005A0958">
      <w:pPr>
        <w:pStyle w:val="p0"/>
        <w:spacing w:line="360" w:lineRule="auto"/>
        <w:rPr>
          <w:b/>
          <w:kern w:val="2"/>
          <w:sz w:val="24"/>
          <w:szCs w:val="24"/>
        </w:rPr>
      </w:pPr>
    </w:p>
    <w:p w:rsidR="005A0958" w:rsidRDefault="005A0958" w:rsidP="00EE3C76">
      <w:pPr>
        <w:keepNext/>
        <w:autoSpaceDE w:val="0"/>
        <w:autoSpaceDN w:val="0"/>
        <w:adjustRightInd w:val="0"/>
        <w:spacing w:line="360" w:lineRule="auto"/>
        <w:rPr>
          <w:sz w:val="24"/>
        </w:rPr>
      </w:pPr>
      <w:r>
        <w:rPr>
          <w:b/>
          <w:sz w:val="24"/>
        </w:rPr>
        <w:t xml:space="preserve">Sixth, </w:t>
      </w:r>
      <w:r>
        <w:rPr>
          <w:rFonts w:hint="eastAsia"/>
          <w:b/>
          <w:sz w:val="24"/>
        </w:rPr>
        <w:t xml:space="preserve">efforts will be made to prevent and </w:t>
      </w:r>
      <w:r>
        <w:rPr>
          <w:b/>
          <w:sz w:val="24"/>
        </w:rPr>
        <w:t>mitigate</w:t>
      </w:r>
      <w:r>
        <w:rPr>
          <w:rFonts w:hint="eastAsia"/>
          <w:b/>
          <w:sz w:val="24"/>
        </w:rPr>
        <w:t xml:space="preserve"> financial risks, strike a balance between </w:t>
      </w:r>
      <w:r>
        <w:rPr>
          <w:b/>
          <w:sz w:val="24"/>
        </w:rPr>
        <w:t>stabilizing</w:t>
      </w:r>
      <w:r>
        <w:rPr>
          <w:rFonts w:hint="eastAsia"/>
          <w:b/>
          <w:sz w:val="24"/>
        </w:rPr>
        <w:t xml:space="preserve"> growth, deleveraging</w:t>
      </w:r>
      <w:r>
        <w:rPr>
          <w:b/>
          <w:sz w:val="24"/>
        </w:rPr>
        <w:t>,</w:t>
      </w:r>
      <w:r>
        <w:rPr>
          <w:rFonts w:hint="eastAsia"/>
          <w:b/>
          <w:sz w:val="24"/>
        </w:rPr>
        <w:t xml:space="preserve"> and strengthening regulation, so as to safeguard </w:t>
      </w:r>
      <w:r>
        <w:rPr>
          <w:b/>
          <w:sz w:val="24"/>
        </w:rPr>
        <w:t xml:space="preserve">the </w:t>
      </w:r>
      <w:r>
        <w:rPr>
          <w:rFonts w:hint="eastAsia"/>
          <w:b/>
          <w:sz w:val="24"/>
        </w:rPr>
        <w:t>bottom line of preventing systemic financial risks.</w:t>
      </w:r>
      <w:r>
        <w:rPr>
          <w:b/>
          <w:sz w:val="24"/>
        </w:rPr>
        <w:t xml:space="preserve"> </w:t>
      </w:r>
      <w:r>
        <w:rPr>
          <w:sz w:val="24"/>
        </w:rPr>
        <w:t>Thinking about the worst-case scenario and with a view to seeking progress amidst stability, grasp</w:t>
      </w:r>
      <w:r>
        <w:rPr>
          <w:rFonts w:hint="eastAsia"/>
          <w:sz w:val="24"/>
        </w:rPr>
        <w:t>ing</w:t>
      </w:r>
      <w:r>
        <w:rPr>
          <w:sz w:val="24"/>
        </w:rPr>
        <w:t xml:space="preserve"> the principal contradictions, follow</w:t>
      </w:r>
      <w:r>
        <w:rPr>
          <w:rFonts w:hint="eastAsia"/>
          <w:sz w:val="24"/>
        </w:rPr>
        <w:t>ing</w:t>
      </w:r>
      <w:r>
        <w:rPr>
          <w:sz w:val="24"/>
        </w:rPr>
        <w:t xml:space="preserve"> the leadership of the Financial Stability and Development Committee under the State Council, earnestly fulfill</w:t>
      </w:r>
      <w:r>
        <w:rPr>
          <w:rFonts w:hint="eastAsia"/>
          <w:sz w:val="24"/>
        </w:rPr>
        <w:t>ing</w:t>
      </w:r>
      <w:r>
        <w:rPr>
          <w:sz w:val="24"/>
        </w:rPr>
        <w:t xml:space="preserve"> its role as the committee’s office, and work</w:t>
      </w:r>
      <w:r>
        <w:rPr>
          <w:rFonts w:hint="eastAsia"/>
          <w:sz w:val="24"/>
        </w:rPr>
        <w:t>ing</w:t>
      </w:r>
      <w:r>
        <w:rPr>
          <w:sz w:val="24"/>
        </w:rPr>
        <w:t xml:space="preserve"> together with the relevant government agencies to identify the timeline, roadmap, and priorities, </w:t>
      </w:r>
      <w:r>
        <w:rPr>
          <w:rFonts w:hint="eastAsia"/>
          <w:sz w:val="24"/>
        </w:rPr>
        <w:t>and</w:t>
      </w:r>
      <w:r>
        <w:rPr>
          <w:sz w:val="24"/>
        </w:rPr>
        <w:t xml:space="preserve"> maintaining a steady pace and strength</w:t>
      </w:r>
      <w:r>
        <w:rPr>
          <w:rFonts w:hint="eastAsia"/>
          <w:sz w:val="24"/>
        </w:rPr>
        <w:t xml:space="preserve"> of policy measures</w:t>
      </w:r>
      <w:r>
        <w:rPr>
          <w:sz w:val="24"/>
        </w:rPr>
        <w:t xml:space="preserve">, </w:t>
      </w:r>
      <w:r>
        <w:rPr>
          <w:rFonts w:hint="eastAsia"/>
          <w:sz w:val="24"/>
        </w:rPr>
        <w:t xml:space="preserve">the PBC will enhance </w:t>
      </w:r>
      <w:r>
        <w:rPr>
          <w:sz w:val="24"/>
        </w:rPr>
        <w:t xml:space="preserve">the </w:t>
      </w:r>
      <w:r>
        <w:rPr>
          <w:rFonts w:hint="eastAsia"/>
          <w:sz w:val="24"/>
        </w:rPr>
        <w:t>adaptability of the financial structure, enhance the financial sector</w:t>
      </w:r>
      <w:r>
        <w:rPr>
          <w:sz w:val="24"/>
        </w:rPr>
        <w:t>’</w:t>
      </w:r>
      <w:r>
        <w:rPr>
          <w:rFonts w:hint="eastAsia"/>
          <w:sz w:val="24"/>
        </w:rPr>
        <w:t xml:space="preserve">s capacity </w:t>
      </w:r>
      <w:r>
        <w:rPr>
          <w:sz w:val="24"/>
        </w:rPr>
        <w:t xml:space="preserve">to serve </w:t>
      </w:r>
      <w:r>
        <w:rPr>
          <w:rFonts w:hint="eastAsia"/>
          <w:sz w:val="24"/>
        </w:rPr>
        <w:t>the real economy, improve</w:t>
      </w:r>
      <w:r>
        <w:rPr>
          <w:sz w:val="24"/>
        </w:rPr>
        <w:t xml:space="preserve"> the</w:t>
      </w:r>
      <w:r>
        <w:rPr>
          <w:rFonts w:hint="eastAsia"/>
          <w:sz w:val="24"/>
        </w:rPr>
        <w:t xml:space="preserve"> legal framework of </w:t>
      </w:r>
      <w:r>
        <w:rPr>
          <w:sz w:val="24"/>
        </w:rPr>
        <w:t xml:space="preserve">the </w:t>
      </w:r>
      <w:r>
        <w:rPr>
          <w:rFonts w:hint="eastAsia"/>
          <w:sz w:val="24"/>
        </w:rPr>
        <w:t xml:space="preserve">financial sector, </w:t>
      </w:r>
      <w:r>
        <w:rPr>
          <w:sz w:val="24"/>
        </w:rPr>
        <w:t xml:space="preserve">and </w:t>
      </w:r>
      <w:r>
        <w:rPr>
          <w:rFonts w:hint="eastAsia"/>
          <w:sz w:val="24"/>
        </w:rPr>
        <w:t>put in place institutional arrangements with hard</w:t>
      </w:r>
      <w:r>
        <w:rPr>
          <w:sz w:val="24"/>
        </w:rPr>
        <w:t xml:space="preserve"> </w:t>
      </w:r>
      <w:r>
        <w:rPr>
          <w:rFonts w:hint="eastAsia"/>
          <w:sz w:val="24"/>
        </w:rPr>
        <w:t xml:space="preserve">constraints, so as to effectively prevent and control systemic risks and </w:t>
      </w:r>
      <w:r>
        <w:rPr>
          <w:sz w:val="24"/>
        </w:rPr>
        <w:t>to create a favorable financial environment for building a moderately prosperous society in all respects.</w:t>
      </w:r>
    </w:p>
    <w:p w:rsidR="003836F1" w:rsidRPr="00E86627" w:rsidRDefault="003836F1"/>
    <w:sectPr w:rsidR="003836F1" w:rsidRPr="00E86627" w:rsidSect="003836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32B" w:rsidRDefault="0026632B" w:rsidP="00566343">
      <w:r>
        <w:separator/>
      </w:r>
    </w:p>
  </w:endnote>
  <w:endnote w:type="continuationSeparator" w:id="1">
    <w:p w:rsidR="0026632B" w:rsidRDefault="0026632B" w:rsidP="00566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FangSong_GB2312">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KaiTi_GB2312">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149" w:rsidRDefault="002447A7">
    <w:pPr>
      <w:pStyle w:val="a4"/>
      <w:jc w:val="center"/>
    </w:pPr>
    <w:fldSimple w:instr=" PAGE   \* MERGEFORMAT ">
      <w:r w:rsidR="00EC1136" w:rsidRPr="00EC1136">
        <w:rPr>
          <w:noProof/>
          <w:lang w:val="zh-CN"/>
        </w:rPr>
        <w:t>2</w:t>
      </w:r>
    </w:fldSimple>
  </w:p>
  <w:p w:rsidR="00D34149" w:rsidRDefault="00D3414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32B" w:rsidRDefault="0026632B" w:rsidP="00566343">
      <w:r>
        <w:separator/>
      </w:r>
    </w:p>
  </w:footnote>
  <w:footnote w:type="continuationSeparator" w:id="1">
    <w:p w:rsidR="0026632B" w:rsidRDefault="0026632B" w:rsidP="005663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3A0B53"/>
    <w:multiLevelType w:val="singleLevel"/>
    <w:tmpl w:val="8C3A0B53"/>
    <w:lvl w:ilvl="0">
      <w:start w:val="2"/>
      <w:numFmt w:val="decimal"/>
      <w:suff w:val="space"/>
      <w:lvlText w:val="%1."/>
      <w:lvlJc w:val="left"/>
      <w:pPr>
        <w:ind w:left="0" w:firstLine="0"/>
      </w:pPr>
    </w:lvl>
  </w:abstractNum>
  <w:abstractNum w:abstractNumId="1">
    <w:nsid w:val="00000001"/>
    <w:multiLevelType w:val="singleLevel"/>
    <w:tmpl w:val="0000000A"/>
    <w:lvl w:ilvl="0">
      <w:start w:val="1"/>
      <w:numFmt w:val="decimal"/>
      <w:lvlText w:val="%1."/>
      <w:lvlJc w:val="left"/>
      <w:pPr>
        <w:ind w:left="420" w:hanging="420"/>
      </w:pPr>
    </w:lvl>
  </w:abstractNum>
  <w:abstractNum w:abstractNumId="2">
    <w:nsid w:val="00000002"/>
    <w:multiLevelType w:val="singleLevel"/>
    <w:tmpl w:val="00000004"/>
    <w:lvl w:ilvl="0">
      <w:start w:val="4"/>
      <w:numFmt w:val="decimal"/>
      <w:suff w:val="space"/>
      <w:lvlText w:val="%1."/>
      <w:lvlJc w:val="left"/>
    </w:lvl>
  </w:abstractNum>
  <w:abstractNum w:abstractNumId="3">
    <w:nsid w:val="00000004"/>
    <w:multiLevelType w:val="singleLevel"/>
    <w:tmpl w:val="00000004"/>
    <w:lvl w:ilvl="0">
      <w:start w:val="4"/>
      <w:numFmt w:val="decimal"/>
      <w:suff w:val="space"/>
      <w:lvlText w:val="%1."/>
      <w:lvlJc w:val="left"/>
      <w:pPr>
        <w:ind w:left="0" w:firstLine="0"/>
      </w:pPr>
    </w:lvl>
  </w:abstractNum>
  <w:abstractNum w:abstractNumId="4">
    <w:nsid w:val="0000000A"/>
    <w:multiLevelType w:val="singleLevel"/>
    <w:tmpl w:val="0000000A"/>
    <w:lvl w:ilvl="0">
      <w:start w:val="1"/>
      <w:numFmt w:val="decimal"/>
      <w:lvlText w:val="%1."/>
      <w:lvlJc w:val="left"/>
      <w:pPr>
        <w:ind w:left="420" w:hanging="420"/>
      </w:pPr>
    </w:lvl>
  </w:abstractNum>
  <w:abstractNum w:abstractNumId="5">
    <w:nsid w:val="3D4C5F44"/>
    <w:multiLevelType w:val="singleLevel"/>
    <w:tmpl w:val="8C3A0B53"/>
    <w:lvl w:ilvl="0">
      <w:start w:val="2"/>
      <w:numFmt w:val="decimal"/>
      <w:suff w:val="space"/>
      <w:lvlText w:val="%1."/>
      <w:lvlJc w:val="left"/>
    </w:lvl>
  </w:abstractNum>
  <w:abstractNum w:abstractNumId="6">
    <w:nsid w:val="74FE7378"/>
    <w:multiLevelType w:val="hybridMultilevel"/>
    <w:tmpl w:val="35C2ADE6"/>
    <w:lvl w:ilvl="0" w:tplc="CE1A5C6A">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lvlOverride w:ilvl="0">
      <w:startOverride w:val="2"/>
    </w:lvlOverride>
  </w:num>
  <w:num w:numId="3">
    <w:abstractNumId w:val="3"/>
  </w:num>
  <w:num w:numId="4">
    <w:abstractNumId w:val="3"/>
    <w:lvlOverride w:ilvl="0">
      <w:startOverride w:val="4"/>
    </w:lvlOverride>
  </w:num>
  <w:num w:numId="5">
    <w:abstractNumId w:val="4"/>
  </w:num>
  <w:num w:numId="6">
    <w:abstractNumId w:val="4"/>
    <w:lvlOverride w:ilvl="0">
      <w:startOverride w:val="1"/>
    </w:lvlOverride>
  </w:num>
  <w:num w:numId="7">
    <w:abstractNumId w:val="5"/>
  </w:num>
  <w:num w:numId="8">
    <w:abstractNumId w:val="1"/>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
  <w:rsids>
    <w:rsidRoot w:val="00E86627"/>
    <w:rsid w:val="000F1981"/>
    <w:rsid w:val="001031BB"/>
    <w:rsid w:val="00145EBD"/>
    <w:rsid w:val="0014610D"/>
    <w:rsid w:val="001E77F3"/>
    <w:rsid w:val="002447A7"/>
    <w:rsid w:val="002607CC"/>
    <w:rsid w:val="0026632B"/>
    <w:rsid w:val="002E3175"/>
    <w:rsid w:val="002E7312"/>
    <w:rsid w:val="003836F1"/>
    <w:rsid w:val="004619B5"/>
    <w:rsid w:val="004D0ED1"/>
    <w:rsid w:val="00566343"/>
    <w:rsid w:val="005A0958"/>
    <w:rsid w:val="006C05F2"/>
    <w:rsid w:val="00734BAC"/>
    <w:rsid w:val="00762589"/>
    <w:rsid w:val="008451C7"/>
    <w:rsid w:val="008E327E"/>
    <w:rsid w:val="009674D4"/>
    <w:rsid w:val="009746A3"/>
    <w:rsid w:val="009D724F"/>
    <w:rsid w:val="00A0693D"/>
    <w:rsid w:val="00A60151"/>
    <w:rsid w:val="00A92205"/>
    <w:rsid w:val="00A977EF"/>
    <w:rsid w:val="00B160B4"/>
    <w:rsid w:val="00C673CE"/>
    <w:rsid w:val="00D14632"/>
    <w:rsid w:val="00D34149"/>
    <w:rsid w:val="00E86627"/>
    <w:rsid w:val="00EB5F0D"/>
    <w:rsid w:val="00EB686F"/>
    <w:rsid w:val="00EC1136"/>
    <w:rsid w:val="00EE3C76"/>
    <w:rsid w:val="00F77AB7"/>
    <w:rsid w:val="00F93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2" w:qFormat="1"/>
    <w:lsdException w:name="Hyperlink"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627"/>
    <w:pPr>
      <w:widowControl w:val="0"/>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E86627"/>
    <w:pPr>
      <w:keepNext/>
      <w:keepLines/>
      <w:adjustRightInd w:val="0"/>
      <w:spacing w:before="20" w:after="20"/>
      <w:ind w:firstLineChars="200" w:firstLine="601"/>
      <w:outlineLvl w:val="1"/>
    </w:pPr>
    <w:rPr>
      <w:rFonts w:ascii="仿宋_GB2312" w:eastAsia="仿宋_GB2312" w:hAnsi="宋体"/>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86627"/>
    <w:rPr>
      <w:rFonts w:ascii="仿宋_GB2312" w:eastAsia="仿宋_GB2312" w:hAnsi="宋体" w:cs="Times New Roman"/>
      <w:b/>
      <w:bCs/>
      <w:sz w:val="30"/>
      <w:szCs w:val="30"/>
    </w:rPr>
  </w:style>
  <w:style w:type="paragraph" w:styleId="a3">
    <w:name w:val="header"/>
    <w:basedOn w:val="a"/>
    <w:link w:val="Char"/>
    <w:unhideWhenUsed/>
    <w:rsid w:val="00E866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86627"/>
    <w:rPr>
      <w:rFonts w:ascii="Times New Roman" w:eastAsia="宋体" w:hAnsi="Times New Roman" w:cs="Times New Roman"/>
      <w:sz w:val="18"/>
      <w:szCs w:val="18"/>
    </w:rPr>
  </w:style>
  <w:style w:type="paragraph" w:styleId="a4">
    <w:name w:val="footer"/>
    <w:basedOn w:val="a"/>
    <w:link w:val="Char0"/>
    <w:uiPriority w:val="99"/>
    <w:unhideWhenUsed/>
    <w:qFormat/>
    <w:rsid w:val="00E8662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86627"/>
    <w:rPr>
      <w:rFonts w:ascii="Times New Roman" w:eastAsia="宋体" w:hAnsi="Times New Roman" w:cs="Times New Roman"/>
      <w:sz w:val="18"/>
      <w:szCs w:val="18"/>
    </w:rPr>
  </w:style>
  <w:style w:type="paragraph" w:styleId="a5">
    <w:name w:val="caption"/>
    <w:basedOn w:val="a"/>
    <w:next w:val="a"/>
    <w:unhideWhenUsed/>
    <w:qFormat/>
    <w:rsid w:val="00E86627"/>
    <w:pPr>
      <w:pBdr>
        <w:top w:val="double" w:sz="4" w:space="10" w:color="auto"/>
        <w:left w:val="double" w:sz="4" w:space="10" w:color="auto"/>
        <w:bottom w:val="double" w:sz="4" w:space="10" w:color="auto"/>
        <w:right w:val="double" w:sz="4" w:space="10" w:color="auto"/>
      </w:pBdr>
      <w:spacing w:beforeLines="50"/>
      <w:jc w:val="center"/>
    </w:pPr>
    <w:rPr>
      <w:rFonts w:ascii="黑体" w:eastAsia="黑体" w:cs="黑体"/>
      <w:sz w:val="28"/>
      <w:szCs w:val="28"/>
    </w:rPr>
  </w:style>
  <w:style w:type="paragraph" w:styleId="a6">
    <w:name w:val="Date"/>
    <w:basedOn w:val="a"/>
    <w:next w:val="a"/>
    <w:link w:val="Char1"/>
    <w:unhideWhenUsed/>
    <w:qFormat/>
    <w:rsid w:val="00E86627"/>
    <w:rPr>
      <w:rFonts w:ascii="仿宋_GB2312" w:eastAsia="仿宋_GB2312"/>
      <w:sz w:val="28"/>
      <w:szCs w:val="20"/>
    </w:rPr>
  </w:style>
  <w:style w:type="character" w:customStyle="1" w:styleId="Char1">
    <w:name w:val="日期 Char1"/>
    <w:basedOn w:val="a0"/>
    <w:link w:val="a6"/>
    <w:qFormat/>
    <w:locked/>
    <w:rsid w:val="00E86627"/>
    <w:rPr>
      <w:rFonts w:ascii="仿宋_GB2312" w:eastAsia="仿宋_GB2312" w:hAnsi="Times New Roman" w:cs="Times New Roman"/>
      <w:sz w:val="28"/>
      <w:szCs w:val="20"/>
    </w:rPr>
  </w:style>
  <w:style w:type="character" w:customStyle="1" w:styleId="Char2">
    <w:name w:val="日期 Char"/>
    <w:basedOn w:val="a0"/>
    <w:link w:val="a6"/>
    <w:uiPriority w:val="99"/>
    <w:rsid w:val="00E86627"/>
    <w:rPr>
      <w:rFonts w:ascii="Times New Roman" w:eastAsia="宋体" w:hAnsi="Times New Roman" w:cs="Times New Roman"/>
      <w:szCs w:val="24"/>
    </w:rPr>
  </w:style>
  <w:style w:type="paragraph" w:styleId="20">
    <w:name w:val="Body Text 2"/>
    <w:basedOn w:val="a"/>
    <w:link w:val="2Char1"/>
    <w:uiPriority w:val="99"/>
    <w:unhideWhenUsed/>
    <w:qFormat/>
    <w:rsid w:val="00E86627"/>
    <w:rPr>
      <w:rFonts w:ascii="仿宋_GB2312" w:eastAsia="仿宋_GB2312"/>
      <w:b/>
      <w:sz w:val="30"/>
      <w:szCs w:val="20"/>
    </w:rPr>
  </w:style>
  <w:style w:type="character" w:customStyle="1" w:styleId="2Char1">
    <w:name w:val="正文文本 2 Char1"/>
    <w:basedOn w:val="a0"/>
    <w:link w:val="20"/>
    <w:uiPriority w:val="99"/>
    <w:qFormat/>
    <w:locked/>
    <w:rsid w:val="00E86627"/>
    <w:rPr>
      <w:rFonts w:ascii="仿宋_GB2312" w:eastAsia="仿宋_GB2312" w:hAnsi="Times New Roman" w:cs="Times New Roman"/>
      <w:b/>
      <w:sz w:val="30"/>
      <w:szCs w:val="20"/>
    </w:rPr>
  </w:style>
  <w:style w:type="character" w:customStyle="1" w:styleId="2Char0">
    <w:name w:val="正文文本 2 Char"/>
    <w:basedOn w:val="a0"/>
    <w:link w:val="20"/>
    <w:uiPriority w:val="99"/>
    <w:rsid w:val="00E86627"/>
    <w:rPr>
      <w:rFonts w:ascii="Times New Roman" w:eastAsia="宋体" w:hAnsi="Times New Roman" w:cs="Times New Roman"/>
      <w:szCs w:val="24"/>
    </w:rPr>
  </w:style>
  <w:style w:type="paragraph" w:styleId="a7">
    <w:name w:val="Balloon Text"/>
    <w:basedOn w:val="a"/>
    <w:link w:val="Char3"/>
    <w:unhideWhenUsed/>
    <w:rsid w:val="00E86627"/>
    <w:rPr>
      <w:sz w:val="18"/>
      <w:szCs w:val="18"/>
    </w:rPr>
  </w:style>
  <w:style w:type="character" w:customStyle="1" w:styleId="Char3">
    <w:name w:val="批注框文本 Char"/>
    <w:basedOn w:val="a0"/>
    <w:link w:val="a7"/>
    <w:rsid w:val="00E86627"/>
    <w:rPr>
      <w:rFonts w:ascii="Times New Roman" w:eastAsia="宋体" w:hAnsi="Times New Roman" w:cs="Times New Roman"/>
      <w:sz w:val="18"/>
      <w:szCs w:val="18"/>
    </w:rPr>
  </w:style>
  <w:style w:type="paragraph" w:customStyle="1" w:styleId="p0">
    <w:name w:val="p0"/>
    <w:basedOn w:val="a"/>
    <w:qFormat/>
    <w:rsid w:val="00E86627"/>
    <w:pPr>
      <w:widowControl/>
    </w:pPr>
    <w:rPr>
      <w:kern w:val="0"/>
      <w:szCs w:val="21"/>
    </w:rPr>
  </w:style>
  <w:style w:type="paragraph" w:customStyle="1" w:styleId="jnTimes2">
    <w:name w:val="样式 jn 第六期正文 + Times 首行缩进:  2 字符"/>
    <w:basedOn w:val="a"/>
    <w:qFormat/>
    <w:rsid w:val="00E86627"/>
    <w:pPr>
      <w:spacing w:line="440" w:lineRule="atLeast"/>
      <w:ind w:firstLineChars="200" w:firstLine="480"/>
    </w:pPr>
    <w:rPr>
      <w:rFonts w:ascii="Times" w:hAnsi="Times" w:cs="Times"/>
      <w:sz w:val="24"/>
    </w:rPr>
  </w:style>
  <w:style w:type="character" w:styleId="a8">
    <w:name w:val="Strong"/>
    <w:basedOn w:val="a0"/>
    <w:uiPriority w:val="22"/>
    <w:qFormat/>
    <w:rsid w:val="00E86627"/>
    <w:rPr>
      <w:b/>
      <w:bCs/>
    </w:rPr>
  </w:style>
  <w:style w:type="character" w:styleId="a9">
    <w:name w:val="Hyperlink"/>
    <w:basedOn w:val="a0"/>
    <w:uiPriority w:val="99"/>
    <w:unhideWhenUsed/>
    <w:qFormat/>
    <w:rsid w:val="00E86627"/>
    <w:rPr>
      <w:color w:val="0000FF"/>
      <w:u w:val="single"/>
    </w:rPr>
  </w:style>
  <w:style w:type="paragraph" w:styleId="aa">
    <w:name w:val="table of figures"/>
    <w:basedOn w:val="a"/>
    <w:next w:val="a"/>
    <w:uiPriority w:val="99"/>
    <w:rsid w:val="00E86627"/>
    <w:pPr>
      <w:ind w:leftChars="200" w:left="840" w:hangingChars="200" w:hanging="420"/>
    </w:pPr>
  </w:style>
  <w:style w:type="paragraph" w:styleId="21">
    <w:name w:val="toc 2"/>
    <w:basedOn w:val="a"/>
    <w:next w:val="a"/>
    <w:uiPriority w:val="39"/>
    <w:qFormat/>
    <w:rsid w:val="00E86627"/>
    <w:pPr>
      <w:tabs>
        <w:tab w:val="right" w:leader="dot" w:pos="8296"/>
      </w:tabs>
      <w:spacing w:line="324" w:lineRule="auto"/>
      <w:jc w:val="center"/>
    </w:pPr>
    <w:rPr>
      <w:rFonts w:ascii="楷体_GB2312" w:eastAsia="楷体_GB2312"/>
      <w:color w:val="000000"/>
      <w:kern w:val="0"/>
      <w:sz w:val="24"/>
      <w:szCs w:val="36"/>
    </w:rPr>
  </w:style>
  <w:style w:type="paragraph" w:styleId="1">
    <w:name w:val="toc 1"/>
    <w:basedOn w:val="a"/>
    <w:next w:val="a"/>
    <w:uiPriority w:val="39"/>
    <w:qFormat/>
    <w:rsid w:val="00E86627"/>
    <w:pPr>
      <w:tabs>
        <w:tab w:val="right" w:leader="dot" w:pos="8296"/>
      </w:tabs>
      <w:jc w:val="center"/>
    </w:pPr>
    <w:rPr>
      <w:rFonts w:ascii="黑体" w:eastAsia="黑体"/>
      <w:kern w:val="0"/>
      <w:sz w:val="36"/>
      <w:szCs w:val="36"/>
    </w:rPr>
  </w:style>
  <w:style w:type="character" w:customStyle="1" w:styleId="tlid-translation">
    <w:name w:val="tlid-translation"/>
    <w:basedOn w:val="a0"/>
    <w:rsid w:val="001031BB"/>
  </w:style>
  <w:style w:type="paragraph" w:styleId="ab">
    <w:name w:val="List Paragraph"/>
    <w:basedOn w:val="a"/>
    <w:uiPriority w:val="34"/>
    <w:qFormat/>
    <w:rsid w:val="005A0958"/>
    <w:pPr>
      <w:ind w:firstLineChars="200" w:firstLine="420"/>
    </w:pPr>
  </w:style>
</w:styles>
</file>

<file path=word/webSettings.xml><?xml version="1.0" encoding="utf-8"?>
<w:webSettings xmlns:r="http://schemas.openxmlformats.org/officeDocument/2006/relationships" xmlns:w="http://schemas.openxmlformats.org/wordprocessingml/2006/main">
  <w:divs>
    <w:div w:id="84240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youdao.com/w/electronic%20information%20indus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ict.youdao.com/w/household%20appliances%20industry/"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9.5031355523396699E-2"/>
          <c:y val="4.7169811320754707E-2"/>
          <c:w val="0.90448625180897158"/>
          <c:h val="0.73899371069182795"/>
        </c:manualLayout>
      </c:layout>
      <c:lineChart>
        <c:grouping val="standard"/>
        <c:ser>
          <c:idx val="0"/>
          <c:order val="0"/>
          <c:tx>
            <c:strRef>
              <c:f>Sheet1!$A$3</c:f>
              <c:strCache>
                <c:ptCount val="1"/>
                <c:pt idx="0">
                  <c:v>2021/01/01</c:v>
                </c:pt>
              </c:strCache>
            </c:strRef>
          </c:tx>
          <c:cat>
            <c:numRef>
              <c:f>Sheet1!$B$2:$O$2</c:f>
              <c:numCache>
                <c:formatCode>#,##0_ </c:formatCode>
                <c:ptCount val="14"/>
                <c:pt idx="0" formatCode="#,##0.0_ ">
                  <c:v>0.5</c:v>
                </c:pt>
                <c:pt idx="1">
                  <c:v>1</c:v>
                </c:pt>
                <c:pt idx="2">
                  <c:v>2</c:v>
                </c:pt>
                <c:pt idx="3">
                  <c:v>3</c:v>
                </c:pt>
                <c:pt idx="4">
                  <c:v>4</c:v>
                </c:pt>
                <c:pt idx="5">
                  <c:v>5</c:v>
                </c:pt>
                <c:pt idx="6">
                  <c:v>6</c:v>
                </c:pt>
                <c:pt idx="7">
                  <c:v>7</c:v>
                </c:pt>
                <c:pt idx="8">
                  <c:v>8</c:v>
                </c:pt>
                <c:pt idx="9">
                  <c:v>9</c:v>
                </c:pt>
                <c:pt idx="10">
                  <c:v>10</c:v>
                </c:pt>
                <c:pt idx="11">
                  <c:v>15</c:v>
                </c:pt>
                <c:pt idx="12">
                  <c:v>20</c:v>
                </c:pt>
                <c:pt idx="13">
                  <c:v>30</c:v>
                </c:pt>
              </c:numCache>
            </c:numRef>
          </c:cat>
          <c:val>
            <c:numRef>
              <c:f>Sheet1!$B$3:$O$3</c:f>
            </c:numRef>
          </c:val>
          <c:extLst xmlns:c16r2="http://schemas.microsoft.com/office/drawing/2015/06/chart">
            <c:ext xmlns:c16="http://schemas.microsoft.com/office/drawing/2014/chart" uri="{C3380CC4-5D6E-409C-BE32-E72D297353CC}">
              <c16:uniqueId val="{00000000-C8F7-4001-A97B-C909315340E7}"/>
            </c:ext>
          </c:extLst>
        </c:ser>
        <c:ser>
          <c:idx val="1"/>
          <c:order val="1"/>
          <c:tx>
            <c:strRef>
              <c:f>Sheet1!$A$4</c:f>
              <c:strCache>
                <c:ptCount val="1"/>
                <c:pt idx="0">
                  <c:v>2021/04/01</c:v>
                </c:pt>
              </c:strCache>
            </c:strRef>
          </c:tx>
          <c:cat>
            <c:numRef>
              <c:f>Sheet1!$B$2:$O$2</c:f>
              <c:numCache>
                <c:formatCode>#,##0_ </c:formatCode>
                <c:ptCount val="14"/>
                <c:pt idx="0" formatCode="#,##0.0_ ">
                  <c:v>0.5</c:v>
                </c:pt>
                <c:pt idx="1">
                  <c:v>1</c:v>
                </c:pt>
                <c:pt idx="2">
                  <c:v>2</c:v>
                </c:pt>
                <c:pt idx="3">
                  <c:v>3</c:v>
                </c:pt>
                <c:pt idx="4">
                  <c:v>4</c:v>
                </c:pt>
                <c:pt idx="5">
                  <c:v>5</c:v>
                </c:pt>
                <c:pt idx="6">
                  <c:v>6</c:v>
                </c:pt>
                <c:pt idx="7">
                  <c:v>7</c:v>
                </c:pt>
                <c:pt idx="8">
                  <c:v>8</c:v>
                </c:pt>
                <c:pt idx="9">
                  <c:v>9</c:v>
                </c:pt>
                <c:pt idx="10">
                  <c:v>10</c:v>
                </c:pt>
                <c:pt idx="11">
                  <c:v>15</c:v>
                </c:pt>
                <c:pt idx="12">
                  <c:v>20</c:v>
                </c:pt>
                <c:pt idx="13">
                  <c:v>30</c:v>
                </c:pt>
              </c:numCache>
            </c:numRef>
          </c:cat>
          <c:val>
            <c:numRef>
              <c:f>Sheet1!$B$4:$O$4</c:f>
            </c:numRef>
          </c:val>
          <c:extLst xmlns:c16r2="http://schemas.microsoft.com/office/drawing/2015/06/chart">
            <c:ext xmlns:c16="http://schemas.microsoft.com/office/drawing/2014/chart" uri="{C3380CC4-5D6E-409C-BE32-E72D297353CC}">
              <c16:uniqueId val="{00000001-C8F7-4001-A97B-C909315340E7}"/>
            </c:ext>
          </c:extLst>
        </c:ser>
        <c:ser>
          <c:idx val="2"/>
          <c:order val="2"/>
          <c:tx>
            <c:strRef>
              <c:f>Sheet1!$A$5</c:f>
              <c:strCache>
                <c:ptCount val="1"/>
                <c:pt idx="0">
                  <c:v>2021/07/01</c:v>
                </c:pt>
              </c:strCache>
            </c:strRef>
          </c:tx>
          <c:cat>
            <c:numRef>
              <c:f>Sheet1!$B$2:$O$2</c:f>
              <c:numCache>
                <c:formatCode>#,##0_ </c:formatCode>
                <c:ptCount val="14"/>
                <c:pt idx="0" formatCode="#,##0.0_ ">
                  <c:v>0.5</c:v>
                </c:pt>
                <c:pt idx="1">
                  <c:v>1</c:v>
                </c:pt>
                <c:pt idx="2">
                  <c:v>2</c:v>
                </c:pt>
                <c:pt idx="3">
                  <c:v>3</c:v>
                </c:pt>
                <c:pt idx="4">
                  <c:v>4</c:v>
                </c:pt>
                <c:pt idx="5">
                  <c:v>5</c:v>
                </c:pt>
                <c:pt idx="6">
                  <c:v>6</c:v>
                </c:pt>
                <c:pt idx="7">
                  <c:v>7</c:v>
                </c:pt>
                <c:pt idx="8">
                  <c:v>8</c:v>
                </c:pt>
                <c:pt idx="9">
                  <c:v>9</c:v>
                </c:pt>
                <c:pt idx="10">
                  <c:v>10</c:v>
                </c:pt>
                <c:pt idx="11">
                  <c:v>15</c:v>
                </c:pt>
                <c:pt idx="12">
                  <c:v>20</c:v>
                </c:pt>
                <c:pt idx="13">
                  <c:v>30</c:v>
                </c:pt>
              </c:numCache>
            </c:numRef>
          </c:cat>
          <c:val>
            <c:numRef>
              <c:f>Sheet1!$B$5:$O$5</c:f>
            </c:numRef>
          </c:val>
          <c:extLst xmlns:c16r2="http://schemas.microsoft.com/office/drawing/2015/06/chart">
            <c:ext xmlns:c16="http://schemas.microsoft.com/office/drawing/2014/chart" uri="{C3380CC4-5D6E-409C-BE32-E72D297353CC}">
              <c16:uniqueId val="{00000002-C8F7-4001-A97B-C909315340E7}"/>
            </c:ext>
          </c:extLst>
        </c:ser>
        <c:ser>
          <c:idx val="3"/>
          <c:order val="3"/>
          <c:tx>
            <c:strRef>
              <c:f>Sheet1!$A$6</c:f>
              <c:strCache>
                <c:ptCount val="1"/>
                <c:pt idx="0">
                  <c:v>2021/10/01</c:v>
                </c:pt>
              </c:strCache>
            </c:strRef>
          </c:tx>
          <c:cat>
            <c:numRef>
              <c:f>Sheet1!$B$2:$O$2</c:f>
              <c:numCache>
                <c:formatCode>#,##0_ </c:formatCode>
                <c:ptCount val="14"/>
                <c:pt idx="0" formatCode="#,##0.0_ ">
                  <c:v>0.5</c:v>
                </c:pt>
                <c:pt idx="1">
                  <c:v>1</c:v>
                </c:pt>
                <c:pt idx="2">
                  <c:v>2</c:v>
                </c:pt>
                <c:pt idx="3">
                  <c:v>3</c:v>
                </c:pt>
                <c:pt idx="4">
                  <c:v>4</c:v>
                </c:pt>
                <c:pt idx="5">
                  <c:v>5</c:v>
                </c:pt>
                <c:pt idx="6">
                  <c:v>6</c:v>
                </c:pt>
                <c:pt idx="7">
                  <c:v>7</c:v>
                </c:pt>
                <c:pt idx="8">
                  <c:v>8</c:v>
                </c:pt>
                <c:pt idx="9">
                  <c:v>9</c:v>
                </c:pt>
                <c:pt idx="10">
                  <c:v>10</c:v>
                </c:pt>
                <c:pt idx="11">
                  <c:v>15</c:v>
                </c:pt>
                <c:pt idx="12">
                  <c:v>20</c:v>
                </c:pt>
                <c:pt idx="13">
                  <c:v>30</c:v>
                </c:pt>
              </c:numCache>
            </c:numRef>
          </c:cat>
          <c:val>
            <c:numRef>
              <c:f>Sheet1!$B$6:$O$6</c:f>
            </c:numRef>
          </c:val>
          <c:extLst xmlns:c16r2="http://schemas.microsoft.com/office/drawing/2015/06/chart">
            <c:ext xmlns:c16="http://schemas.microsoft.com/office/drawing/2014/chart" uri="{C3380CC4-5D6E-409C-BE32-E72D297353CC}">
              <c16:uniqueId val="{00000003-C8F7-4001-A97B-C909315340E7}"/>
            </c:ext>
          </c:extLst>
        </c:ser>
        <c:ser>
          <c:idx val="4"/>
          <c:order val="4"/>
          <c:tx>
            <c:strRef>
              <c:f>Sheet1!$A$7</c:f>
              <c:strCache>
                <c:ptCount val="1"/>
                <c:pt idx="0">
                  <c:v>2022/01/01</c:v>
                </c:pt>
              </c:strCache>
            </c:strRef>
          </c:tx>
          <c:marker>
            <c:symbol val="none"/>
          </c:marker>
          <c:cat>
            <c:numRef>
              <c:f>Sheet1!$B$2:$O$2</c:f>
              <c:numCache>
                <c:formatCode>#,##0_ </c:formatCode>
                <c:ptCount val="14"/>
                <c:pt idx="0" formatCode="#,##0.0_ ">
                  <c:v>0.5</c:v>
                </c:pt>
                <c:pt idx="1">
                  <c:v>1</c:v>
                </c:pt>
                <c:pt idx="2">
                  <c:v>2</c:v>
                </c:pt>
                <c:pt idx="3">
                  <c:v>3</c:v>
                </c:pt>
                <c:pt idx="4">
                  <c:v>4</c:v>
                </c:pt>
                <c:pt idx="5">
                  <c:v>5</c:v>
                </c:pt>
                <c:pt idx="6">
                  <c:v>6</c:v>
                </c:pt>
                <c:pt idx="7">
                  <c:v>7</c:v>
                </c:pt>
                <c:pt idx="8">
                  <c:v>8</c:v>
                </c:pt>
                <c:pt idx="9">
                  <c:v>9</c:v>
                </c:pt>
                <c:pt idx="10">
                  <c:v>10</c:v>
                </c:pt>
                <c:pt idx="11">
                  <c:v>15</c:v>
                </c:pt>
                <c:pt idx="12">
                  <c:v>20</c:v>
                </c:pt>
                <c:pt idx="13">
                  <c:v>30</c:v>
                </c:pt>
              </c:numCache>
            </c:numRef>
          </c:cat>
          <c:val>
            <c:numRef>
              <c:f>Sheet1!$B$7:$O$7</c:f>
              <c:numCache>
                <c:formatCode>###,###,###,###,##0.0000_ </c:formatCode>
                <c:ptCount val="14"/>
                <c:pt idx="0">
                  <c:v>3.9066999999999972</c:v>
                </c:pt>
                <c:pt idx="1">
                  <c:v>3.7909000000000002</c:v>
                </c:pt>
                <c:pt idx="2">
                  <c:v>3.7856999999999998</c:v>
                </c:pt>
                <c:pt idx="3">
                  <c:v>3.7808000000000002</c:v>
                </c:pt>
                <c:pt idx="4">
                  <c:v>3.8047</c:v>
                </c:pt>
                <c:pt idx="5">
                  <c:v>3.8445</c:v>
                </c:pt>
                <c:pt idx="6">
                  <c:v>3.8801000000000001</c:v>
                </c:pt>
                <c:pt idx="7">
                  <c:v>3.8997999999999977</c:v>
                </c:pt>
                <c:pt idx="8">
                  <c:v>3.8947999999999987</c:v>
                </c:pt>
                <c:pt idx="9">
                  <c:v>3.8856999999999977</c:v>
                </c:pt>
                <c:pt idx="10">
                  <c:v>3.8807</c:v>
                </c:pt>
                <c:pt idx="11">
                  <c:v>4.1770999999999985</c:v>
                </c:pt>
                <c:pt idx="12">
                  <c:v>4.2158999999999995</c:v>
                </c:pt>
                <c:pt idx="13">
                  <c:v>4.3670999999999944</c:v>
                </c:pt>
              </c:numCache>
            </c:numRef>
          </c:val>
          <c:extLst xmlns:c16r2="http://schemas.microsoft.com/office/drawing/2015/06/chart">
            <c:ext xmlns:c16="http://schemas.microsoft.com/office/drawing/2014/chart" uri="{C3380CC4-5D6E-409C-BE32-E72D297353CC}">
              <c16:uniqueId val="{00000004-C8F7-4001-A97B-C909315340E7}"/>
            </c:ext>
          </c:extLst>
        </c:ser>
        <c:ser>
          <c:idx val="5"/>
          <c:order val="5"/>
          <c:tx>
            <c:strRef>
              <c:f>Sheet1!$A$8</c:f>
              <c:strCache>
                <c:ptCount val="1"/>
                <c:pt idx="0">
                  <c:v>2022/03/31</c:v>
                </c:pt>
              </c:strCache>
            </c:strRef>
          </c:tx>
          <c:marker>
            <c:symbol val="none"/>
          </c:marker>
          <c:cat>
            <c:numRef>
              <c:f>Sheet1!$B$2:$O$2</c:f>
              <c:numCache>
                <c:formatCode>#,##0_ </c:formatCode>
                <c:ptCount val="14"/>
                <c:pt idx="0" formatCode="#,##0.0_ ">
                  <c:v>0.5</c:v>
                </c:pt>
                <c:pt idx="1">
                  <c:v>1</c:v>
                </c:pt>
                <c:pt idx="2">
                  <c:v>2</c:v>
                </c:pt>
                <c:pt idx="3">
                  <c:v>3</c:v>
                </c:pt>
                <c:pt idx="4">
                  <c:v>4</c:v>
                </c:pt>
                <c:pt idx="5">
                  <c:v>5</c:v>
                </c:pt>
                <c:pt idx="6">
                  <c:v>6</c:v>
                </c:pt>
                <c:pt idx="7">
                  <c:v>7</c:v>
                </c:pt>
                <c:pt idx="8">
                  <c:v>8</c:v>
                </c:pt>
                <c:pt idx="9">
                  <c:v>9</c:v>
                </c:pt>
                <c:pt idx="10">
                  <c:v>10</c:v>
                </c:pt>
                <c:pt idx="11">
                  <c:v>15</c:v>
                </c:pt>
                <c:pt idx="12">
                  <c:v>20</c:v>
                </c:pt>
                <c:pt idx="13">
                  <c:v>30</c:v>
                </c:pt>
              </c:numCache>
            </c:numRef>
          </c:cat>
          <c:val>
            <c:numRef>
              <c:f>Sheet1!$B$8:$O$8</c:f>
              <c:numCache>
                <c:formatCode>###,###,###,###,##0.0000_ </c:formatCode>
                <c:ptCount val="14"/>
                <c:pt idx="0">
                  <c:v>3.1669999999999998</c:v>
                </c:pt>
                <c:pt idx="1">
                  <c:v>3.3220999999999972</c:v>
                </c:pt>
                <c:pt idx="2">
                  <c:v>3.4217</c:v>
                </c:pt>
                <c:pt idx="3">
                  <c:v>3.5697000000000001</c:v>
                </c:pt>
                <c:pt idx="4">
                  <c:v>3.6238999999999999</c:v>
                </c:pt>
                <c:pt idx="5">
                  <c:v>3.6608999999999998</c:v>
                </c:pt>
                <c:pt idx="6">
                  <c:v>3.72</c:v>
                </c:pt>
                <c:pt idx="7">
                  <c:v>3.7402000000000002</c:v>
                </c:pt>
                <c:pt idx="8">
                  <c:v>3.7402000000000002</c:v>
                </c:pt>
                <c:pt idx="9">
                  <c:v>3.7401000000000026</c:v>
                </c:pt>
                <c:pt idx="10">
                  <c:v>3.7406999999999999</c:v>
                </c:pt>
                <c:pt idx="11">
                  <c:v>4.0139999999999985</c:v>
                </c:pt>
                <c:pt idx="12">
                  <c:v>4.0529999999999955</c:v>
                </c:pt>
                <c:pt idx="13">
                  <c:v>4.1748999999999965</c:v>
                </c:pt>
              </c:numCache>
            </c:numRef>
          </c:val>
          <c:extLst xmlns:c16r2="http://schemas.microsoft.com/office/drawing/2015/06/chart">
            <c:ext xmlns:c16="http://schemas.microsoft.com/office/drawing/2014/chart" uri="{C3380CC4-5D6E-409C-BE32-E72D297353CC}">
              <c16:uniqueId val="{00000005-C8F7-4001-A97B-C909315340E7}"/>
            </c:ext>
          </c:extLst>
        </c:ser>
        <c:ser>
          <c:idx val="6"/>
          <c:order val="6"/>
          <c:tx>
            <c:strRef>
              <c:f>Sheet1!$A$9</c:f>
              <c:strCache>
                <c:ptCount val="1"/>
                <c:pt idx="0">
                  <c:v>2022/06/30</c:v>
                </c:pt>
              </c:strCache>
            </c:strRef>
          </c:tx>
          <c:marker>
            <c:symbol val="none"/>
          </c:marker>
          <c:cat>
            <c:numRef>
              <c:f>Sheet1!$B$2:$O$2</c:f>
              <c:numCache>
                <c:formatCode>#,##0_ </c:formatCode>
                <c:ptCount val="14"/>
                <c:pt idx="0" formatCode="#,##0.0_ ">
                  <c:v>0.5</c:v>
                </c:pt>
                <c:pt idx="1">
                  <c:v>1</c:v>
                </c:pt>
                <c:pt idx="2">
                  <c:v>2</c:v>
                </c:pt>
                <c:pt idx="3">
                  <c:v>3</c:v>
                </c:pt>
                <c:pt idx="4">
                  <c:v>4</c:v>
                </c:pt>
                <c:pt idx="5">
                  <c:v>5</c:v>
                </c:pt>
                <c:pt idx="6">
                  <c:v>6</c:v>
                </c:pt>
                <c:pt idx="7">
                  <c:v>7</c:v>
                </c:pt>
                <c:pt idx="8">
                  <c:v>8</c:v>
                </c:pt>
                <c:pt idx="9">
                  <c:v>9</c:v>
                </c:pt>
                <c:pt idx="10">
                  <c:v>10</c:v>
                </c:pt>
                <c:pt idx="11">
                  <c:v>15</c:v>
                </c:pt>
                <c:pt idx="12">
                  <c:v>20</c:v>
                </c:pt>
                <c:pt idx="13">
                  <c:v>30</c:v>
                </c:pt>
              </c:numCache>
            </c:numRef>
          </c:cat>
          <c:val>
            <c:numRef>
              <c:f>Sheet1!$B$9:$O$9</c:f>
              <c:numCache>
                <c:formatCode>###,###,###,###,##0.0000_ </c:formatCode>
                <c:ptCount val="14"/>
                <c:pt idx="0">
                  <c:v>3.1040999999999999</c:v>
                </c:pt>
                <c:pt idx="1">
                  <c:v>3.1589999999999998</c:v>
                </c:pt>
                <c:pt idx="2">
                  <c:v>3.2567999999999997</c:v>
                </c:pt>
                <c:pt idx="3">
                  <c:v>3.3123999999999971</c:v>
                </c:pt>
                <c:pt idx="4">
                  <c:v>3.3366999999999964</c:v>
                </c:pt>
                <c:pt idx="5">
                  <c:v>3.3506999999999971</c:v>
                </c:pt>
                <c:pt idx="6">
                  <c:v>3.4312999999999971</c:v>
                </c:pt>
                <c:pt idx="7">
                  <c:v>3.4851999999999999</c:v>
                </c:pt>
                <c:pt idx="8">
                  <c:v>3.4821999999999997</c:v>
                </c:pt>
                <c:pt idx="9">
                  <c:v>3.4773000000000001</c:v>
                </c:pt>
                <c:pt idx="10">
                  <c:v>3.4755999999999987</c:v>
                </c:pt>
                <c:pt idx="11">
                  <c:v>3.7738</c:v>
                </c:pt>
                <c:pt idx="12">
                  <c:v>3.8126999999999964</c:v>
                </c:pt>
                <c:pt idx="13">
                  <c:v>3.9707999999999997</c:v>
                </c:pt>
              </c:numCache>
            </c:numRef>
          </c:val>
          <c:extLst xmlns:c16r2="http://schemas.microsoft.com/office/drawing/2015/06/chart">
            <c:ext xmlns:c16="http://schemas.microsoft.com/office/drawing/2014/chart" uri="{C3380CC4-5D6E-409C-BE32-E72D297353CC}">
              <c16:uniqueId val="{00000006-C8F7-4001-A97B-C909315340E7}"/>
            </c:ext>
          </c:extLst>
        </c:ser>
        <c:ser>
          <c:idx val="7"/>
          <c:order val="7"/>
          <c:tx>
            <c:strRef>
              <c:f>Sheet1!$A$10</c:f>
              <c:strCache>
                <c:ptCount val="1"/>
                <c:pt idx="0">
                  <c:v>2022/10/01</c:v>
                </c:pt>
              </c:strCache>
            </c:strRef>
          </c:tx>
          <c:marker>
            <c:symbol val="none"/>
          </c:marker>
          <c:val>
            <c:numRef>
              <c:f>Sheet1!$B$10:$O$10</c:f>
              <c:numCache>
                <c:formatCode>###,###,###,###,##0.0000_ </c:formatCode>
                <c:ptCount val="14"/>
                <c:pt idx="0">
                  <c:v>2.6189</c:v>
                </c:pt>
                <c:pt idx="1">
                  <c:v>2.9657</c:v>
                </c:pt>
                <c:pt idx="2">
                  <c:v>3.1402000000000001</c:v>
                </c:pt>
                <c:pt idx="3">
                  <c:v>3.2808000000000002</c:v>
                </c:pt>
                <c:pt idx="4">
                  <c:v>3.3699999999999997</c:v>
                </c:pt>
                <c:pt idx="5">
                  <c:v>3.456499999999997</c:v>
                </c:pt>
                <c:pt idx="6">
                  <c:v>3.57</c:v>
                </c:pt>
                <c:pt idx="7">
                  <c:v>3.6200999999999999</c:v>
                </c:pt>
                <c:pt idx="8">
                  <c:v>3.617</c:v>
                </c:pt>
                <c:pt idx="9">
                  <c:v>3.6120999999999972</c:v>
                </c:pt>
                <c:pt idx="10">
                  <c:v>3.6103000000000001</c:v>
                </c:pt>
                <c:pt idx="11">
                  <c:v>3.8837999999999999</c:v>
                </c:pt>
                <c:pt idx="12">
                  <c:v>3.9249999999999998</c:v>
                </c:pt>
                <c:pt idx="13">
                  <c:v>4.1749999999999945</c:v>
                </c:pt>
              </c:numCache>
            </c:numRef>
          </c:val>
          <c:extLst xmlns:c16r2="http://schemas.microsoft.com/office/drawing/2015/06/chart">
            <c:ext xmlns:c16="http://schemas.microsoft.com/office/drawing/2014/chart" uri="{C3380CC4-5D6E-409C-BE32-E72D297353CC}">
              <c16:uniqueId val="{00000007-C8F7-4001-A97B-C909315340E7}"/>
            </c:ext>
          </c:extLst>
        </c:ser>
        <c:marker val="1"/>
        <c:axId val="190235392"/>
        <c:axId val="219075712"/>
      </c:lineChart>
      <c:catAx>
        <c:axId val="190235392"/>
        <c:scaling>
          <c:orientation val="minMax"/>
        </c:scaling>
        <c:axPos val="b"/>
        <c:numFmt formatCode="#,##0.0_ " sourceLinked="1"/>
        <c:majorTickMark val="none"/>
        <c:tickLblPos val="nextTo"/>
        <c:spPr>
          <a:ln w="3175" cap="flat" cmpd="sng" algn="ctr">
            <a:solidFill>
              <a:srgbClr val="80808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219075712"/>
        <c:crosses val="autoZero"/>
        <c:auto val="1"/>
        <c:lblAlgn val="ctr"/>
        <c:lblOffset val="100"/>
        <c:tickLblSkip val="1"/>
      </c:catAx>
      <c:valAx>
        <c:axId val="219075712"/>
        <c:scaling>
          <c:orientation val="minMax"/>
          <c:min val="2.5"/>
        </c:scaling>
        <c:axPos val="l"/>
        <c:majorGridlines>
          <c:spPr>
            <a:ln w="3175" cap="flat" cmpd="sng" algn="ctr">
              <a:solidFill>
                <a:srgbClr val="808080"/>
              </a:solidFill>
              <a:prstDash val="lgDash"/>
              <a:round/>
            </a:ln>
          </c:spPr>
        </c:majorGridlines>
        <c:numFmt formatCode="#,##0.0_);[Red]\(#,##0.0\)" sourceLinked="0"/>
        <c:majorTickMark val="none"/>
        <c:tickLblPos val="nextTo"/>
        <c:spPr>
          <a:ln w="3175" cap="flat" cmpd="sng" algn="ctr">
            <a:solidFill>
              <a:srgbClr val="80808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90235392"/>
        <c:crosses val="autoZero"/>
        <c:crossBetween val="between"/>
      </c:valAx>
      <c:spPr>
        <a:noFill/>
        <a:ln w="25400">
          <a:noFill/>
        </a:ln>
      </c:spPr>
    </c:plotArea>
    <c:legend>
      <c:legendPos val="r"/>
      <c:layout>
        <c:manualLayout>
          <c:xMode val="edge"/>
          <c:yMode val="edge"/>
          <c:x val="1.9295706705258183E-3"/>
          <c:y val="0.87319632215784304"/>
          <c:w val="0.98022190062711001"/>
          <c:h val="0.12680367784215688"/>
        </c:manualLayout>
      </c:layout>
      <c:spPr>
        <a:noFill/>
        <a:ln w="25400">
          <a:noFill/>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chart>
  <c:spPr>
    <a:noFill/>
    <a:ln w="9525" cap="flat" cmpd="sng" algn="ctr">
      <a:noFill/>
      <a:prstDash val="solid"/>
      <a:round/>
    </a:ln>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3A745-E631-478F-B119-BE67181B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26134</Words>
  <Characters>148967</Characters>
  <Application>Microsoft Office Word</Application>
  <DocSecurity>0</DocSecurity>
  <Lines>1241</Lines>
  <Paragraphs>349</Paragraphs>
  <ScaleCrop>false</ScaleCrop>
  <Company>PBC</Company>
  <LinksUpToDate>false</LinksUpToDate>
  <CharactersWithSpaces>174752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PBC</dc:creator>
  <cp:keywords/>
  <dc:description/>
  <cp:lastModifiedBy>PBC</cp:lastModifiedBy>
  <cp:revision>13</cp:revision>
  <cp:lastPrinted>2018-12-11T01:26:00Z</cp:lastPrinted>
  <dcterms:created xsi:type="dcterms:W3CDTF">2018-12-10T01:28:00Z</dcterms:created>
  <dcterms:modified xsi:type="dcterms:W3CDTF">2018-12-11T01:26:00Z</dcterms:modified>
</cp:coreProperties>
</file>