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color w:val="000000"/>
          <w:spacing w:val="7"/>
          <w:kern w:val="0"/>
          <w:sz w:val="52"/>
          <w:szCs w:val="52"/>
        </w:rPr>
      </w:pPr>
      <w:r>
        <w:rPr>
          <w:rFonts w:eastAsia="黑体"/>
          <w:b/>
          <w:color w:val="000000"/>
          <w:spacing w:val="7"/>
          <w:kern w:val="0"/>
          <w:sz w:val="52"/>
          <w:szCs w:val="52"/>
        </w:rPr>
        <w:t>China Monetary Policy Report</w:t>
      </w:r>
    </w:p>
    <w:p>
      <w:pPr>
        <w:jc w:val="center"/>
        <w:rPr>
          <w:rFonts w:eastAsia="黑体"/>
          <w:b/>
          <w:color w:val="000000"/>
          <w:sz w:val="52"/>
          <w:szCs w:val="52"/>
        </w:rPr>
      </w:pPr>
      <w:r>
        <w:rPr>
          <w:rFonts w:eastAsia="黑体"/>
          <w:b/>
          <w:color w:val="000000"/>
          <w:spacing w:val="7"/>
          <w:kern w:val="0"/>
          <w:sz w:val="52"/>
          <w:szCs w:val="52"/>
        </w:rPr>
        <w:t xml:space="preserve">Quarter </w:t>
      </w:r>
      <w:r>
        <w:rPr>
          <w:rFonts w:hint="eastAsia"/>
          <w:b/>
          <w:color w:val="000000"/>
          <w:spacing w:val="7"/>
          <w:kern w:val="0"/>
          <w:sz w:val="52"/>
          <w:szCs w:val="52"/>
        </w:rPr>
        <w:t>Two</w:t>
      </w:r>
      <w:r>
        <w:rPr>
          <w:rFonts w:eastAsia="黑体"/>
          <w:b/>
          <w:color w:val="000000"/>
          <w:spacing w:val="7"/>
          <w:kern w:val="0"/>
          <w:sz w:val="52"/>
          <w:szCs w:val="52"/>
        </w:rPr>
        <w:t>, 201</w:t>
      </w:r>
      <w:r>
        <w:rPr>
          <w:rFonts w:hint="eastAsia" w:eastAsia="黑体"/>
          <w:b/>
          <w:color w:val="000000"/>
          <w:spacing w:val="7"/>
          <w:kern w:val="0"/>
          <w:sz w:val="52"/>
          <w:szCs w:val="52"/>
        </w:rPr>
        <w:t>7</w:t>
      </w:r>
      <w:r>
        <w:rPr>
          <w:rFonts w:eastAsia="黑体"/>
          <w:b/>
          <w:color w:val="000000"/>
          <w:sz w:val="52"/>
          <w:szCs w:val="52"/>
        </w:rPr>
        <w:t xml:space="preserve"> </w:t>
      </w:r>
    </w:p>
    <w:p>
      <w:pPr>
        <w:jc w:val="center"/>
        <w:rPr>
          <w:rFonts w:eastAsia="楷体_GB2312"/>
          <w:color w:val="000000"/>
          <w:sz w:val="32"/>
          <w:szCs w:val="32"/>
        </w:rPr>
      </w:pPr>
      <w:r>
        <w:rPr>
          <w:rFonts w:eastAsia="楷体_GB2312"/>
          <w:b/>
          <w:color w:val="000000"/>
          <w:sz w:val="44"/>
        </w:rPr>
        <w:t xml:space="preserve"> </w:t>
      </w:r>
      <w:r>
        <w:rPr>
          <w:rFonts w:eastAsia="楷体_GB2312"/>
          <w:color w:val="000000"/>
          <w:sz w:val="32"/>
          <w:szCs w:val="32"/>
        </w:rPr>
        <w:t>(</w:t>
      </w:r>
      <w:r>
        <w:rPr>
          <w:rFonts w:hint="eastAsia"/>
          <w:color w:val="000000"/>
          <w:sz w:val="32"/>
          <w:szCs w:val="32"/>
        </w:rPr>
        <w:t>August 11</w:t>
      </w:r>
      <w:r>
        <w:rPr>
          <w:rFonts w:eastAsia="楷体_GB2312"/>
          <w:color w:val="000000"/>
          <w:sz w:val="32"/>
          <w:szCs w:val="32"/>
        </w:rPr>
        <w:t>, 201</w:t>
      </w:r>
      <w:r>
        <w:rPr>
          <w:rFonts w:hint="eastAsia" w:eastAsia="楷体_GB2312"/>
          <w:color w:val="000000"/>
          <w:sz w:val="32"/>
          <w:szCs w:val="32"/>
        </w:rPr>
        <w:t>7</w:t>
      </w:r>
      <w:r>
        <w:rPr>
          <w:rFonts w:eastAsia="楷体_GB2312"/>
          <w:color w:val="000000"/>
          <w:sz w:val="32"/>
          <w:szCs w:val="32"/>
        </w:rPr>
        <w:t>)</w:t>
      </w:r>
    </w:p>
    <w:p>
      <w:pPr>
        <w:jc w:val="center"/>
        <w:rPr>
          <w:rFonts w:eastAsia="楷体_GB2312"/>
          <w:b/>
          <w:color w:val="000000"/>
          <w:sz w:val="44"/>
        </w:rPr>
      </w:pPr>
    </w:p>
    <w:p>
      <w:pPr>
        <w:jc w:val="center"/>
        <w:rPr>
          <w:rFonts w:eastAsia="楷体_GB2312"/>
          <w:b/>
          <w:color w:val="000000"/>
          <w:sz w:val="44"/>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rPr>
          <w:rFonts w:ascii="仿宋_GB2312" w:eastAsia="仿宋_GB2312"/>
          <w:color w:val="000000"/>
          <w:sz w:val="28"/>
        </w:rPr>
      </w:pPr>
    </w:p>
    <w:p>
      <w:pPr>
        <w:jc w:val="center"/>
        <w:rPr>
          <w:rFonts w:eastAsia="楷体_GB2312"/>
          <w:b/>
          <w:color w:val="000000"/>
          <w:sz w:val="32"/>
          <w:szCs w:val="32"/>
        </w:rPr>
      </w:pPr>
      <w:r>
        <w:rPr>
          <w:rFonts w:eastAsia="楷体_GB2312"/>
          <w:b/>
          <w:color w:val="000000"/>
          <w:sz w:val="32"/>
          <w:szCs w:val="32"/>
        </w:rPr>
        <w:t xml:space="preserve">Monetary Policy Analysis Group of </w:t>
      </w:r>
    </w:p>
    <w:p>
      <w:pPr>
        <w:jc w:val="center"/>
        <w:rPr>
          <w:rFonts w:eastAsia="楷体_GB2312"/>
          <w:b/>
          <w:color w:val="000000"/>
          <w:sz w:val="32"/>
          <w:szCs w:val="32"/>
        </w:rPr>
      </w:pPr>
      <w:r>
        <w:rPr>
          <w:rFonts w:eastAsia="楷体_GB2312"/>
          <w:b/>
          <w:color w:val="000000"/>
          <w:sz w:val="32"/>
          <w:szCs w:val="32"/>
        </w:rPr>
        <w:t>the People’s Bank of China</w:t>
      </w:r>
    </w:p>
    <w:p>
      <w:pPr>
        <w:pStyle w:val="8"/>
        <w:jc w:val="center"/>
        <w:rPr>
          <w:rFonts w:ascii="黑体" w:eastAsia="黑体"/>
          <w:kern w:val="0"/>
          <w:sz w:val="36"/>
        </w:rPr>
      </w:pPr>
    </w:p>
    <w:p>
      <w:pPr>
        <w:autoSpaceDE w:val="0"/>
        <w:autoSpaceDN w:val="0"/>
        <w:adjustRightInd w:val="0"/>
        <w:ind w:firstLine="2715" w:firstLineChars="845"/>
        <w:jc w:val="left"/>
        <w:rPr>
          <w:rFonts w:eastAsia="黑体"/>
          <w:b/>
          <w:kern w:val="0"/>
          <w:sz w:val="32"/>
          <w:szCs w:val="32"/>
        </w:rPr>
      </w:pPr>
    </w:p>
    <w:p>
      <w:pPr>
        <w:autoSpaceDE w:val="0"/>
        <w:autoSpaceDN w:val="0"/>
        <w:adjustRightInd w:val="0"/>
        <w:ind w:firstLine="2715" w:firstLineChars="845"/>
        <w:jc w:val="left"/>
        <w:rPr>
          <w:rFonts w:eastAsia="黑体"/>
          <w:b/>
          <w:kern w:val="0"/>
          <w:sz w:val="32"/>
          <w:szCs w:val="32"/>
        </w:rPr>
      </w:pPr>
    </w:p>
    <w:p>
      <w:pPr>
        <w:autoSpaceDE w:val="0"/>
        <w:autoSpaceDN w:val="0"/>
        <w:adjustRightInd w:val="0"/>
        <w:ind w:firstLine="2715" w:firstLineChars="845"/>
        <w:jc w:val="left"/>
        <w:rPr>
          <w:rFonts w:eastAsiaTheme="minorEastAsia"/>
          <w:b/>
          <w:kern w:val="0"/>
          <w:sz w:val="32"/>
          <w:szCs w:val="32"/>
        </w:rPr>
      </w:pPr>
      <w:r>
        <w:rPr>
          <w:rFonts w:eastAsia="黑体"/>
          <w:b/>
          <w:kern w:val="0"/>
          <w:sz w:val="32"/>
          <w:szCs w:val="32"/>
        </w:rPr>
        <w:t>Executive Summary</w:t>
      </w:r>
    </w:p>
    <w:p>
      <w:pPr>
        <w:spacing w:line="276" w:lineRule="auto"/>
        <w:rPr>
          <w:kern w:val="0"/>
          <w:sz w:val="24"/>
        </w:rPr>
      </w:pPr>
    </w:p>
    <w:p>
      <w:pPr>
        <w:spacing w:line="276" w:lineRule="auto"/>
        <w:rPr>
          <w:rFonts w:eastAsiaTheme="minorEastAsia"/>
          <w:kern w:val="0"/>
          <w:sz w:val="24"/>
        </w:rPr>
      </w:pPr>
      <w:r>
        <w:rPr>
          <w:kern w:val="0"/>
          <w:sz w:val="24"/>
        </w:rPr>
        <w:t>During</w:t>
      </w:r>
      <w:r>
        <w:rPr>
          <w:rFonts w:hint="eastAsia"/>
          <w:kern w:val="0"/>
          <w:sz w:val="24"/>
        </w:rPr>
        <w:t xml:space="preserve"> </w:t>
      </w:r>
      <w:r>
        <w:rPr>
          <w:rFonts w:hint="eastAsia" w:eastAsiaTheme="minorEastAsia"/>
          <w:kern w:val="0"/>
          <w:sz w:val="24"/>
        </w:rPr>
        <w:t>the first half of 2017</w:t>
      </w:r>
      <w:r>
        <w:rPr>
          <w:rFonts w:eastAsiaTheme="minorEastAsia"/>
          <w:kern w:val="0"/>
          <w:sz w:val="24"/>
        </w:rPr>
        <w:t>,</w:t>
      </w:r>
      <w:r>
        <w:rPr>
          <w:rFonts w:eastAsia="楷体_GB2312"/>
          <w:kern w:val="0"/>
          <w:sz w:val="24"/>
        </w:rPr>
        <w:t xml:space="preserve"> the </w:t>
      </w:r>
      <w:r>
        <w:rPr>
          <w:rFonts w:hint="eastAsia" w:eastAsia="楷体_GB2312"/>
          <w:kern w:val="0"/>
          <w:sz w:val="24"/>
        </w:rPr>
        <w:t xml:space="preserve">Chinese economy </w:t>
      </w:r>
      <w:r>
        <w:rPr>
          <w:rFonts w:hint="eastAsia" w:eastAsiaTheme="minorEastAsia"/>
          <w:kern w:val="0"/>
          <w:sz w:val="24"/>
        </w:rPr>
        <w:t>maintained steady and relatively rapid growth in a more stable, better coordinated</w:t>
      </w:r>
      <w:r>
        <w:rPr>
          <w:rFonts w:eastAsiaTheme="minorEastAsia"/>
          <w:kern w:val="0"/>
          <w:sz w:val="24"/>
        </w:rPr>
        <w:t>,</w:t>
      </w:r>
      <w:r>
        <w:rPr>
          <w:rFonts w:hint="eastAsia" w:eastAsiaTheme="minorEastAsia"/>
          <w:kern w:val="0"/>
          <w:sz w:val="24"/>
        </w:rPr>
        <w:t xml:space="preserve"> and more inclusive manner. </w:t>
      </w:r>
      <w:r>
        <w:rPr>
          <w:rFonts w:eastAsiaTheme="minorEastAsia"/>
          <w:kern w:val="0"/>
          <w:sz w:val="24"/>
        </w:rPr>
        <w:t>G</w:t>
      </w:r>
      <w:r>
        <w:rPr>
          <w:rFonts w:hint="eastAsia" w:eastAsiaTheme="minorEastAsia"/>
          <w:kern w:val="0"/>
          <w:sz w:val="24"/>
        </w:rPr>
        <w:t xml:space="preserve">rowth of investment remained generally stable, imports and exports grew relatively </w:t>
      </w:r>
      <w:r>
        <w:rPr>
          <w:rFonts w:eastAsiaTheme="minorEastAsia"/>
          <w:kern w:val="0"/>
          <w:sz w:val="24"/>
        </w:rPr>
        <w:t>rapidly</w:t>
      </w:r>
      <w:r>
        <w:rPr>
          <w:rFonts w:hint="eastAsia" w:eastAsiaTheme="minorEastAsia"/>
          <w:kern w:val="0"/>
          <w:sz w:val="24"/>
        </w:rPr>
        <w:t xml:space="preserve">, and employment improved. </w:t>
      </w:r>
      <w:r>
        <w:rPr>
          <w:rFonts w:eastAsiaTheme="minorEastAsia"/>
          <w:kern w:val="0"/>
          <w:sz w:val="24"/>
        </w:rPr>
        <w:t>The p</w:t>
      </w:r>
      <w:r>
        <w:rPr>
          <w:rFonts w:hint="eastAsia" w:eastAsiaTheme="minorEastAsia"/>
          <w:kern w:val="0"/>
          <w:sz w:val="24"/>
        </w:rPr>
        <w:t xml:space="preserve">erformance of </w:t>
      </w:r>
      <w:r>
        <w:rPr>
          <w:rFonts w:eastAsiaTheme="minorEastAsia"/>
          <w:kern w:val="0"/>
          <w:sz w:val="24"/>
        </w:rPr>
        <w:t xml:space="preserve">the </w:t>
      </w:r>
      <w:r>
        <w:rPr>
          <w:rFonts w:hint="eastAsia" w:eastAsiaTheme="minorEastAsia"/>
          <w:kern w:val="0"/>
          <w:sz w:val="24"/>
        </w:rPr>
        <w:t>major indicators exceeded expectation</w:t>
      </w:r>
      <w:r>
        <w:rPr>
          <w:rFonts w:eastAsiaTheme="minorEastAsia"/>
          <w:kern w:val="0"/>
          <w:sz w:val="24"/>
        </w:rPr>
        <w:t>s</w:t>
      </w:r>
      <w:r>
        <w:rPr>
          <w:rFonts w:hint="eastAsia" w:eastAsiaTheme="minorEastAsia"/>
          <w:kern w:val="0"/>
          <w:sz w:val="24"/>
        </w:rPr>
        <w:t xml:space="preserve">. </w:t>
      </w:r>
      <w:r>
        <w:rPr>
          <w:rFonts w:eastAsiaTheme="minorEastAsia"/>
          <w:kern w:val="0"/>
          <w:sz w:val="24"/>
        </w:rPr>
        <w:t>I</w:t>
      </w:r>
      <w:r>
        <w:rPr>
          <w:rFonts w:hint="eastAsia" w:eastAsiaTheme="minorEastAsia"/>
          <w:kern w:val="0"/>
          <w:sz w:val="24"/>
        </w:rPr>
        <w:t xml:space="preserve">n the first half of the </w:t>
      </w:r>
      <w:r>
        <w:rPr>
          <w:rFonts w:eastAsiaTheme="minorEastAsia"/>
          <w:kern w:val="0"/>
          <w:sz w:val="24"/>
        </w:rPr>
        <w:t>year</w:t>
      </w:r>
      <w:r>
        <w:rPr>
          <w:rFonts w:hint="eastAsia" w:eastAsiaTheme="minorEastAsia"/>
          <w:kern w:val="0"/>
          <w:sz w:val="24"/>
        </w:rPr>
        <w:t xml:space="preserve">, the Gross Domestic Product (GDP) grew by 6.9 percent year on year </w:t>
      </w:r>
      <w:r>
        <w:rPr>
          <w:rFonts w:eastAsiaTheme="minorEastAsia"/>
          <w:kern w:val="0"/>
          <w:sz w:val="24"/>
        </w:rPr>
        <w:t>and</w:t>
      </w:r>
      <w:r>
        <w:rPr>
          <w:rFonts w:hint="eastAsia" w:eastAsiaTheme="minorEastAsia"/>
          <w:kern w:val="0"/>
          <w:sz w:val="24"/>
        </w:rPr>
        <w:t xml:space="preserve"> the Consumer Price Index (CPI) was up by 1.4 percent year on year. </w:t>
      </w:r>
    </w:p>
    <w:p>
      <w:pPr>
        <w:spacing w:line="276" w:lineRule="auto"/>
        <w:rPr>
          <w:rFonts w:eastAsiaTheme="minorEastAsia"/>
          <w:kern w:val="0"/>
          <w:sz w:val="24"/>
        </w:rPr>
      </w:pPr>
    </w:p>
    <w:p>
      <w:pPr>
        <w:spacing w:line="276" w:lineRule="auto"/>
        <w:rPr>
          <w:rFonts w:eastAsiaTheme="minorEastAsia"/>
          <w:kern w:val="0"/>
          <w:sz w:val="24"/>
        </w:rPr>
      </w:pPr>
      <w:r>
        <w:rPr>
          <w:rFonts w:hint="eastAsia" w:eastAsiaTheme="minorEastAsia"/>
          <w:kern w:val="0"/>
          <w:sz w:val="24"/>
        </w:rPr>
        <w:t>T</w:t>
      </w:r>
      <w:r>
        <w:rPr>
          <w:rFonts w:hint="eastAsia" w:eastAsia="楷体_GB2312"/>
          <w:sz w:val="24"/>
        </w:rPr>
        <w:t xml:space="preserve">he </w:t>
      </w:r>
      <w:r>
        <w:rPr>
          <w:rFonts w:hint="eastAsia" w:eastAsiaTheme="minorEastAsia"/>
          <w:sz w:val="24"/>
        </w:rPr>
        <w:t>People</w:t>
      </w:r>
      <w:r>
        <w:rPr>
          <w:rFonts w:eastAsiaTheme="minorEastAsia"/>
          <w:sz w:val="24"/>
        </w:rPr>
        <w:t>’</w:t>
      </w:r>
      <w:r>
        <w:rPr>
          <w:rFonts w:hint="eastAsia" w:eastAsiaTheme="minorEastAsia"/>
          <w:sz w:val="24"/>
        </w:rPr>
        <w:t>s Bank of China (</w:t>
      </w:r>
      <w:r>
        <w:rPr>
          <w:rFonts w:hint="eastAsia" w:eastAsia="楷体_GB2312"/>
          <w:sz w:val="24"/>
        </w:rPr>
        <w:t>PBC</w:t>
      </w:r>
      <w:r>
        <w:rPr>
          <w:rFonts w:hint="eastAsia" w:eastAsiaTheme="minorEastAsia"/>
          <w:sz w:val="24"/>
        </w:rPr>
        <w:t>)</w:t>
      </w:r>
      <w:r>
        <w:rPr>
          <w:rFonts w:hint="eastAsia" w:eastAsia="楷体_GB2312"/>
          <w:sz w:val="24"/>
        </w:rPr>
        <w:t xml:space="preserve"> </w:t>
      </w:r>
      <w:r>
        <w:rPr>
          <w:rFonts w:hint="eastAsia" w:eastAsiaTheme="minorEastAsia"/>
          <w:sz w:val="24"/>
        </w:rPr>
        <w:t>has continued to implement a sound and neutral monetary policy</w:t>
      </w:r>
      <w:r>
        <w:rPr>
          <w:rFonts w:eastAsiaTheme="minorEastAsia"/>
          <w:sz w:val="24"/>
        </w:rPr>
        <w:t>,</w:t>
      </w:r>
      <w:r>
        <w:rPr>
          <w:rFonts w:hint="eastAsia" w:eastAsiaTheme="minorEastAsia"/>
          <w:sz w:val="24"/>
        </w:rPr>
        <w:t xml:space="preserve"> and </w:t>
      </w:r>
      <w:r>
        <w:rPr>
          <w:rFonts w:eastAsiaTheme="minorEastAsia"/>
          <w:sz w:val="24"/>
        </w:rPr>
        <w:t xml:space="preserve">it has </w:t>
      </w:r>
      <w:r>
        <w:rPr>
          <w:rFonts w:hint="eastAsia" w:eastAsiaTheme="minorEastAsia"/>
          <w:sz w:val="24"/>
        </w:rPr>
        <w:t>endeavored to create an appropriate</w:t>
      </w:r>
      <w:r>
        <w:rPr>
          <w:rFonts w:hint="eastAsia"/>
          <w:sz w:val="24"/>
        </w:rPr>
        <w:t xml:space="preserve"> </w:t>
      </w:r>
      <w:r>
        <w:rPr>
          <w:sz w:val="24"/>
        </w:rPr>
        <w:t>monetary and financial environme</w:t>
      </w:r>
      <w:r>
        <w:rPr>
          <w:rFonts w:hint="eastAsia"/>
          <w:sz w:val="24"/>
          <w:lang w:val="en-US" w:eastAsia="zh-CN"/>
        </w:rPr>
        <w:t>nts</w:t>
      </w:r>
      <w:r>
        <w:rPr>
          <w:rFonts w:hint="eastAsia"/>
          <w:sz w:val="24"/>
        </w:rPr>
        <w:t xml:space="preserve"> for supply-side structural reforms</w:t>
      </w:r>
      <w:r>
        <w:rPr>
          <w:rFonts w:hint="eastAsia" w:eastAsiaTheme="minorEastAsia"/>
          <w:sz w:val="24"/>
        </w:rPr>
        <w:t xml:space="preserve"> </w:t>
      </w:r>
      <w:r>
        <w:rPr>
          <w:rFonts w:eastAsiaTheme="minorEastAsia"/>
          <w:sz w:val="24"/>
        </w:rPr>
        <w:t>by</w:t>
      </w:r>
      <w:r>
        <w:rPr>
          <w:rFonts w:hint="eastAsia" w:eastAsiaTheme="minorEastAsia"/>
          <w:sz w:val="24"/>
        </w:rPr>
        <w:t xml:space="preserve"> strengthening preemptive adjustments, fine</w:t>
      </w:r>
      <w:r>
        <w:rPr>
          <w:rFonts w:eastAsiaTheme="minorEastAsia"/>
          <w:sz w:val="24"/>
        </w:rPr>
        <w:t>-</w:t>
      </w:r>
      <w:r>
        <w:rPr>
          <w:rFonts w:hint="eastAsia" w:eastAsiaTheme="minorEastAsia"/>
          <w:sz w:val="24"/>
        </w:rPr>
        <w:t>tuning</w:t>
      </w:r>
      <w:r>
        <w:rPr>
          <w:rFonts w:eastAsiaTheme="minorEastAsia"/>
          <w:sz w:val="24"/>
        </w:rPr>
        <w:t>,</w:t>
      </w:r>
      <w:r>
        <w:rPr>
          <w:rFonts w:hint="eastAsia" w:eastAsiaTheme="minorEastAsia"/>
          <w:sz w:val="24"/>
        </w:rPr>
        <w:t xml:space="preserve"> and  management</w:t>
      </w:r>
      <w:r>
        <w:rPr>
          <w:rFonts w:eastAsiaTheme="minorEastAsia"/>
          <w:sz w:val="24"/>
        </w:rPr>
        <w:t xml:space="preserve"> of expectations</w:t>
      </w:r>
      <w:r>
        <w:rPr>
          <w:rFonts w:hint="eastAsia" w:eastAsiaTheme="minorEastAsia"/>
          <w:sz w:val="24"/>
        </w:rPr>
        <w:t xml:space="preserve">. </w:t>
      </w:r>
      <w:r>
        <w:rPr>
          <w:rFonts w:hint="eastAsia" w:eastAsiaTheme="minorEastAsia"/>
          <w:kern w:val="0"/>
          <w:sz w:val="24"/>
        </w:rPr>
        <w:t>A</w:t>
      </w:r>
      <w:r>
        <w:rPr>
          <w:rFonts w:hint="eastAsia" w:eastAsia="楷体_GB2312"/>
          <w:kern w:val="0"/>
          <w:sz w:val="24"/>
        </w:rPr>
        <w:t xml:space="preserve"> </w:t>
      </w:r>
      <w:r>
        <w:rPr>
          <w:rFonts w:hint="eastAsia" w:eastAsiaTheme="minorEastAsia"/>
          <w:kern w:val="0"/>
          <w:sz w:val="24"/>
        </w:rPr>
        <w:t>mix</w:t>
      </w:r>
      <w:r>
        <w:rPr>
          <w:rFonts w:hint="eastAsia" w:eastAsia="楷体_GB2312"/>
          <w:kern w:val="0"/>
          <w:sz w:val="24"/>
        </w:rPr>
        <w:t xml:space="preserve"> of monetary policy instruments</w:t>
      </w:r>
      <w:r>
        <w:rPr>
          <w:rFonts w:eastAsia="楷体_GB2312"/>
          <w:kern w:val="0"/>
          <w:sz w:val="24"/>
        </w:rPr>
        <w:t>,</w:t>
      </w:r>
      <w:r>
        <w:rPr>
          <w:rFonts w:hint="eastAsia" w:eastAsia="楷体_GB2312"/>
          <w:kern w:val="0"/>
          <w:sz w:val="24"/>
        </w:rPr>
        <w:t xml:space="preserve"> </w:t>
      </w:r>
      <w:r>
        <w:rPr>
          <w:rFonts w:hint="eastAsia" w:eastAsiaTheme="minorEastAsia"/>
          <w:kern w:val="0"/>
          <w:sz w:val="24"/>
        </w:rPr>
        <w:t>such as o</w:t>
      </w:r>
      <w:r>
        <w:rPr>
          <w:rFonts w:hint="eastAsia" w:eastAsia="楷体_GB2312"/>
          <w:kern w:val="0"/>
          <w:sz w:val="24"/>
        </w:rPr>
        <w:t>pen market operations</w:t>
      </w:r>
      <w:r>
        <w:rPr>
          <w:rFonts w:hint="eastAsia" w:eastAsiaTheme="minorEastAsia"/>
          <w:kern w:val="0"/>
          <w:sz w:val="24"/>
        </w:rPr>
        <w:t xml:space="preserve"> and</w:t>
      </w:r>
      <w:r>
        <w:rPr>
          <w:rFonts w:hint="eastAsia" w:eastAsia="楷体_GB2312"/>
          <w:kern w:val="0"/>
          <w:sz w:val="24"/>
        </w:rPr>
        <w:t xml:space="preserve"> the Medium-term Lending Facility (MLF)</w:t>
      </w:r>
      <w:r>
        <w:rPr>
          <w:rFonts w:eastAsia="楷体_GB2312"/>
          <w:kern w:val="0"/>
          <w:sz w:val="24"/>
        </w:rPr>
        <w:t>,</w:t>
      </w:r>
      <w:r>
        <w:rPr>
          <w:rFonts w:hint="eastAsia" w:eastAsiaTheme="minorEastAsia"/>
          <w:kern w:val="0"/>
          <w:sz w:val="24"/>
        </w:rPr>
        <w:t xml:space="preserve"> </w:t>
      </w:r>
      <w:r>
        <w:rPr>
          <w:rFonts w:eastAsiaTheme="minorEastAsia"/>
          <w:kern w:val="0"/>
          <w:sz w:val="24"/>
        </w:rPr>
        <w:t>have been</w:t>
      </w:r>
      <w:r>
        <w:rPr>
          <w:rFonts w:hint="eastAsia" w:eastAsiaTheme="minorEastAsia"/>
          <w:kern w:val="0"/>
          <w:sz w:val="24"/>
        </w:rPr>
        <w:t xml:space="preserve"> </w:t>
      </w:r>
      <w:r>
        <w:rPr>
          <w:rFonts w:eastAsiaTheme="minorEastAsia"/>
          <w:kern w:val="0"/>
          <w:sz w:val="24"/>
        </w:rPr>
        <w:t>employed</w:t>
      </w:r>
      <w:r>
        <w:rPr>
          <w:rFonts w:hint="eastAsia" w:eastAsiaTheme="minorEastAsia"/>
          <w:kern w:val="0"/>
          <w:sz w:val="24"/>
        </w:rPr>
        <w:t xml:space="preserve"> to keep liquidity basically stable, </w:t>
      </w:r>
      <w:r>
        <w:rPr>
          <w:rFonts w:eastAsiaTheme="minorEastAsia"/>
          <w:kern w:val="0"/>
          <w:sz w:val="24"/>
        </w:rPr>
        <w:t>with</w:t>
      </w:r>
      <w:r>
        <w:rPr>
          <w:rFonts w:hint="eastAsia" w:eastAsiaTheme="minorEastAsia"/>
          <w:kern w:val="0"/>
          <w:sz w:val="24"/>
        </w:rPr>
        <w:t xml:space="preserve"> the bidding interest rates edg</w:t>
      </w:r>
      <w:r>
        <w:rPr>
          <w:rFonts w:eastAsiaTheme="minorEastAsia"/>
          <w:kern w:val="0"/>
          <w:sz w:val="24"/>
        </w:rPr>
        <w:t>ing</w:t>
      </w:r>
      <w:r>
        <w:rPr>
          <w:rFonts w:hint="eastAsia" w:eastAsiaTheme="minorEastAsia"/>
          <w:kern w:val="0"/>
          <w:sz w:val="24"/>
        </w:rPr>
        <w:t xml:space="preserve"> up in line with market conditions. </w:t>
      </w:r>
      <w:r>
        <w:rPr>
          <w:rFonts w:eastAsiaTheme="minorEastAsia"/>
          <w:kern w:val="0"/>
          <w:sz w:val="24"/>
        </w:rPr>
        <w:t>I</w:t>
      </w:r>
      <w:r>
        <w:rPr>
          <w:rFonts w:hint="eastAsia" w:eastAsiaTheme="minorEastAsia"/>
          <w:kern w:val="0"/>
          <w:sz w:val="24"/>
        </w:rPr>
        <w:t>nstruments such as central</w:t>
      </w:r>
      <w:r>
        <w:rPr>
          <w:rFonts w:eastAsiaTheme="minorEastAsia"/>
          <w:kern w:val="0"/>
          <w:sz w:val="24"/>
        </w:rPr>
        <w:t>-</w:t>
      </w:r>
      <w:r>
        <w:rPr>
          <w:rFonts w:hint="eastAsia" w:eastAsiaTheme="minorEastAsia"/>
          <w:kern w:val="0"/>
          <w:sz w:val="24"/>
        </w:rPr>
        <w:t>bank lending for the agro-linked sector, small businesses</w:t>
      </w:r>
      <w:r>
        <w:rPr>
          <w:rFonts w:eastAsiaTheme="minorEastAsia"/>
          <w:kern w:val="0"/>
          <w:sz w:val="24"/>
        </w:rPr>
        <w:t>,</w:t>
      </w:r>
      <w:r>
        <w:rPr>
          <w:rFonts w:hint="eastAsia" w:eastAsiaTheme="minorEastAsia"/>
          <w:kern w:val="0"/>
          <w:sz w:val="24"/>
        </w:rPr>
        <w:t xml:space="preserve"> and poverty alleviation and </w:t>
      </w:r>
      <w:r>
        <w:rPr>
          <w:rFonts w:eastAsiaTheme="minorEastAsia"/>
          <w:kern w:val="0"/>
          <w:sz w:val="24"/>
        </w:rPr>
        <w:t xml:space="preserve">the </w:t>
      </w:r>
      <w:r>
        <w:rPr>
          <w:rFonts w:hint="eastAsia" w:eastAsiaTheme="minorEastAsia"/>
          <w:kern w:val="0"/>
          <w:sz w:val="24"/>
        </w:rPr>
        <w:t>Pledged Supplemen</w:t>
      </w:r>
      <w:r>
        <w:rPr>
          <w:rFonts w:eastAsiaTheme="minorEastAsia"/>
          <w:kern w:val="0"/>
          <w:sz w:val="24"/>
        </w:rPr>
        <w:t xml:space="preserve">tary Lending </w:t>
      </w:r>
      <w:r>
        <w:rPr>
          <w:rFonts w:hint="eastAsia" w:eastAsiaTheme="minorEastAsia"/>
          <w:kern w:val="0"/>
          <w:sz w:val="24"/>
        </w:rPr>
        <w:t xml:space="preserve">were employed to guide </w:t>
      </w:r>
      <w:r>
        <w:rPr>
          <w:rFonts w:eastAsiaTheme="minorEastAsia"/>
          <w:kern w:val="0"/>
          <w:sz w:val="24"/>
        </w:rPr>
        <w:t xml:space="preserve">the </w:t>
      </w:r>
      <w:r>
        <w:rPr>
          <w:rFonts w:hint="eastAsia" w:eastAsiaTheme="minorEastAsia"/>
          <w:kern w:val="0"/>
          <w:sz w:val="24"/>
        </w:rPr>
        <w:t>credit structure, support economic restructuring, transformation</w:t>
      </w:r>
      <w:r>
        <w:rPr>
          <w:rFonts w:eastAsiaTheme="minorEastAsia"/>
          <w:kern w:val="0"/>
          <w:sz w:val="24"/>
        </w:rPr>
        <w:t>,</w:t>
      </w:r>
      <w:r>
        <w:rPr>
          <w:rFonts w:hint="eastAsia" w:eastAsiaTheme="minorEastAsia"/>
          <w:kern w:val="0"/>
          <w:sz w:val="24"/>
        </w:rPr>
        <w:t xml:space="preserve"> and upgrading, and </w:t>
      </w:r>
      <w:r>
        <w:rPr>
          <w:rFonts w:eastAsiaTheme="minorEastAsia"/>
          <w:kern w:val="0"/>
          <w:sz w:val="24"/>
        </w:rPr>
        <w:t xml:space="preserve">to </w:t>
      </w:r>
      <w:r>
        <w:rPr>
          <w:rFonts w:hint="eastAsia" w:eastAsiaTheme="minorEastAsia"/>
          <w:kern w:val="0"/>
          <w:sz w:val="24"/>
        </w:rPr>
        <w:t xml:space="preserve">allocate more financial resources to priority areas and weak links in the economy. The </w:t>
      </w:r>
      <w:r>
        <w:rPr>
          <w:rFonts w:hint="eastAsia"/>
          <w:kern w:val="0"/>
          <w:sz w:val="24"/>
        </w:rPr>
        <w:t xml:space="preserve">macro-prudential policy framework </w:t>
      </w:r>
      <w:r>
        <w:rPr>
          <w:rFonts w:hint="eastAsia" w:eastAsiaTheme="minorEastAsia"/>
          <w:kern w:val="0"/>
          <w:sz w:val="24"/>
        </w:rPr>
        <w:t xml:space="preserve">was further improved by including off-balance sheet wealth </w:t>
      </w:r>
      <w:r>
        <w:rPr>
          <w:rFonts w:eastAsiaTheme="minorEastAsia"/>
          <w:kern w:val="0"/>
          <w:sz w:val="24"/>
        </w:rPr>
        <w:t>management</w:t>
      </w:r>
      <w:r>
        <w:rPr>
          <w:rFonts w:hint="eastAsia" w:eastAsiaTheme="minorEastAsia"/>
          <w:kern w:val="0"/>
          <w:sz w:val="24"/>
        </w:rPr>
        <w:t xml:space="preserve"> products into broad</w:t>
      </w:r>
      <w:r>
        <w:rPr>
          <w:rFonts w:eastAsiaTheme="minorEastAsia"/>
          <w:kern w:val="0"/>
          <w:sz w:val="24"/>
        </w:rPr>
        <w:t xml:space="preserve"> </w:t>
      </w:r>
      <w:r>
        <w:rPr>
          <w:rFonts w:hint="eastAsia" w:eastAsiaTheme="minorEastAsia"/>
          <w:kern w:val="0"/>
          <w:sz w:val="24"/>
        </w:rPr>
        <w:t xml:space="preserve">credit and preparing to </w:t>
      </w:r>
      <w:r>
        <w:rPr>
          <w:rFonts w:eastAsiaTheme="minorEastAsia"/>
          <w:kern w:val="0"/>
          <w:sz w:val="24"/>
        </w:rPr>
        <w:t>include</w:t>
      </w:r>
      <w:r>
        <w:rPr>
          <w:rFonts w:hint="eastAsia" w:eastAsiaTheme="minorEastAsia"/>
          <w:kern w:val="0"/>
          <w:sz w:val="24"/>
        </w:rPr>
        <w:t xml:space="preserve"> inter-bank certificates of deposit as part of inter-bank liabilities in the macro-prudential assessment (MPA). </w:t>
      </w:r>
      <w:r>
        <w:rPr>
          <w:kern w:val="0"/>
          <w:sz w:val="24"/>
        </w:rPr>
        <w:t>M</w:t>
      </w:r>
      <w:r>
        <w:rPr>
          <w:rFonts w:hint="eastAsia"/>
          <w:kern w:val="0"/>
          <w:sz w:val="24"/>
        </w:rPr>
        <w:t xml:space="preserve">acro-prudential </w:t>
      </w:r>
      <w:r>
        <w:rPr>
          <w:kern w:val="0"/>
          <w:sz w:val="24"/>
        </w:rPr>
        <w:t>management</w:t>
      </w:r>
      <w:r>
        <w:rPr>
          <w:rFonts w:hint="eastAsia"/>
          <w:kern w:val="0"/>
          <w:sz w:val="24"/>
        </w:rPr>
        <w:t xml:space="preserve"> o</w:t>
      </w:r>
      <w:r>
        <w:rPr>
          <w:kern w:val="0"/>
          <w:sz w:val="24"/>
        </w:rPr>
        <w:t>f</w:t>
      </w:r>
      <w:r>
        <w:rPr>
          <w:rFonts w:hint="eastAsia"/>
          <w:kern w:val="0"/>
          <w:sz w:val="24"/>
        </w:rPr>
        <w:t xml:space="preserve"> all-system</w:t>
      </w:r>
      <w:r>
        <w:rPr>
          <w:kern w:val="0"/>
          <w:sz w:val="24"/>
        </w:rPr>
        <w:t xml:space="preserve"> </w:t>
      </w:r>
      <w:r>
        <w:rPr>
          <w:rFonts w:hint="eastAsia"/>
          <w:kern w:val="0"/>
          <w:sz w:val="24"/>
        </w:rPr>
        <w:t xml:space="preserve">cross-border financing was </w:t>
      </w:r>
      <w:r>
        <w:rPr>
          <w:rFonts w:hint="eastAsia" w:eastAsiaTheme="minorEastAsia"/>
          <w:kern w:val="0"/>
          <w:sz w:val="24"/>
        </w:rPr>
        <w:t xml:space="preserve">improved to </w:t>
      </w:r>
      <w:r>
        <w:rPr>
          <w:rFonts w:eastAsiaTheme="minorEastAsia"/>
          <w:kern w:val="0"/>
          <w:sz w:val="24"/>
        </w:rPr>
        <w:t>facilitate</w:t>
      </w:r>
      <w:r>
        <w:rPr>
          <w:rFonts w:hint="eastAsia" w:eastAsiaTheme="minorEastAsia"/>
          <w:kern w:val="0"/>
          <w:sz w:val="24"/>
        </w:rPr>
        <w:t xml:space="preserve"> </w:t>
      </w:r>
      <w:r>
        <w:rPr>
          <w:rFonts w:eastAsiaTheme="minorEastAsia"/>
          <w:kern w:val="0"/>
          <w:sz w:val="24"/>
        </w:rPr>
        <w:t>such</w:t>
      </w:r>
      <w:r>
        <w:rPr>
          <w:rFonts w:hint="eastAsia" w:eastAsiaTheme="minorEastAsia"/>
          <w:kern w:val="0"/>
          <w:sz w:val="24"/>
        </w:rPr>
        <w:t xml:space="preserve"> financing.</w:t>
      </w:r>
      <w:r>
        <w:rPr>
          <w:rFonts w:hint="eastAsia"/>
          <w:kern w:val="0"/>
          <w:sz w:val="24"/>
        </w:rPr>
        <w:t xml:space="preserve"> </w:t>
      </w:r>
      <w:r>
        <w:rPr>
          <w:rFonts w:eastAsiaTheme="minorEastAsia"/>
          <w:kern w:val="0"/>
          <w:sz w:val="24"/>
        </w:rPr>
        <w:t>A</w:t>
      </w:r>
      <w:r>
        <w:rPr>
          <w:rFonts w:hint="eastAsia" w:eastAsiaTheme="minorEastAsia"/>
          <w:kern w:val="0"/>
          <w:sz w:val="24"/>
        </w:rPr>
        <w:t xml:space="preserve"> </w:t>
      </w:r>
      <w:r>
        <w:rPr>
          <w:rFonts w:eastAsiaTheme="minorEastAsia"/>
          <w:kern w:val="0"/>
          <w:sz w:val="24"/>
        </w:rPr>
        <w:t>“</w:t>
      </w:r>
      <w:r>
        <w:rPr>
          <w:rFonts w:hint="eastAsia" w:eastAsiaTheme="minorEastAsia"/>
          <w:kern w:val="0"/>
          <w:sz w:val="24"/>
        </w:rPr>
        <w:t>counter-cyclical factor</w:t>
      </w:r>
      <w:r>
        <w:rPr>
          <w:rFonts w:eastAsiaTheme="minorEastAsia"/>
          <w:kern w:val="0"/>
          <w:sz w:val="24"/>
        </w:rPr>
        <w:t>”</w:t>
      </w:r>
      <w:r>
        <w:rPr>
          <w:rFonts w:hint="eastAsia" w:eastAsiaTheme="minorEastAsia"/>
          <w:kern w:val="0"/>
          <w:sz w:val="24"/>
        </w:rPr>
        <w:t xml:space="preserve"> was introduced to the pricing model </w:t>
      </w:r>
      <w:r>
        <w:rPr>
          <w:rFonts w:eastAsiaTheme="minorEastAsia"/>
          <w:kern w:val="0"/>
          <w:sz w:val="24"/>
        </w:rPr>
        <w:t xml:space="preserve">for </w:t>
      </w:r>
      <w:r>
        <w:rPr>
          <w:rFonts w:hint="eastAsia" w:eastAsiaTheme="minorEastAsia"/>
          <w:kern w:val="0"/>
          <w:sz w:val="24"/>
        </w:rPr>
        <w:t xml:space="preserve"> </w:t>
      </w:r>
      <w:r>
        <w:rPr>
          <w:rFonts w:eastAsiaTheme="minorEastAsia"/>
          <w:kern w:val="0"/>
          <w:sz w:val="24"/>
        </w:rPr>
        <w:t xml:space="preserve">the central parity of the </w:t>
      </w:r>
      <w:r>
        <w:rPr>
          <w:rFonts w:hint="eastAsia" w:eastAsiaTheme="minorEastAsia"/>
          <w:kern w:val="0"/>
          <w:sz w:val="24"/>
        </w:rPr>
        <w:t>RMB</w:t>
      </w:r>
      <w:r>
        <w:rPr>
          <w:rFonts w:eastAsiaTheme="minorEastAsia"/>
          <w:kern w:val="0"/>
          <w:sz w:val="24"/>
        </w:rPr>
        <w:t xml:space="preserve"> </w:t>
      </w:r>
      <w:r>
        <w:rPr>
          <w:rFonts w:hint="eastAsia" w:eastAsiaTheme="minorEastAsia"/>
          <w:kern w:val="0"/>
          <w:sz w:val="24"/>
        </w:rPr>
        <w:t>against the US do</w:t>
      </w:r>
      <w:r>
        <w:rPr>
          <w:rFonts w:eastAsiaTheme="minorEastAsia"/>
          <w:kern w:val="0"/>
          <w:sz w:val="24"/>
        </w:rPr>
        <w:t>llar</w:t>
      </w:r>
      <w:r>
        <w:rPr>
          <w:rFonts w:hint="eastAsia" w:eastAsiaTheme="minorEastAsia"/>
          <w:kern w:val="0"/>
          <w:sz w:val="24"/>
        </w:rPr>
        <w:t xml:space="preserve"> in order to moderate pro-cyclical </w:t>
      </w:r>
      <w:r>
        <w:rPr>
          <w:rFonts w:eastAsiaTheme="minorEastAsia"/>
          <w:kern w:val="0"/>
          <w:sz w:val="24"/>
        </w:rPr>
        <w:t>fluctuations</w:t>
      </w:r>
      <w:r>
        <w:rPr>
          <w:rFonts w:hint="eastAsia" w:eastAsiaTheme="minorEastAsia"/>
          <w:kern w:val="0"/>
          <w:sz w:val="24"/>
        </w:rPr>
        <w:t xml:space="preserve"> driven by market sentiment and to better reflect changes in the fundamentals. </w:t>
      </w:r>
    </w:p>
    <w:p>
      <w:pPr>
        <w:spacing w:line="276" w:lineRule="auto"/>
        <w:rPr>
          <w:color w:val="000000"/>
          <w:sz w:val="24"/>
        </w:rPr>
      </w:pPr>
    </w:p>
    <w:p>
      <w:pPr>
        <w:spacing w:line="276" w:lineRule="auto"/>
        <w:rPr>
          <w:rFonts w:eastAsia="楷体_GB2312"/>
          <w:kern w:val="0"/>
          <w:sz w:val="24"/>
        </w:rPr>
      </w:pPr>
      <w:r>
        <w:rPr>
          <w:rFonts w:eastAsiaTheme="minorEastAsia"/>
          <w:color w:val="000000"/>
          <w:sz w:val="24"/>
        </w:rPr>
        <w:t>I</w:t>
      </w:r>
      <w:r>
        <w:rPr>
          <w:rFonts w:hint="eastAsia" w:eastAsiaTheme="minorEastAsia"/>
          <w:color w:val="000000"/>
          <w:sz w:val="24"/>
        </w:rPr>
        <w:t>n general, t</w:t>
      </w:r>
      <w:r>
        <w:rPr>
          <w:color w:val="000000"/>
          <w:sz w:val="24"/>
        </w:rPr>
        <w:t xml:space="preserve">he sound </w:t>
      </w:r>
      <w:r>
        <w:rPr>
          <w:rFonts w:hint="eastAsia" w:eastAsiaTheme="minorEastAsia"/>
          <w:color w:val="000000"/>
          <w:sz w:val="24"/>
        </w:rPr>
        <w:t xml:space="preserve">and neutral </w:t>
      </w:r>
      <w:r>
        <w:rPr>
          <w:color w:val="000000"/>
          <w:sz w:val="24"/>
        </w:rPr>
        <w:t xml:space="preserve">monetary policy produced fairly good results. Liquidity in the banking system remained </w:t>
      </w:r>
      <w:r>
        <w:rPr>
          <w:rFonts w:hint="eastAsia" w:eastAsiaTheme="minorEastAsia"/>
          <w:color w:val="000000"/>
          <w:sz w:val="24"/>
        </w:rPr>
        <w:t>neutral</w:t>
      </w:r>
      <w:r>
        <w:rPr>
          <w:rFonts w:eastAsiaTheme="minorEastAsia"/>
          <w:color w:val="000000"/>
          <w:sz w:val="24"/>
        </w:rPr>
        <w:t>;</w:t>
      </w:r>
      <w:r>
        <w:rPr>
          <w:rFonts w:hint="eastAsia" w:eastAsiaTheme="minorEastAsia"/>
          <w:color w:val="000000"/>
          <w:sz w:val="24"/>
        </w:rPr>
        <w:t xml:space="preserve"> m</w:t>
      </w:r>
      <w:r>
        <w:rPr>
          <w:rFonts w:hint="eastAsia"/>
          <w:color w:val="000000"/>
          <w:sz w:val="24"/>
        </w:rPr>
        <w:t>oney, credit</w:t>
      </w:r>
      <w:r>
        <w:rPr>
          <w:color w:val="000000"/>
          <w:sz w:val="24"/>
        </w:rPr>
        <w:t>,</w:t>
      </w:r>
      <w:r>
        <w:rPr>
          <w:rFonts w:hint="eastAsia"/>
          <w:color w:val="000000"/>
          <w:sz w:val="24"/>
        </w:rPr>
        <w:t xml:space="preserve"> and all-</w:t>
      </w:r>
      <w:r>
        <w:rPr>
          <w:color w:val="000000"/>
          <w:sz w:val="24"/>
        </w:rPr>
        <w:t>system financing</w:t>
      </w:r>
      <w:r>
        <w:rPr>
          <w:rFonts w:hint="eastAsia"/>
          <w:color w:val="000000"/>
          <w:sz w:val="24"/>
        </w:rPr>
        <w:t xml:space="preserve"> </w:t>
      </w:r>
      <w:r>
        <w:rPr>
          <w:color w:val="000000"/>
          <w:sz w:val="24"/>
        </w:rPr>
        <w:t>aggregates</w:t>
      </w:r>
      <w:r>
        <w:rPr>
          <w:rFonts w:hint="eastAsia"/>
          <w:color w:val="000000"/>
          <w:sz w:val="24"/>
        </w:rPr>
        <w:t xml:space="preserve"> </w:t>
      </w:r>
      <w:r>
        <w:rPr>
          <w:rFonts w:hint="eastAsia" w:eastAsiaTheme="minorEastAsia"/>
          <w:color w:val="000000"/>
          <w:sz w:val="24"/>
        </w:rPr>
        <w:t>grew at a reasonable pace</w:t>
      </w:r>
      <w:r>
        <w:rPr>
          <w:rFonts w:eastAsiaTheme="minorEastAsia"/>
          <w:color w:val="000000"/>
          <w:sz w:val="24"/>
        </w:rPr>
        <w:t>;</w:t>
      </w:r>
      <w:r>
        <w:rPr>
          <w:rFonts w:hint="eastAsia" w:eastAsiaTheme="minorEastAsia"/>
          <w:color w:val="000000"/>
          <w:sz w:val="24"/>
        </w:rPr>
        <w:t xml:space="preserve"> </w:t>
      </w:r>
      <w:r>
        <w:rPr>
          <w:color w:val="000000"/>
          <w:sz w:val="24"/>
        </w:rPr>
        <w:t>interest rate</w:t>
      </w:r>
      <w:r>
        <w:rPr>
          <w:rFonts w:hint="eastAsia"/>
          <w:color w:val="000000"/>
          <w:sz w:val="24"/>
        </w:rPr>
        <w:t>s</w:t>
      </w:r>
      <w:r>
        <w:rPr>
          <w:color w:val="000000"/>
          <w:sz w:val="24"/>
        </w:rPr>
        <w:t xml:space="preserve"> </w:t>
      </w:r>
      <w:r>
        <w:rPr>
          <w:rFonts w:hint="eastAsia"/>
          <w:color w:val="000000"/>
          <w:sz w:val="24"/>
        </w:rPr>
        <w:t xml:space="preserve">remained at </w:t>
      </w:r>
      <w:r>
        <w:rPr>
          <w:rFonts w:hint="eastAsia" w:eastAsiaTheme="minorEastAsia"/>
          <w:color w:val="000000"/>
          <w:sz w:val="24"/>
        </w:rPr>
        <w:t>broadly appropriate levels</w:t>
      </w:r>
      <w:r>
        <w:rPr>
          <w:color w:val="000000"/>
          <w:sz w:val="24"/>
        </w:rPr>
        <w:t>;</w:t>
      </w:r>
      <w:r>
        <w:rPr>
          <w:rFonts w:hint="eastAsia"/>
          <w:color w:val="000000"/>
          <w:sz w:val="24"/>
        </w:rPr>
        <w:t xml:space="preserve"> and the RMB exchange rate was basically stable. </w:t>
      </w:r>
      <w:r>
        <w:rPr>
          <w:color w:val="000000"/>
          <w:sz w:val="24"/>
        </w:rPr>
        <w:t>A</w:t>
      </w:r>
      <w:r>
        <w:rPr>
          <w:rFonts w:hint="eastAsia"/>
          <w:color w:val="000000"/>
          <w:sz w:val="24"/>
        </w:rPr>
        <w:t>t end</w:t>
      </w:r>
      <w:r>
        <w:rPr>
          <w:rFonts w:hint="eastAsia" w:eastAsiaTheme="minorEastAsia"/>
          <w:color w:val="000000"/>
          <w:sz w:val="24"/>
        </w:rPr>
        <w:t>-June 2017</w:t>
      </w:r>
      <w:r>
        <w:rPr>
          <w:rFonts w:hint="eastAsia"/>
          <w:color w:val="000000"/>
          <w:sz w:val="24"/>
        </w:rPr>
        <w:t xml:space="preserve">, outstanding M2 grew by </w:t>
      </w:r>
      <w:r>
        <w:rPr>
          <w:rFonts w:hint="eastAsia" w:eastAsiaTheme="minorEastAsia"/>
          <w:color w:val="000000"/>
          <w:sz w:val="24"/>
        </w:rPr>
        <w:t>9.4</w:t>
      </w:r>
      <w:r>
        <w:rPr>
          <w:rFonts w:hint="eastAsia"/>
          <w:color w:val="000000"/>
          <w:sz w:val="24"/>
        </w:rPr>
        <w:t xml:space="preserve"> percent year on year. </w:t>
      </w:r>
      <w:r>
        <w:rPr>
          <w:color w:val="000000"/>
          <w:sz w:val="24"/>
        </w:rPr>
        <w:t>Outstanding RMB loans were up 1</w:t>
      </w:r>
      <w:r>
        <w:rPr>
          <w:rFonts w:hint="eastAsia" w:eastAsiaTheme="minorEastAsia"/>
          <w:color w:val="000000"/>
          <w:sz w:val="24"/>
        </w:rPr>
        <w:t xml:space="preserve">2.9 </w:t>
      </w:r>
      <w:r>
        <w:rPr>
          <w:color w:val="000000"/>
          <w:sz w:val="24"/>
        </w:rPr>
        <w:t>percent year on year</w:t>
      </w:r>
      <w:r>
        <w:rPr>
          <w:rFonts w:hint="eastAsia" w:eastAsiaTheme="minorEastAsia"/>
          <w:color w:val="000000"/>
          <w:sz w:val="24"/>
        </w:rPr>
        <w:t xml:space="preserve">, representing an increase of RMB 7.9678 trillion from the beginning of the year </w:t>
      </w:r>
      <w:r>
        <w:rPr>
          <w:rFonts w:eastAsiaTheme="minorEastAsia"/>
          <w:color w:val="000000"/>
          <w:sz w:val="24"/>
        </w:rPr>
        <w:t xml:space="preserve">or </w:t>
      </w:r>
      <w:r>
        <w:rPr>
          <w:rFonts w:hint="eastAsia" w:eastAsiaTheme="minorEastAsia"/>
          <w:color w:val="000000"/>
          <w:sz w:val="24"/>
        </w:rPr>
        <w:t xml:space="preserve">an acceleration of RMB 436.2 billion from </w:t>
      </w:r>
      <w:r>
        <w:rPr>
          <w:rFonts w:eastAsiaTheme="minorEastAsia"/>
          <w:color w:val="000000"/>
          <w:sz w:val="24"/>
        </w:rPr>
        <w:t>the previous year.</w:t>
      </w:r>
      <w:r>
        <w:rPr>
          <w:rFonts w:hint="eastAsia"/>
          <w:color w:val="000000"/>
          <w:sz w:val="24"/>
        </w:rPr>
        <w:t xml:space="preserve"> The</w:t>
      </w:r>
      <w:r>
        <w:rPr>
          <w:color w:val="000000"/>
          <w:sz w:val="24"/>
        </w:rPr>
        <w:t xml:space="preserve"> stock of all-system financing aggregates grew by 1</w:t>
      </w:r>
      <w:r>
        <w:rPr>
          <w:rFonts w:hint="eastAsia"/>
          <w:color w:val="000000"/>
          <w:sz w:val="24"/>
        </w:rPr>
        <w:t>2.</w:t>
      </w:r>
      <w:r>
        <w:rPr>
          <w:rFonts w:hint="eastAsia" w:eastAsiaTheme="minorEastAsia"/>
          <w:color w:val="000000"/>
          <w:sz w:val="24"/>
        </w:rPr>
        <w:t>8</w:t>
      </w:r>
      <w:r>
        <w:rPr>
          <w:color w:val="000000"/>
          <w:sz w:val="24"/>
        </w:rPr>
        <w:t xml:space="preserve"> percent year on year</w:t>
      </w:r>
      <w:r>
        <w:rPr>
          <w:rFonts w:hint="eastAsia" w:eastAsiaTheme="minorEastAsia"/>
          <w:color w:val="000000"/>
          <w:sz w:val="24"/>
        </w:rPr>
        <w:t>, faster than</w:t>
      </w:r>
      <w:r>
        <w:rPr>
          <w:rFonts w:eastAsiaTheme="minorEastAsia"/>
          <w:color w:val="000000"/>
          <w:sz w:val="24"/>
        </w:rPr>
        <w:t xml:space="preserve"> had been</w:t>
      </w:r>
      <w:r>
        <w:rPr>
          <w:rFonts w:hint="eastAsia" w:eastAsiaTheme="minorEastAsia"/>
          <w:color w:val="000000"/>
          <w:sz w:val="24"/>
        </w:rPr>
        <w:t xml:space="preserve"> anticipated at the beginning of the year</w:t>
      </w:r>
      <w:r>
        <w:rPr>
          <w:color w:val="000000"/>
          <w:sz w:val="24"/>
        </w:rPr>
        <w:t>. In</w:t>
      </w:r>
      <w:r>
        <w:rPr>
          <w:rFonts w:hint="eastAsia"/>
          <w:color w:val="000000"/>
          <w:sz w:val="24"/>
        </w:rPr>
        <w:t xml:space="preserve"> </w:t>
      </w:r>
      <w:r>
        <w:rPr>
          <w:rFonts w:hint="eastAsia" w:eastAsiaTheme="minorEastAsia"/>
          <w:color w:val="000000"/>
          <w:sz w:val="24"/>
        </w:rPr>
        <w:t>June</w:t>
      </w:r>
      <w:r>
        <w:rPr>
          <w:color w:val="000000"/>
          <w:sz w:val="24"/>
        </w:rPr>
        <w:t>, the weighted average interest rate</w:t>
      </w:r>
      <w:r>
        <w:rPr>
          <w:rFonts w:hint="eastAsia"/>
          <w:color w:val="000000"/>
          <w:sz w:val="24"/>
        </w:rPr>
        <w:t xml:space="preserve"> of </w:t>
      </w:r>
      <w:r>
        <w:rPr>
          <w:color w:val="000000"/>
          <w:sz w:val="24"/>
        </w:rPr>
        <w:t>loans to non-financial enterprises and other sectors was 5.</w:t>
      </w:r>
      <w:r>
        <w:rPr>
          <w:rFonts w:hint="eastAsia" w:eastAsiaTheme="minorEastAsia"/>
          <w:color w:val="000000"/>
          <w:sz w:val="24"/>
        </w:rPr>
        <w:t>67</w:t>
      </w:r>
      <w:r>
        <w:rPr>
          <w:color w:val="000000"/>
          <w:sz w:val="24"/>
        </w:rPr>
        <w:t xml:space="preserve"> percent. </w:t>
      </w:r>
      <w:r>
        <w:rPr>
          <w:rFonts w:eastAsia="楷体_GB2312"/>
          <w:kern w:val="0"/>
          <w:sz w:val="24"/>
        </w:rPr>
        <w:t>At end-</w:t>
      </w:r>
      <w:r>
        <w:rPr>
          <w:rFonts w:hint="eastAsia" w:eastAsiaTheme="minorEastAsia"/>
          <w:kern w:val="0"/>
          <w:sz w:val="24"/>
        </w:rPr>
        <w:t>June</w:t>
      </w:r>
      <w:r>
        <w:rPr>
          <w:rFonts w:eastAsia="楷体_GB2312"/>
          <w:kern w:val="0"/>
          <w:sz w:val="24"/>
        </w:rPr>
        <w:t>,</w:t>
      </w:r>
      <w:r>
        <w:rPr>
          <w:rFonts w:hint="eastAsia" w:eastAsia="楷体_GB2312"/>
          <w:kern w:val="0"/>
          <w:sz w:val="24"/>
        </w:rPr>
        <w:t xml:space="preserve"> </w:t>
      </w:r>
      <w:r>
        <w:rPr>
          <w:rFonts w:eastAsia="楷体_GB2312"/>
          <w:kern w:val="0"/>
          <w:sz w:val="24"/>
        </w:rPr>
        <w:t xml:space="preserve">the CFETS RMB exchange-rate index </w:t>
      </w:r>
      <w:r>
        <w:rPr>
          <w:rFonts w:hint="eastAsia" w:eastAsia="楷体_GB2312"/>
          <w:kern w:val="0"/>
          <w:sz w:val="24"/>
        </w:rPr>
        <w:t xml:space="preserve">was </w:t>
      </w:r>
      <w:r>
        <w:rPr>
          <w:rFonts w:hint="eastAsia"/>
          <w:kern w:val="0"/>
          <w:sz w:val="24"/>
        </w:rPr>
        <w:t>9</w:t>
      </w:r>
      <w:r>
        <w:rPr>
          <w:rFonts w:hint="eastAsia" w:eastAsiaTheme="minorEastAsia"/>
          <w:kern w:val="0"/>
          <w:sz w:val="24"/>
        </w:rPr>
        <w:t>3.29</w:t>
      </w:r>
      <w:r>
        <w:rPr>
          <w:rFonts w:hint="eastAsia"/>
          <w:kern w:val="0"/>
          <w:sz w:val="24"/>
        </w:rPr>
        <w:t xml:space="preserve">, and </w:t>
      </w:r>
      <w:r>
        <w:rPr>
          <w:rFonts w:hint="eastAsia" w:eastAsia="楷体_GB2312"/>
          <w:kern w:val="0"/>
          <w:sz w:val="24"/>
        </w:rPr>
        <w:t xml:space="preserve">the </w:t>
      </w:r>
      <w:r>
        <w:rPr>
          <w:rFonts w:eastAsia="楷体_GB2312"/>
          <w:kern w:val="0"/>
          <w:sz w:val="24"/>
        </w:rPr>
        <w:t xml:space="preserve">central parity of the RMB against the US dollar was </w:t>
      </w:r>
      <w:r>
        <w:rPr>
          <w:rFonts w:hint="eastAsia" w:eastAsia="楷体_GB2312"/>
          <w:kern w:val="0"/>
          <w:sz w:val="24"/>
        </w:rPr>
        <w:t xml:space="preserve">RMB </w:t>
      </w:r>
      <w:r>
        <w:rPr>
          <w:rFonts w:eastAsia="楷体_GB2312"/>
          <w:kern w:val="0"/>
          <w:sz w:val="24"/>
        </w:rPr>
        <w:t>6.</w:t>
      </w:r>
      <w:r>
        <w:rPr>
          <w:rFonts w:hint="eastAsia" w:eastAsiaTheme="minorEastAsia"/>
          <w:kern w:val="0"/>
          <w:sz w:val="24"/>
        </w:rPr>
        <w:t>7744, representing an appreciation of 2.40 percent from end-2016</w:t>
      </w:r>
      <w:r>
        <w:rPr>
          <w:rFonts w:eastAsia="楷体_GB2312"/>
          <w:kern w:val="0"/>
          <w:sz w:val="24"/>
        </w:rPr>
        <w:t>.</w:t>
      </w:r>
    </w:p>
    <w:p>
      <w:pPr>
        <w:spacing w:line="276" w:lineRule="auto"/>
        <w:rPr>
          <w:rFonts w:eastAsia="楷体_GB2312"/>
          <w:kern w:val="0"/>
          <w:sz w:val="24"/>
        </w:rPr>
      </w:pPr>
    </w:p>
    <w:p>
      <w:pPr>
        <w:spacing w:line="276" w:lineRule="auto"/>
        <w:rPr>
          <w:rFonts w:eastAsiaTheme="minorEastAsia"/>
          <w:kern w:val="0"/>
          <w:sz w:val="24"/>
        </w:rPr>
      </w:pPr>
      <w:r>
        <w:rPr>
          <w:rFonts w:eastAsiaTheme="minorEastAsia"/>
          <w:kern w:val="0"/>
          <w:sz w:val="24"/>
        </w:rPr>
        <w:t>The g</w:t>
      </w:r>
      <w:r>
        <w:rPr>
          <w:rFonts w:hint="eastAsia" w:eastAsiaTheme="minorEastAsia"/>
          <w:kern w:val="0"/>
          <w:sz w:val="24"/>
        </w:rPr>
        <w:t>lobal econom</w:t>
      </w:r>
      <w:r>
        <w:rPr>
          <w:rFonts w:hint="eastAsia"/>
          <w:kern w:val="0"/>
          <w:sz w:val="24"/>
        </w:rPr>
        <w:t xml:space="preserve">y has continued </w:t>
      </w:r>
      <w:r>
        <w:rPr>
          <w:kern w:val="0"/>
          <w:sz w:val="24"/>
        </w:rPr>
        <w:t>its</w:t>
      </w:r>
      <w:r>
        <w:rPr>
          <w:rFonts w:hint="eastAsia"/>
          <w:kern w:val="0"/>
          <w:sz w:val="24"/>
        </w:rPr>
        <w:t xml:space="preserve"> </w:t>
      </w:r>
      <w:r>
        <w:rPr>
          <w:rFonts w:hint="eastAsia" w:eastAsiaTheme="minorEastAsia"/>
          <w:kern w:val="0"/>
          <w:sz w:val="24"/>
        </w:rPr>
        <w:t>momentum</w:t>
      </w:r>
      <w:r>
        <w:rPr>
          <w:rFonts w:hint="eastAsia"/>
          <w:kern w:val="0"/>
          <w:sz w:val="24"/>
        </w:rPr>
        <w:t xml:space="preserve"> of </w:t>
      </w:r>
      <w:r>
        <w:rPr>
          <w:kern w:val="0"/>
          <w:sz w:val="24"/>
        </w:rPr>
        <w:t xml:space="preserve">a </w:t>
      </w:r>
      <w:r>
        <w:rPr>
          <w:rFonts w:hint="eastAsia"/>
          <w:kern w:val="0"/>
          <w:sz w:val="24"/>
        </w:rPr>
        <w:t>steady recovery</w:t>
      </w:r>
      <w:r>
        <w:rPr>
          <w:rFonts w:hint="eastAsia" w:eastAsiaTheme="minorEastAsia"/>
          <w:kern w:val="0"/>
          <w:sz w:val="24"/>
        </w:rPr>
        <w:t xml:space="preserve">, </w:t>
      </w:r>
      <w:r>
        <w:rPr>
          <w:rFonts w:eastAsiaTheme="minorEastAsia"/>
          <w:kern w:val="0"/>
          <w:sz w:val="24"/>
        </w:rPr>
        <w:t xml:space="preserve">with external demand generally improving. Nevertheless, the deeply felt ramifications of the global financial crisis have not yet been eradicated, numerous geopolitical risks and uncertainties remain, and the expected monetary-policy normalization of major central banks might increase the risks of financial market </w:t>
      </w:r>
      <w:r>
        <w:rPr>
          <w:rFonts w:hint="eastAsia" w:eastAsiaTheme="minorEastAsia"/>
          <w:kern w:val="0"/>
          <w:sz w:val="24"/>
        </w:rPr>
        <w:t>correction</w:t>
      </w:r>
      <w:r>
        <w:rPr>
          <w:rFonts w:eastAsiaTheme="minorEastAsia"/>
          <w:kern w:val="0"/>
          <w:sz w:val="24"/>
        </w:rPr>
        <w:t>s. D</w:t>
      </w:r>
      <w:r>
        <w:rPr>
          <w:rFonts w:hint="eastAsia" w:eastAsiaTheme="minorEastAsia"/>
          <w:kern w:val="0"/>
          <w:sz w:val="24"/>
        </w:rPr>
        <w:t>omestically,</w:t>
      </w:r>
      <w:r>
        <w:rPr>
          <w:rFonts w:hint="eastAsia"/>
          <w:kern w:val="0"/>
          <w:sz w:val="24"/>
        </w:rPr>
        <w:t xml:space="preserve"> </w:t>
      </w:r>
      <w:r>
        <w:rPr>
          <w:rFonts w:hint="eastAsia" w:eastAsiaTheme="minorEastAsia"/>
          <w:kern w:val="0"/>
          <w:sz w:val="24"/>
        </w:rPr>
        <w:t>w</w:t>
      </w:r>
      <w:r>
        <w:rPr>
          <w:rFonts w:hint="eastAsia"/>
          <w:kern w:val="0"/>
          <w:sz w:val="24"/>
        </w:rPr>
        <w:t xml:space="preserve">ith </w:t>
      </w:r>
      <w:r>
        <w:rPr>
          <w:rFonts w:hint="eastAsia" w:eastAsiaTheme="minorEastAsia"/>
          <w:kern w:val="0"/>
          <w:sz w:val="24"/>
        </w:rPr>
        <w:t>the deepening</w:t>
      </w:r>
      <w:r>
        <w:rPr>
          <w:kern w:val="0"/>
          <w:sz w:val="24"/>
        </w:rPr>
        <w:t xml:space="preserve"> of </w:t>
      </w:r>
      <w:r>
        <w:rPr>
          <w:rFonts w:hint="eastAsia"/>
          <w:kern w:val="0"/>
          <w:sz w:val="24"/>
        </w:rPr>
        <w:t>the supply-side structural reform</w:t>
      </w:r>
      <w:r>
        <w:rPr>
          <w:kern w:val="0"/>
          <w:sz w:val="24"/>
        </w:rPr>
        <w:t>s</w:t>
      </w:r>
      <w:r>
        <w:rPr>
          <w:rFonts w:eastAsiaTheme="minorEastAsia"/>
          <w:kern w:val="0"/>
          <w:sz w:val="24"/>
        </w:rPr>
        <w:t xml:space="preserve">, </w:t>
      </w:r>
      <w:r>
        <w:rPr>
          <w:rFonts w:hint="eastAsia"/>
          <w:kern w:val="0"/>
          <w:sz w:val="24"/>
        </w:rPr>
        <w:t xml:space="preserve">efforts to </w:t>
      </w:r>
      <w:r>
        <w:rPr>
          <w:kern w:val="0"/>
          <w:sz w:val="24"/>
        </w:rPr>
        <w:t>streamline</w:t>
      </w:r>
      <w:r>
        <w:rPr>
          <w:rFonts w:hint="eastAsia"/>
          <w:kern w:val="0"/>
          <w:sz w:val="24"/>
        </w:rPr>
        <w:t xml:space="preserve"> administration</w:t>
      </w:r>
      <w:r>
        <w:rPr>
          <w:rFonts w:hint="eastAsia" w:eastAsiaTheme="minorEastAsia"/>
          <w:kern w:val="0"/>
          <w:sz w:val="24"/>
        </w:rPr>
        <w:t xml:space="preserve"> and</w:t>
      </w:r>
      <w:r>
        <w:rPr>
          <w:rFonts w:hint="eastAsia"/>
          <w:kern w:val="0"/>
          <w:sz w:val="24"/>
        </w:rPr>
        <w:t xml:space="preserve"> </w:t>
      </w:r>
      <w:r>
        <w:rPr>
          <w:kern w:val="0"/>
          <w:sz w:val="24"/>
        </w:rPr>
        <w:t xml:space="preserve">to </w:t>
      </w:r>
      <w:r>
        <w:rPr>
          <w:rFonts w:hint="eastAsia"/>
          <w:kern w:val="0"/>
          <w:sz w:val="24"/>
        </w:rPr>
        <w:t>delegate power</w:t>
      </w:r>
      <w:r>
        <w:rPr>
          <w:kern w:val="0"/>
          <w:sz w:val="24"/>
        </w:rPr>
        <w:t>s</w:t>
      </w:r>
      <w:r>
        <w:rPr>
          <w:rFonts w:hint="eastAsia"/>
          <w:kern w:val="0"/>
          <w:sz w:val="24"/>
        </w:rPr>
        <w:t xml:space="preserve"> to lower levels</w:t>
      </w:r>
      <w:r>
        <w:rPr>
          <w:kern w:val="0"/>
          <w:sz w:val="24"/>
        </w:rPr>
        <w:t>,</w:t>
      </w:r>
      <w:r>
        <w:rPr>
          <w:rFonts w:hint="eastAsia"/>
          <w:kern w:val="0"/>
          <w:sz w:val="24"/>
        </w:rPr>
        <w:t xml:space="preserve"> and implementation of</w:t>
      </w:r>
      <w:r>
        <w:rPr>
          <w:kern w:val="0"/>
          <w:sz w:val="24"/>
        </w:rPr>
        <w:t xml:space="preserve"> </w:t>
      </w:r>
      <w:r>
        <w:rPr>
          <w:rFonts w:hint="eastAsia"/>
          <w:kern w:val="0"/>
          <w:sz w:val="24"/>
        </w:rPr>
        <w:t xml:space="preserve">innovation-driven strategies, </w:t>
      </w:r>
      <w:r>
        <w:rPr>
          <w:rFonts w:hint="eastAsia" w:eastAsiaTheme="minorEastAsia"/>
          <w:kern w:val="0"/>
          <w:sz w:val="24"/>
        </w:rPr>
        <w:t xml:space="preserve">industrial upgrading has continued to make progress, </w:t>
      </w:r>
      <w:r>
        <w:rPr>
          <w:rFonts w:eastAsiaTheme="minorEastAsia"/>
          <w:kern w:val="0"/>
          <w:sz w:val="24"/>
        </w:rPr>
        <w:t xml:space="preserve">overcapacity has been reduced, and industries </w:t>
      </w:r>
      <w:r>
        <w:rPr>
          <w:rFonts w:hint="eastAsia" w:eastAsiaTheme="minorEastAsia"/>
          <w:kern w:val="0"/>
          <w:sz w:val="24"/>
        </w:rPr>
        <w:t>well-adapted to</w:t>
      </w:r>
      <w:r>
        <w:rPr>
          <w:rFonts w:eastAsiaTheme="minorEastAsia"/>
          <w:kern w:val="0"/>
          <w:sz w:val="24"/>
        </w:rPr>
        <w:t xml:space="preserve"> consumption upgrading and strategic </w:t>
      </w:r>
      <w:r>
        <w:rPr>
          <w:rFonts w:hint="eastAsia" w:eastAsiaTheme="minorEastAsia"/>
          <w:kern w:val="0"/>
          <w:sz w:val="24"/>
        </w:rPr>
        <w:t xml:space="preserve">emerging </w:t>
      </w:r>
      <w:r>
        <w:rPr>
          <w:rFonts w:eastAsiaTheme="minorEastAsia"/>
          <w:kern w:val="0"/>
          <w:sz w:val="24"/>
        </w:rPr>
        <w:t xml:space="preserve">industries have witnessed rapid development. As a result, aggregate supply and demand have become more balanced. Nevertheless, problems and </w:t>
      </w:r>
      <w:r>
        <w:rPr>
          <w:rFonts w:hint="eastAsia" w:eastAsiaTheme="minorEastAsia"/>
          <w:kern w:val="0"/>
          <w:sz w:val="24"/>
        </w:rPr>
        <w:t>mismatches</w:t>
      </w:r>
      <w:r>
        <w:rPr>
          <w:rFonts w:eastAsiaTheme="minorEastAsia"/>
          <w:kern w:val="0"/>
          <w:sz w:val="24"/>
        </w:rPr>
        <w:t xml:space="preserve"> still remain. From the perspective of the long-term economic cycle and a structural upgrading, and in</w:t>
      </w:r>
      <w:r>
        <w:rPr>
          <w:rFonts w:hint="eastAsia" w:eastAsiaTheme="minorEastAsia"/>
          <w:kern w:val="0"/>
          <w:sz w:val="24"/>
        </w:rPr>
        <w:t xml:space="preserve"> light of </w:t>
      </w:r>
      <w:r>
        <w:rPr>
          <w:rFonts w:eastAsiaTheme="minorEastAsia"/>
          <w:kern w:val="0"/>
          <w:sz w:val="24"/>
        </w:rPr>
        <w:t xml:space="preserve">the </w:t>
      </w:r>
      <w:r>
        <w:rPr>
          <w:rFonts w:hint="eastAsia" w:eastAsiaTheme="minorEastAsia"/>
          <w:kern w:val="0"/>
          <w:sz w:val="24"/>
        </w:rPr>
        <w:t xml:space="preserve">current </w:t>
      </w:r>
      <w:r>
        <w:rPr>
          <w:rFonts w:eastAsiaTheme="minorEastAsia"/>
          <w:kern w:val="0"/>
          <w:sz w:val="24"/>
        </w:rPr>
        <w:t xml:space="preserve">stage of </w:t>
      </w:r>
      <w:r>
        <w:rPr>
          <w:rFonts w:hint="eastAsia" w:eastAsiaTheme="minorEastAsia"/>
          <w:kern w:val="0"/>
          <w:sz w:val="24"/>
        </w:rPr>
        <w:t xml:space="preserve">development, </w:t>
      </w:r>
      <w:r>
        <w:rPr>
          <w:rFonts w:eastAsiaTheme="minorEastAsia"/>
          <w:kern w:val="0"/>
          <w:sz w:val="24"/>
        </w:rPr>
        <w:t>steadfast</w:t>
      </w:r>
      <w:r>
        <w:rPr>
          <w:rFonts w:hint="eastAsia" w:eastAsiaTheme="minorEastAsia"/>
          <w:kern w:val="0"/>
          <w:sz w:val="24"/>
        </w:rPr>
        <w:t xml:space="preserve"> efforts </w:t>
      </w:r>
      <w:r>
        <w:rPr>
          <w:rFonts w:eastAsiaTheme="minorEastAsia"/>
          <w:kern w:val="0"/>
          <w:sz w:val="24"/>
        </w:rPr>
        <w:t>must</w:t>
      </w:r>
      <w:r>
        <w:rPr>
          <w:rFonts w:hint="eastAsia" w:eastAsiaTheme="minorEastAsia"/>
          <w:kern w:val="0"/>
          <w:sz w:val="24"/>
        </w:rPr>
        <w:t xml:space="preserve"> be made to deepen the supply-side </w:t>
      </w:r>
      <w:r>
        <w:rPr>
          <w:rFonts w:eastAsiaTheme="minorEastAsia"/>
          <w:kern w:val="0"/>
          <w:sz w:val="24"/>
        </w:rPr>
        <w:t>structural</w:t>
      </w:r>
      <w:r>
        <w:rPr>
          <w:rFonts w:hint="eastAsia" w:eastAsiaTheme="minorEastAsia"/>
          <w:kern w:val="0"/>
          <w:sz w:val="24"/>
        </w:rPr>
        <w:t xml:space="preserve"> reforms by </w:t>
      </w:r>
      <w:r>
        <w:rPr>
          <w:rFonts w:eastAsiaTheme="minorEastAsia"/>
          <w:kern w:val="0"/>
          <w:sz w:val="24"/>
        </w:rPr>
        <w:t>remov</w:t>
      </w:r>
      <w:r>
        <w:rPr>
          <w:rFonts w:hint="eastAsia" w:eastAsiaTheme="minorEastAsia"/>
          <w:kern w:val="0"/>
          <w:sz w:val="24"/>
        </w:rPr>
        <w:t>ing</w:t>
      </w:r>
      <w:r>
        <w:rPr>
          <w:rFonts w:eastAsiaTheme="minorEastAsia"/>
          <w:kern w:val="0"/>
          <w:sz w:val="24"/>
        </w:rPr>
        <w:t xml:space="preserve"> excess capacity, reduc</w:t>
      </w:r>
      <w:r>
        <w:rPr>
          <w:rFonts w:hint="eastAsia" w:eastAsiaTheme="minorEastAsia"/>
          <w:kern w:val="0"/>
          <w:sz w:val="24"/>
        </w:rPr>
        <w:t>ing</w:t>
      </w:r>
      <w:r>
        <w:rPr>
          <w:rFonts w:eastAsiaTheme="minorEastAsia"/>
          <w:kern w:val="0"/>
          <w:sz w:val="24"/>
        </w:rPr>
        <w:t xml:space="preserve"> stocks, deleverag</w:t>
      </w:r>
      <w:r>
        <w:rPr>
          <w:rFonts w:hint="eastAsia" w:eastAsiaTheme="minorEastAsia"/>
          <w:kern w:val="0"/>
          <w:sz w:val="24"/>
        </w:rPr>
        <w:t>ing</w:t>
      </w:r>
      <w:r>
        <w:rPr>
          <w:rFonts w:eastAsiaTheme="minorEastAsia"/>
          <w:kern w:val="0"/>
          <w:sz w:val="24"/>
        </w:rPr>
        <w:t>, reduc</w:t>
      </w:r>
      <w:r>
        <w:rPr>
          <w:rFonts w:hint="eastAsia" w:eastAsiaTheme="minorEastAsia"/>
          <w:kern w:val="0"/>
          <w:sz w:val="24"/>
        </w:rPr>
        <w:t>ing</w:t>
      </w:r>
      <w:r>
        <w:rPr>
          <w:rFonts w:eastAsiaTheme="minorEastAsia"/>
          <w:kern w:val="0"/>
          <w:sz w:val="24"/>
        </w:rPr>
        <w:t xml:space="preserve"> costs and shor</w:t>
      </w:r>
      <w:r>
        <w:rPr>
          <w:rFonts w:hint="eastAsia" w:eastAsiaTheme="minorEastAsia"/>
          <w:kern w:val="0"/>
          <w:sz w:val="24"/>
        </w:rPr>
        <w:t>ing</w:t>
      </w:r>
      <w:r>
        <w:rPr>
          <w:rFonts w:eastAsiaTheme="minorEastAsia"/>
          <w:kern w:val="0"/>
          <w:sz w:val="24"/>
        </w:rPr>
        <w:t xml:space="preserve"> up weak spots,</w:t>
      </w:r>
      <w:r>
        <w:rPr>
          <w:rFonts w:hint="eastAsia" w:eastAsiaTheme="minorEastAsia"/>
          <w:kern w:val="0"/>
          <w:sz w:val="24"/>
        </w:rPr>
        <w:t xml:space="preserve"> </w:t>
      </w:r>
      <w:r>
        <w:rPr>
          <w:rFonts w:eastAsiaTheme="minorEastAsia"/>
          <w:kern w:val="0"/>
          <w:sz w:val="24"/>
        </w:rPr>
        <w:t xml:space="preserve">and focusing on the resolution of “zombie enterprises” in order to bring about the survival of the fittest based on a market-oriented mechanism. </w:t>
      </w:r>
    </w:p>
    <w:p>
      <w:pPr>
        <w:pStyle w:val="6"/>
        <w:spacing w:line="276" w:lineRule="auto"/>
        <w:jc w:val="both"/>
      </w:pPr>
    </w:p>
    <w:p>
      <w:pPr>
        <w:pStyle w:val="6"/>
        <w:spacing w:line="276" w:lineRule="auto"/>
        <w:jc w:val="both"/>
        <w:rPr>
          <w:rFonts w:eastAsia="宋体"/>
          <w:lang w:eastAsia="zh-CN"/>
        </w:rPr>
      </w:pPr>
      <w:r>
        <w:rPr>
          <w:rFonts w:hint="eastAsia"/>
        </w:rPr>
        <w:t xml:space="preserve">Going forward, the PBC will continue to </w:t>
      </w:r>
      <w:r>
        <w:t>follow the</w:t>
      </w:r>
      <w:r>
        <w:rPr>
          <w:rFonts w:hint="eastAsia"/>
        </w:rPr>
        <w:t xml:space="preserve"> overall</w:t>
      </w:r>
      <w:r>
        <w:t xml:space="preserve"> arrangements of the </w:t>
      </w:r>
      <w:r>
        <w:rPr>
          <w:rFonts w:hint="eastAsia"/>
        </w:rPr>
        <w:t xml:space="preserve">CPC </w:t>
      </w:r>
      <w:r>
        <w:t>Central Committee and the State Council</w:t>
      </w:r>
      <w:r>
        <w:rPr>
          <w:rFonts w:hint="eastAsia"/>
        </w:rPr>
        <w:t xml:space="preserve">, </w:t>
      </w:r>
      <w:r>
        <w:t xml:space="preserve">implement the principles announced </w:t>
      </w:r>
      <w:r>
        <w:rPr>
          <w:rFonts w:hint="eastAsia"/>
          <w:lang w:eastAsia="zh-CN"/>
        </w:rPr>
        <w:t>at</w:t>
      </w:r>
      <w:r>
        <w:t xml:space="preserve"> the National Financial Work Conference, conform to the law</w:t>
      </w:r>
      <w:r>
        <w:rPr>
          <w:rFonts w:hint="eastAsia"/>
          <w:lang w:eastAsia="zh-CN"/>
        </w:rPr>
        <w:t xml:space="preserve"> governing</w:t>
      </w:r>
      <w:r>
        <w:t xml:space="preserve"> financial development, concentrate on the three tasks </w:t>
      </w:r>
      <w:r>
        <w:rPr>
          <w:rFonts w:hint="eastAsia"/>
          <w:lang w:eastAsia="zh-CN"/>
        </w:rPr>
        <w:t>of</w:t>
      </w:r>
      <w:r>
        <w:t xml:space="preserve"> </w:t>
      </w:r>
      <w:r>
        <w:rPr>
          <w:rFonts w:hint="eastAsia"/>
          <w:lang w:eastAsia="zh-CN"/>
        </w:rPr>
        <w:t>serving</w:t>
      </w:r>
      <w:r>
        <w:t xml:space="preserve"> the real economy, containing financial risks, and deepening financial reforms, </w:t>
      </w:r>
      <w:r>
        <w:rPr>
          <w:rFonts w:hint="eastAsia"/>
          <w:lang w:eastAsia="zh-CN"/>
        </w:rPr>
        <w:t xml:space="preserve">and </w:t>
      </w:r>
      <w:r>
        <w:t xml:space="preserve">continue to carry out a sound and neutral monetary policy, and strike a better balance among stabilizing growth, restructuring the economy, and controlling aggregates so as to create neutral and appropriate monetary and financial environments for the supply-side structural reforms. While keeping aggregate monetary supply stable, the PBC will use a mix of quantity- and price-based instruments as well as macro-prudential policies </w:t>
      </w:r>
      <w:r>
        <w:rPr>
          <w:rFonts w:hint="eastAsia"/>
          <w:lang w:eastAsia="zh-CN"/>
        </w:rPr>
        <w:t xml:space="preserve">and </w:t>
      </w:r>
      <w:r>
        <w:rPr>
          <w:lang w:eastAsia="zh-CN"/>
        </w:rPr>
        <w:t xml:space="preserve">it will </w:t>
      </w:r>
      <w:r>
        <w:t xml:space="preserve">strengthen </w:t>
      </w:r>
      <w:r>
        <w:rPr>
          <w:rFonts w:hint="eastAsia"/>
          <w:lang w:eastAsia="zh-CN"/>
        </w:rPr>
        <w:t>preemptive adjustments</w:t>
      </w:r>
      <w:r>
        <w:t xml:space="preserve"> and fine-tunings to better regulate monetary supply. </w:t>
      </w:r>
      <w:r>
        <w:rPr>
          <w:rFonts w:hint="eastAsia" w:eastAsia="宋体"/>
          <w:lang w:eastAsia="zh-CN"/>
        </w:rPr>
        <w:t>High priority will be placed on</w:t>
      </w:r>
      <w:r>
        <w:t xml:space="preserve"> developing direct financing, while at the same time improving the structure of indirect financing. </w:t>
      </w:r>
      <w:r>
        <w:rPr>
          <w:rFonts w:eastAsia="宋体"/>
          <w:lang w:eastAsia="zh-CN"/>
        </w:rPr>
        <w:t>E</w:t>
      </w:r>
      <w:r>
        <w:rPr>
          <w:rFonts w:hint="eastAsia" w:eastAsia="宋体"/>
          <w:lang w:eastAsia="zh-CN"/>
        </w:rPr>
        <w:t xml:space="preserve">fforts will be made to improve financial support to the real economy in terms of efficiency and strength, </w:t>
      </w:r>
      <w:r>
        <w:rPr>
          <w:rFonts w:eastAsia="宋体"/>
          <w:lang w:eastAsia="zh-CN"/>
        </w:rPr>
        <w:t xml:space="preserve">to </w:t>
      </w:r>
      <w:r>
        <w:rPr>
          <w:rFonts w:hint="eastAsia" w:eastAsia="宋体"/>
          <w:lang w:eastAsia="zh-CN"/>
        </w:rPr>
        <w:t>reinforce financial services to small and micro businesses, the agro-linked sector</w:t>
      </w:r>
      <w:r>
        <w:rPr>
          <w:rFonts w:eastAsia="宋体"/>
          <w:lang w:eastAsia="zh-CN"/>
        </w:rPr>
        <w:t>,</w:t>
      </w:r>
      <w:r>
        <w:rPr>
          <w:rFonts w:hint="eastAsia" w:eastAsia="宋体"/>
          <w:lang w:eastAsia="zh-CN"/>
        </w:rPr>
        <w:t xml:space="preserve"> and </w:t>
      </w:r>
      <w:r>
        <w:rPr>
          <w:rFonts w:eastAsia="宋体"/>
          <w:lang w:eastAsia="zh-CN"/>
        </w:rPr>
        <w:t xml:space="preserve">the </w:t>
      </w:r>
      <w:r>
        <w:rPr>
          <w:rFonts w:hint="eastAsia" w:eastAsia="宋体"/>
          <w:lang w:eastAsia="zh-CN"/>
        </w:rPr>
        <w:t xml:space="preserve">outlying areas, and </w:t>
      </w:r>
      <w:r>
        <w:rPr>
          <w:rFonts w:eastAsia="宋体"/>
          <w:lang w:eastAsia="zh-CN"/>
        </w:rPr>
        <w:t xml:space="preserve">to </w:t>
      </w:r>
      <w:r>
        <w:rPr>
          <w:rFonts w:hint="eastAsia" w:eastAsia="宋体"/>
          <w:lang w:eastAsia="zh-CN"/>
        </w:rPr>
        <w:t xml:space="preserve">encourage the development of green finance. </w:t>
      </w:r>
      <w:r>
        <w:rPr>
          <w:rFonts w:eastAsia="宋体"/>
          <w:lang w:eastAsia="zh-CN"/>
        </w:rPr>
        <w:t>T</w:t>
      </w:r>
      <w:r>
        <w:rPr>
          <w:rFonts w:hint="eastAsia" w:eastAsia="宋体"/>
          <w:lang w:eastAsia="zh-CN"/>
        </w:rPr>
        <w:t>he PBC will also improve the macro-prudential policy framework, promote the market-based exchange rate and interest</w:t>
      </w:r>
      <w:r>
        <w:rPr>
          <w:rFonts w:eastAsia="宋体"/>
          <w:lang w:eastAsia="zh-CN"/>
        </w:rPr>
        <w:t>-</w:t>
      </w:r>
      <w:r>
        <w:rPr>
          <w:rFonts w:hint="eastAsia" w:eastAsia="宋体"/>
          <w:lang w:eastAsia="zh-CN"/>
        </w:rPr>
        <w:t xml:space="preserve">rate reforms, and straighten out </w:t>
      </w:r>
      <w:r>
        <w:rPr>
          <w:rFonts w:eastAsia="宋体"/>
        </w:rPr>
        <w:t xml:space="preserve">the </w:t>
      </w:r>
      <w:r>
        <w:rPr>
          <w:rFonts w:hint="eastAsia" w:eastAsia="宋体"/>
        </w:rPr>
        <w:t>monetary</w:t>
      </w:r>
      <w:r>
        <w:rPr>
          <w:rFonts w:hint="eastAsia" w:eastAsia="宋体"/>
          <w:lang w:eastAsia="zh-CN"/>
        </w:rPr>
        <w:t xml:space="preserve"> </w:t>
      </w:r>
      <w:r>
        <w:rPr>
          <w:rFonts w:hint="eastAsia" w:eastAsia="宋体"/>
        </w:rPr>
        <w:t>policy transmission channels and mechanism</w:t>
      </w:r>
      <w:r>
        <w:rPr>
          <w:rFonts w:eastAsia="宋体"/>
        </w:rPr>
        <w:t>s</w:t>
      </w:r>
      <w:r>
        <w:rPr>
          <w:rFonts w:hint="eastAsia" w:eastAsia="宋体"/>
          <w:lang w:eastAsia="zh-CN"/>
        </w:rPr>
        <w:t xml:space="preserve">. </w:t>
      </w:r>
      <w:r>
        <w:rPr>
          <w:rFonts w:eastAsia="宋体"/>
          <w:lang w:eastAsia="zh-CN"/>
        </w:rPr>
        <w:t>M</w:t>
      </w:r>
      <w:r>
        <w:rPr>
          <w:rFonts w:hint="eastAsia" w:eastAsia="宋体"/>
          <w:lang w:eastAsia="zh-CN"/>
        </w:rPr>
        <w:t xml:space="preserve">eanwhile, the PBC will fulfill its mandate </w:t>
      </w:r>
      <w:r>
        <w:rPr>
          <w:rFonts w:eastAsia="宋体"/>
          <w:lang w:eastAsia="zh-CN"/>
        </w:rPr>
        <w:t>of</w:t>
      </w:r>
      <w:r>
        <w:rPr>
          <w:rFonts w:hint="eastAsia" w:eastAsia="宋体"/>
          <w:lang w:eastAsia="zh-CN"/>
        </w:rPr>
        <w:t xml:space="preserve"> the </w:t>
      </w:r>
      <w:r>
        <w:rPr>
          <w:rFonts w:eastAsia="宋体"/>
          <w:lang w:eastAsia="zh-CN"/>
        </w:rPr>
        <w:t>O</w:t>
      </w:r>
      <w:r>
        <w:rPr>
          <w:rFonts w:hint="eastAsia" w:eastAsia="宋体"/>
          <w:lang w:eastAsia="zh-CN"/>
        </w:rPr>
        <w:t xml:space="preserve">ffice of the Financial Stability and Development Committee of the State Council, </w:t>
      </w:r>
      <w:r>
        <w:rPr>
          <w:rFonts w:eastAsia="宋体"/>
          <w:lang w:eastAsia="zh-CN"/>
        </w:rPr>
        <w:t>strengthen</w:t>
      </w:r>
      <w:r>
        <w:rPr>
          <w:rFonts w:hint="eastAsia" w:eastAsia="宋体"/>
          <w:lang w:eastAsia="zh-CN"/>
        </w:rPr>
        <w:t xml:space="preserve"> financial regulatory coordination, assign higher priority to the prevention and mitigation of systemic risks, and make all-out efforts to </w:t>
      </w:r>
      <w:r>
        <w:rPr>
          <w:rFonts w:eastAsia="宋体"/>
          <w:lang w:eastAsia="zh-CN"/>
        </w:rPr>
        <w:t xml:space="preserve">eliminate </w:t>
      </w:r>
      <w:r>
        <w:rPr>
          <w:rFonts w:hint="eastAsia" w:eastAsia="宋体"/>
          <w:lang w:eastAsia="zh-CN"/>
        </w:rPr>
        <w:t xml:space="preserve"> risks </w:t>
      </w:r>
      <w:r>
        <w:rPr>
          <w:rFonts w:eastAsia="宋体"/>
          <w:lang w:eastAsia="zh-CN"/>
        </w:rPr>
        <w:t>in</w:t>
      </w:r>
      <w:r>
        <w:rPr>
          <w:rFonts w:hint="eastAsia" w:eastAsia="宋体"/>
          <w:lang w:eastAsia="zh-CN"/>
        </w:rPr>
        <w:t xml:space="preserve"> key areas so as to safeguard the bottom line of</w:t>
      </w:r>
      <w:r>
        <w:rPr>
          <w:rFonts w:eastAsia="宋体"/>
          <w:lang w:eastAsia="zh-CN"/>
        </w:rPr>
        <w:t xml:space="preserve"> preventing</w:t>
      </w:r>
      <w:r>
        <w:rPr>
          <w:rFonts w:hint="eastAsia" w:eastAsia="宋体"/>
          <w:lang w:eastAsia="zh-CN"/>
        </w:rPr>
        <w:t xml:space="preserve"> systemic financial risks. </w:t>
      </w:r>
    </w:p>
    <w:p>
      <w:pPr>
        <w:autoSpaceDE w:val="0"/>
        <w:autoSpaceDN w:val="0"/>
        <w:adjustRightInd w:val="0"/>
        <w:spacing w:before="624"/>
        <w:ind w:firstLine="2072" w:firstLineChars="645"/>
        <w:rPr>
          <w:rFonts w:eastAsia="黑体"/>
          <w:b/>
          <w:kern w:val="0"/>
          <w:sz w:val="32"/>
          <w:szCs w:val="32"/>
        </w:rPr>
      </w:pPr>
      <w:bookmarkStart w:id="0" w:name="_Toc484425011"/>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adjustRightInd w:val="0"/>
        <w:snapToGrid w:val="0"/>
        <w:spacing w:line="360" w:lineRule="auto"/>
        <w:ind w:firstLine="723" w:firstLineChars="200"/>
        <w:jc w:val="center"/>
        <w:rPr>
          <w:rFonts w:eastAsia="黑体"/>
          <w:b/>
          <w:i/>
          <w:color w:val="000000"/>
          <w:kern w:val="0"/>
          <w:sz w:val="36"/>
        </w:rPr>
      </w:pPr>
      <w:r>
        <w:rPr>
          <w:rFonts w:eastAsia="黑体"/>
          <w:b/>
          <w:i/>
          <w:color w:val="000000"/>
          <w:kern w:val="0"/>
          <w:sz w:val="36"/>
        </w:rPr>
        <w:t>Contents</w:t>
      </w:r>
    </w:p>
    <w:p>
      <w:pPr>
        <w:pStyle w:val="12"/>
      </w:pPr>
    </w:p>
    <w:p>
      <w:pPr>
        <w:pStyle w:val="12"/>
        <w:rPr>
          <w:rFonts w:asciiTheme="minorHAnsi" w:hAnsiTheme="minorHAnsi" w:eastAsiaTheme="minorEastAsia" w:cstheme="minorBidi"/>
          <w:b w:val="0"/>
          <w:szCs w:val="22"/>
        </w:rPr>
      </w:pPr>
      <w:r>
        <w:rPr>
          <w:sz w:val="40"/>
          <w:szCs w:val="32"/>
        </w:rPr>
        <w:fldChar w:fldCharType="begin"/>
      </w:r>
      <w:r>
        <w:rPr>
          <w:sz w:val="40"/>
          <w:szCs w:val="32"/>
        </w:rPr>
        <w:instrText xml:space="preserve"> </w:instrText>
      </w:r>
      <w:r>
        <w:rPr>
          <w:rFonts w:hint="eastAsia"/>
          <w:sz w:val="40"/>
          <w:szCs w:val="32"/>
        </w:rPr>
        <w:instrText xml:space="preserve">TOC \o "1-3" \h \z \u</w:instrText>
      </w:r>
      <w:r>
        <w:rPr>
          <w:sz w:val="40"/>
          <w:szCs w:val="32"/>
        </w:rPr>
        <w:instrText xml:space="preserve"> </w:instrText>
      </w:r>
      <w:r>
        <w:rPr>
          <w:sz w:val="40"/>
          <w:szCs w:val="32"/>
        </w:rPr>
        <w:fldChar w:fldCharType="separate"/>
      </w:r>
      <w:r>
        <w:fldChar w:fldCharType="begin"/>
      </w:r>
      <w:r>
        <w:instrText xml:space="preserve"> HYPERLINK \l "_Toc492904366" </w:instrText>
      </w:r>
      <w:r>
        <w:fldChar w:fldCharType="separate"/>
      </w:r>
      <w:r>
        <w:rPr>
          <w:rStyle w:val="17"/>
          <w:rFonts w:eastAsia="仿宋_GB2312"/>
        </w:rPr>
        <w:t>Part 1 Money and Credit Analysis</w:t>
      </w:r>
      <w:r>
        <w:tab/>
      </w:r>
      <w:r>
        <w:fldChar w:fldCharType="begin"/>
      </w:r>
      <w:r>
        <w:instrText xml:space="preserve"> PAGEREF _Toc492904366 \h </w:instrText>
      </w:r>
      <w:r>
        <w:fldChar w:fldCharType="separate"/>
      </w:r>
      <w:r>
        <w:t>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"_Toc492904367" </w:instrText>
      </w:r>
      <w:r>
        <w:fldChar w:fldCharType="separate"/>
      </w:r>
      <w:r>
        <w:rPr>
          <w:rStyle w:val="17"/>
        </w:rPr>
        <w:t>I. M</w:t>
      </w:r>
      <w:r>
        <w:rPr>
          <w:rStyle w:val="17"/>
          <w:rFonts w:eastAsia="黑体"/>
        </w:rPr>
        <w:t xml:space="preserve">onetary Aggregates </w:t>
      </w:r>
      <w:r>
        <w:rPr>
          <w:rStyle w:val="17"/>
        </w:rPr>
        <w:t>Grew Steadily</w:t>
      </w:r>
      <w:r>
        <w:tab/>
      </w:r>
      <w:r>
        <w:fldChar w:fldCharType="begin"/>
      </w:r>
      <w:r>
        <w:instrText xml:space="preserve"> PAGEREF _Toc492904367 \h </w:instrText>
      </w:r>
      <w:r>
        <w:fldChar w:fldCharType="separate"/>
      </w:r>
      <w:r>
        <w:t>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"_Toc492904368" </w:instrText>
      </w:r>
      <w:r>
        <w:fldChar w:fldCharType="separate"/>
      </w:r>
      <w:r>
        <w:rPr>
          <w:rStyle w:val="17"/>
          <w:rFonts w:eastAsia="黑体"/>
        </w:rPr>
        <w:t>II. Stable Growth of RMB Deposits in Financial Institutions</w:t>
      </w:r>
      <w:r>
        <w:tab/>
      </w:r>
      <w:r>
        <w:fldChar w:fldCharType="begin"/>
      </w:r>
      <w:r>
        <w:instrText xml:space="preserve"> PAGEREF _Toc492904368 \h </w:instrText>
      </w:r>
      <w:r>
        <w:fldChar w:fldCharType="separate"/>
      </w:r>
      <w:r>
        <w:t>10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"_Toc492904369" </w:instrText>
      </w:r>
      <w:r>
        <w:fldChar w:fldCharType="separate"/>
      </w:r>
      <w:r>
        <w:rPr>
          <w:rStyle w:val="17"/>
          <w:rFonts w:eastAsia="黑体"/>
        </w:rPr>
        <w:t>III. Rapid Growth in Lending by Financial Institutions</w:t>
      </w:r>
      <w:r>
        <w:tab/>
      </w:r>
      <w:r>
        <w:fldChar w:fldCharType="begin"/>
      </w:r>
      <w:r>
        <w:instrText xml:space="preserve"> PAGEREF _Toc492904369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"_Toc492904370" </w:instrText>
      </w:r>
      <w:r>
        <w:fldChar w:fldCharType="separate"/>
      </w:r>
      <w:r>
        <w:rPr>
          <w:rStyle w:val="17"/>
          <w:rFonts w:eastAsia="黑体" w:cs="Arial"/>
          <w:bCs/>
          <w:iCs/>
          <w:kern w:val="0"/>
          <w:lang w:eastAsia="zh-TW"/>
        </w:rPr>
        <w:t xml:space="preserve">IV. All-system Financing Aggregates </w:t>
      </w:r>
      <w:r>
        <w:rPr>
          <w:rStyle w:val="17"/>
          <w:rFonts w:cs="Arial"/>
          <w:bCs/>
          <w:iCs/>
          <w:kern w:val="0"/>
          <w:lang w:eastAsia="zh-TW"/>
        </w:rPr>
        <w:t>Grew at a Reasonable Pace</w:t>
      </w:r>
      <w:r>
        <w:tab/>
      </w:r>
      <w:r>
        <w:fldChar w:fldCharType="begin"/>
      </w:r>
      <w:r>
        <w:instrText xml:space="preserve"> PAGEREF _Toc492904370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"_Toc492904371" </w:instrText>
      </w:r>
      <w:r>
        <w:fldChar w:fldCharType="separate"/>
      </w:r>
      <w:r>
        <w:rPr>
          <w:rStyle w:val="17"/>
          <w:rFonts w:eastAsia="黑体" w:cs="Arial"/>
          <w:bCs/>
          <w:iCs/>
          <w:kern w:val="0"/>
          <w:lang w:eastAsia="zh-TW"/>
        </w:rPr>
        <w:t>V. Interest Rates of Deposits and Loans Increased Slightly</w:t>
      </w:r>
      <w:r>
        <w:tab/>
      </w:r>
      <w:r>
        <w:fldChar w:fldCharType="begin"/>
      </w:r>
      <w:r>
        <w:instrText xml:space="preserve"> PAGEREF _Toc492904371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"_Toc492904372" </w:instrText>
      </w:r>
      <w:r>
        <w:fldChar w:fldCharType="separate"/>
      </w:r>
      <w:r>
        <w:rPr>
          <w:rStyle w:val="17"/>
          <w:rFonts w:eastAsia="黑体" w:cs="Arial"/>
          <w:bCs/>
          <w:iCs/>
          <w:kern w:val="0"/>
          <w:lang w:eastAsia="zh-TW"/>
        </w:rPr>
        <w:t>VI. The RMB Exchange Rate was More Flexible in Terms of Two-way Fluctuations</w:t>
      </w:r>
      <w:r>
        <w:tab/>
      </w:r>
      <w:r>
        <w:fldChar w:fldCharType="begin"/>
      </w:r>
      <w:r>
        <w:instrText xml:space="preserve"> PAGEREF _Toc492904372 \h </w:instrText>
      </w:r>
      <w:r>
        <w:fldChar w:fldCharType="separate"/>
      </w:r>
      <w:r>
        <w:t>16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"_Toc492904373" </w:instrText>
      </w:r>
      <w:r>
        <w:fldChar w:fldCharType="separate"/>
      </w:r>
      <w:r>
        <w:rPr>
          <w:rStyle w:val="17"/>
          <w:rFonts w:eastAsia="黑体" w:cs="Arial"/>
          <w:bCs/>
          <w:iCs/>
          <w:kern w:val="0"/>
          <w:lang w:eastAsia="zh-TW"/>
        </w:rPr>
        <w:t>VII. Cross-border RMB Receipts and Payments Fell on a Year-on-Year Basis</w:t>
      </w:r>
      <w:r>
        <w:tab/>
      </w:r>
      <w:r>
        <w:fldChar w:fldCharType="begin"/>
      </w:r>
      <w:r>
        <w:instrText xml:space="preserve"> PAGEREF _Toc492904373 \h </w:instrText>
      </w:r>
      <w:r>
        <w:fldChar w:fldCharType="separate"/>
      </w:r>
      <w:r>
        <w:t>17</w:t>
      </w:r>
      <w:r>
        <w:fldChar w:fldCharType="end"/>
      </w:r>
      <w:r>
        <w:fldChar w:fldCharType="end"/>
      </w:r>
    </w:p>
    <w:p>
      <w:pPr>
        <w:pStyle w:val="12"/>
        <w:rPr>
          <w:rFonts w:asciiTheme="minorHAnsi" w:hAnsiTheme="minorHAnsi" w:eastAsiaTheme="minorEastAsia" w:cstheme="minorBidi"/>
          <w:b w:val="0"/>
          <w:szCs w:val="22"/>
        </w:rPr>
      </w:pPr>
      <w:r>
        <w:fldChar w:fldCharType="begin"/>
      </w:r>
      <w:r>
        <w:instrText xml:space="preserve"> HYPERLINK \l "_Toc492904374" </w:instrText>
      </w:r>
      <w:r>
        <w:fldChar w:fldCharType="separate"/>
      </w:r>
      <w:r>
        <w:rPr>
          <w:rStyle w:val="17"/>
          <w:rFonts w:eastAsia="仿宋_GB2312"/>
        </w:rPr>
        <w:t>Part 2 Monetary Policy Operations</w:t>
      </w:r>
      <w:r>
        <w:tab/>
      </w:r>
      <w:r>
        <w:fldChar w:fldCharType="begin"/>
      </w:r>
      <w:r>
        <w:instrText xml:space="preserve"> PAGEREF _Toc492904374 \h </w:instrText>
      </w:r>
      <w:r>
        <w:fldChar w:fldCharType="separate"/>
      </w:r>
      <w:r>
        <w:t>17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"_Toc492904375" </w:instrText>
      </w:r>
      <w:r>
        <w:fldChar w:fldCharType="separate"/>
      </w:r>
      <w:r>
        <w:rPr>
          <w:rStyle w:val="17"/>
        </w:rPr>
        <w:t>I. Open Market Operations were Conducted in a Flexible Manner</w:t>
      </w:r>
      <w:r>
        <w:tab/>
      </w:r>
      <w:r>
        <w:fldChar w:fldCharType="begin"/>
      </w:r>
      <w:r>
        <w:instrText xml:space="preserve"> PAGEREF _Toc492904375 \h </w:instrText>
      </w:r>
      <w:r>
        <w:fldChar w:fldCharType="separate"/>
      </w:r>
      <w:r>
        <w:t>18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"_Toc492904376" </w:instrText>
      </w:r>
      <w:r>
        <w:fldChar w:fldCharType="separate"/>
      </w:r>
      <w:r>
        <w:rPr>
          <w:rStyle w:val="17"/>
        </w:rPr>
        <w:t>II. Standing Lending Facility (SLF) and Medium-term Lending Facility (MLF) Operations</w:t>
      </w:r>
      <w:r>
        <w:tab/>
      </w:r>
      <w:r>
        <w:fldChar w:fldCharType="begin"/>
      </w:r>
      <w:r>
        <w:instrText xml:space="preserve"> PAGEREF _Toc492904376 \h </w:instrText>
      </w:r>
      <w:r>
        <w:fldChar w:fldCharType="separate"/>
      </w:r>
      <w:r>
        <w:t>19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"_Toc492904377" </w:instrText>
      </w:r>
      <w:r>
        <w:fldChar w:fldCharType="separate"/>
      </w:r>
      <w:r>
        <w:rPr>
          <w:rStyle w:val="17"/>
        </w:rPr>
        <w:t>III. Further Improvements in the Macro-Prudential Policy Framework</w:t>
      </w:r>
      <w:r>
        <w:tab/>
      </w:r>
      <w:r>
        <w:fldChar w:fldCharType="begin"/>
      </w:r>
      <w:r>
        <w:instrText xml:space="preserve"> PAGEREF _Toc492904377 \h </w:instrText>
      </w:r>
      <w:r>
        <w:fldChar w:fldCharType="separate"/>
      </w:r>
      <w:r>
        <w:t>20</w:t>
      </w:r>
      <w:r>
        <w:fldChar w:fldCharType="end"/>
      </w:r>
      <w:r>
        <w:fldChar w:fldCharType="end"/>
      </w:r>
    </w:p>
    <w:p>
      <w:pPr>
        <w:pStyle w:val="15"/>
        <w:rPr>
          <w:rFonts w:asciiTheme="minorHAnsi" w:hAnsiTheme="minorHAnsi" w:eastAsiaTheme="minorEastAsia" w:cstheme="minorBidi"/>
          <w:b/>
          <w:szCs w:val="22"/>
        </w:rPr>
      </w:pPr>
      <w:r>
        <w:fldChar w:fldCharType="begin"/>
      </w:r>
      <w:r>
        <w:instrText xml:space="preserve"> HYPERLINK \l "_Toc492904378" </w:instrText>
      </w:r>
      <w:r>
        <w:fldChar w:fldCharType="separate"/>
      </w:r>
      <w:r>
        <w:rPr>
          <w:rStyle w:val="17"/>
        </w:rPr>
        <w:t>IV. Underpinning Financial Institutions with Various Monetary Policy Tools to Provide Stronger Credit Support to Key Areas and Weak Sectors in the Economy</w:t>
      </w:r>
      <w:r>
        <w:tab/>
      </w:r>
      <w:r>
        <w:fldChar w:fldCharType="begin"/>
      </w:r>
      <w:r>
        <w:instrText xml:space="preserve"> PAGEREF _Toc492904378 \h </w:instrText>
      </w:r>
      <w:r>
        <w:fldChar w:fldCharType="separate"/>
      </w:r>
      <w:r>
        <w:t>21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"_Toc492904379" </w:instrText>
      </w:r>
      <w:r>
        <w:fldChar w:fldCharType="separate"/>
      </w:r>
      <w:r>
        <w:rPr>
          <w:rStyle w:val="17"/>
          <w:rFonts w:eastAsia="仿宋_GB2312"/>
          <w:bCs/>
        </w:rPr>
        <w:t>V. The Structural Guidance Role of Credit Policies</w:t>
      </w:r>
      <w:r>
        <w:tab/>
      </w:r>
      <w:r>
        <w:fldChar w:fldCharType="begin"/>
      </w:r>
      <w:r>
        <w:instrText xml:space="preserve"> PAGEREF _Toc492904379 \h </w:instrText>
      </w:r>
      <w:r>
        <w:fldChar w:fldCharType="separate"/>
      </w:r>
      <w:r>
        <w:t>21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"_Toc492904380" </w:instrText>
      </w:r>
      <w:r>
        <w:fldChar w:fldCharType="separate"/>
      </w:r>
      <w:r>
        <w:rPr>
          <w:rStyle w:val="17"/>
          <w:rFonts w:eastAsia="仿宋_GB2312"/>
          <w:bCs/>
        </w:rPr>
        <w:t>VI. The RMB Exchange-Rate Regime was Improved</w:t>
      </w:r>
      <w:r>
        <w:tab/>
      </w:r>
      <w:r>
        <w:fldChar w:fldCharType="begin"/>
      </w:r>
      <w:r>
        <w:instrText xml:space="preserve"> PAGEREF _Toc492904380 \h </w:instrText>
      </w:r>
      <w:r>
        <w:fldChar w:fldCharType="separate"/>
      </w:r>
      <w:r>
        <w:t>22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"_Toc492904381" </w:instrText>
      </w:r>
      <w:r>
        <w:fldChar w:fldCharType="separate"/>
      </w:r>
      <w:r>
        <w:rPr>
          <w:rStyle w:val="17"/>
        </w:rPr>
        <w:t>VII. Deepening the Reform of Financial Institutions</w:t>
      </w:r>
      <w:r>
        <w:tab/>
      </w:r>
      <w:r>
        <w:fldChar w:fldCharType="begin"/>
      </w:r>
      <w:r>
        <w:instrText xml:space="preserve"> PAGEREF _Toc492904381 \h </w:instrText>
      </w:r>
      <w:r>
        <w:fldChar w:fldCharType="separate"/>
      </w:r>
      <w:r>
        <w:t>26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"_Toc492904382" </w:instrText>
      </w:r>
      <w:r>
        <w:fldChar w:fldCharType="separate"/>
      </w:r>
      <w:r>
        <w:rPr>
          <w:rStyle w:val="17"/>
        </w:rPr>
        <w:t>VIII. Deepening the Reform of Foreign-Exchange Administration</w:t>
      </w:r>
      <w:r>
        <w:tab/>
      </w:r>
      <w:r>
        <w:fldChar w:fldCharType="begin"/>
      </w:r>
      <w:r>
        <w:instrText xml:space="preserve"> PAGEREF _Toc492904382 \h </w:instrText>
      </w:r>
      <w:r>
        <w:fldChar w:fldCharType="separate"/>
      </w:r>
      <w:r>
        <w:t>27</w:t>
      </w:r>
      <w:r>
        <w:fldChar w:fldCharType="end"/>
      </w:r>
      <w:r>
        <w:fldChar w:fldCharType="end"/>
      </w:r>
    </w:p>
    <w:p>
      <w:pPr>
        <w:pStyle w:val="12"/>
        <w:rPr>
          <w:rFonts w:asciiTheme="minorHAnsi" w:hAnsiTheme="minorHAnsi" w:eastAsiaTheme="minorEastAsia" w:cstheme="minorBidi"/>
          <w:b w:val="0"/>
          <w:szCs w:val="22"/>
        </w:rPr>
      </w:pPr>
      <w:r>
        <w:fldChar w:fldCharType="begin"/>
      </w:r>
      <w:r>
        <w:instrText xml:space="preserve"> HYPERLINK \l "_Toc492904383" </w:instrText>
      </w:r>
      <w:r>
        <w:fldChar w:fldCharType="separate"/>
      </w:r>
      <w:r>
        <w:rPr>
          <w:rStyle w:val="17"/>
          <w:rFonts w:eastAsia="仿宋_GB2312"/>
        </w:rPr>
        <w:t>Part 3 Financial Market Analysis</w:t>
      </w:r>
      <w:r>
        <w:tab/>
      </w:r>
      <w:r>
        <w:fldChar w:fldCharType="begin"/>
      </w:r>
      <w:r>
        <w:instrText xml:space="preserve"> PAGEREF _Toc492904383 \h </w:instrText>
      </w:r>
      <w:r>
        <w:fldChar w:fldCharType="separate"/>
      </w:r>
      <w:r>
        <w:t>28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"_Toc492904384" </w:instrText>
      </w:r>
      <w:r>
        <w:fldChar w:fldCharType="separate"/>
      </w:r>
      <w:r>
        <w:rPr>
          <w:rStyle w:val="17"/>
        </w:rPr>
        <w:t>I. Financial Market Analysis</w:t>
      </w:r>
      <w:r>
        <w:tab/>
      </w:r>
      <w:r>
        <w:fldChar w:fldCharType="begin"/>
      </w:r>
      <w:r>
        <w:instrText xml:space="preserve"> PAGEREF _Toc492904384 \h </w:instrText>
      </w:r>
      <w:r>
        <w:fldChar w:fldCharType="separate"/>
      </w:r>
      <w:r>
        <w:t>28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"_Toc492904385" </w:instrText>
      </w:r>
      <w:r>
        <w:fldChar w:fldCharType="separate"/>
      </w:r>
      <w:r>
        <w:rPr>
          <w:rStyle w:val="17"/>
        </w:rPr>
        <w:t>II. The Development of Institutional Arrangements in Financial Markets</w:t>
      </w:r>
      <w:r>
        <w:tab/>
      </w:r>
      <w:r>
        <w:fldChar w:fldCharType="begin"/>
      </w:r>
      <w:r>
        <w:instrText xml:space="preserve"> PAGEREF _Toc492904385 \h </w:instrText>
      </w:r>
      <w:r>
        <w:fldChar w:fldCharType="separate"/>
      </w:r>
      <w:r>
        <w:t>36</w:t>
      </w:r>
      <w:r>
        <w:fldChar w:fldCharType="end"/>
      </w:r>
      <w:r>
        <w:fldChar w:fldCharType="end"/>
      </w:r>
    </w:p>
    <w:p>
      <w:pPr>
        <w:pStyle w:val="12"/>
        <w:rPr>
          <w:rFonts w:asciiTheme="minorHAnsi" w:hAnsiTheme="minorHAnsi" w:eastAsiaTheme="minorEastAsia" w:cstheme="minorBidi"/>
          <w:b w:val="0"/>
          <w:szCs w:val="22"/>
        </w:rPr>
      </w:pPr>
      <w:r>
        <w:fldChar w:fldCharType="begin"/>
      </w:r>
      <w:r>
        <w:instrText xml:space="preserve"> HYPERLINK \l "_Toc492904386" </w:instrText>
      </w:r>
      <w:r>
        <w:fldChar w:fldCharType="separate"/>
      </w:r>
      <w:r>
        <w:rPr>
          <w:rStyle w:val="17"/>
          <w:rFonts w:eastAsia="仿宋_GB2312"/>
        </w:rPr>
        <w:t>Part 4 Macro-economic Overview</w:t>
      </w:r>
      <w:r>
        <w:tab/>
      </w:r>
      <w:r>
        <w:fldChar w:fldCharType="begin"/>
      </w:r>
      <w:r>
        <w:instrText xml:space="preserve"> PAGEREF _Toc492904386 \h </w:instrText>
      </w:r>
      <w:r>
        <w:fldChar w:fldCharType="separate"/>
      </w:r>
      <w:r>
        <w:t>38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"_Toc492904387" </w:instrText>
      </w:r>
      <w:r>
        <w:fldChar w:fldCharType="separate"/>
      </w:r>
      <w:r>
        <w:rPr>
          <w:rStyle w:val="17"/>
        </w:rPr>
        <w:t>I. Global Economic and Financial Developments</w:t>
      </w:r>
      <w:r>
        <w:tab/>
      </w:r>
      <w:r>
        <w:fldChar w:fldCharType="begin"/>
      </w:r>
      <w:r>
        <w:instrText xml:space="preserve"> PAGEREF _Toc492904387 \h </w:instrText>
      </w:r>
      <w:r>
        <w:fldChar w:fldCharType="separate"/>
      </w:r>
      <w:r>
        <w:t>38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"_Toc492904388" </w:instrText>
      </w:r>
      <w:r>
        <w:fldChar w:fldCharType="separate"/>
      </w:r>
      <w:r>
        <w:rPr>
          <w:rStyle w:val="17"/>
        </w:rPr>
        <w:t>II. Macro-economic Developments in China</w:t>
      </w:r>
      <w:r>
        <w:tab/>
      </w:r>
      <w:r>
        <w:fldChar w:fldCharType="begin"/>
      </w:r>
      <w:r>
        <w:instrText xml:space="preserve"> PAGEREF _Toc492904388 \h </w:instrText>
      </w:r>
      <w:r>
        <w:fldChar w:fldCharType="separate"/>
      </w:r>
      <w:r>
        <w:t>43</w:t>
      </w:r>
      <w:r>
        <w:fldChar w:fldCharType="end"/>
      </w:r>
      <w:r>
        <w:fldChar w:fldCharType="end"/>
      </w:r>
    </w:p>
    <w:p>
      <w:pPr>
        <w:pStyle w:val="12"/>
        <w:rPr>
          <w:rFonts w:asciiTheme="minorHAnsi" w:hAnsiTheme="minorHAnsi" w:eastAsiaTheme="minorEastAsia" w:cstheme="minorBidi"/>
          <w:b w:val="0"/>
          <w:szCs w:val="22"/>
        </w:rPr>
      </w:pPr>
      <w:r>
        <w:fldChar w:fldCharType="begin"/>
      </w:r>
      <w:r>
        <w:instrText xml:space="preserve"> HYPERLINK \l "_Toc492904389" </w:instrText>
      </w:r>
      <w:r>
        <w:fldChar w:fldCharType="separate"/>
      </w:r>
      <w:r>
        <w:rPr>
          <w:rStyle w:val="17"/>
          <w:rFonts w:eastAsia="黑体"/>
          <w:kern w:val="0"/>
        </w:rPr>
        <w:t>Part 5 Monetary Policy Stance to be Adopted during the Next Stage</w:t>
      </w:r>
      <w:r>
        <w:tab/>
      </w:r>
      <w:r>
        <w:fldChar w:fldCharType="begin"/>
      </w:r>
      <w:r>
        <w:instrText xml:space="preserve"> PAGEREF _Toc492904389 \h </w:instrText>
      </w:r>
      <w:r>
        <w:fldChar w:fldCharType="separate"/>
      </w:r>
      <w:r>
        <w:t>53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"_Toc492904390" </w:instrText>
      </w:r>
      <w:r>
        <w:fldChar w:fldCharType="separate"/>
      </w:r>
      <w:r>
        <w:rPr>
          <w:rStyle w:val="17"/>
          <w:rFonts w:eastAsia="楷体_GB2312"/>
        </w:rPr>
        <w:t>I.  Outlook for the Chinese Economy</w:t>
      </w:r>
      <w:r>
        <w:tab/>
      </w:r>
      <w:r>
        <w:fldChar w:fldCharType="begin"/>
      </w:r>
      <w:r>
        <w:instrText xml:space="preserve"> PAGEREF _Toc492904390 \h </w:instrText>
      </w:r>
      <w:r>
        <w:fldChar w:fldCharType="separate"/>
      </w:r>
      <w:r>
        <w:t>53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"_Toc492904391" </w:instrText>
      </w:r>
      <w:r>
        <w:fldChar w:fldCharType="separate"/>
      </w:r>
      <w:r>
        <w:rPr>
          <w:rStyle w:val="17"/>
          <w:rFonts w:eastAsia="仿宋_GB2312"/>
          <w:bCs/>
        </w:rPr>
        <w:t>II. Monetary Policy during the Next Stage</w:t>
      </w:r>
      <w:r>
        <w:tab/>
      </w:r>
      <w:r>
        <w:fldChar w:fldCharType="begin"/>
      </w:r>
      <w:r>
        <w:instrText xml:space="preserve"> PAGEREF _Toc492904391 \h </w:instrText>
      </w:r>
      <w:r>
        <w:fldChar w:fldCharType="separate"/>
      </w:r>
      <w:r>
        <w:t>55</w:t>
      </w:r>
      <w:r>
        <w:fldChar w:fldCharType="end"/>
      </w:r>
      <w:r>
        <w:fldChar w:fldCharType="end"/>
      </w:r>
    </w:p>
    <w:p>
      <w:pPr>
        <w:tabs>
          <w:tab w:val="right" w:leader="dot" w:pos="8296"/>
        </w:tabs>
        <w:spacing w:line="324" w:lineRule="auto"/>
        <w:ind w:left="-15" w:leftChars="-7" w:firstLine="20" w:firstLineChars="5"/>
        <w:jc w:val="left"/>
        <w:rPr>
          <w:rFonts w:eastAsia="楷体_GB2312"/>
          <w:b/>
          <w:i/>
          <w:color w:val="000000"/>
          <w:kern w:val="0"/>
          <w:sz w:val="36"/>
          <w:szCs w:val="36"/>
        </w:rPr>
      </w:pPr>
      <w:r>
        <w:rPr>
          <w:rFonts w:eastAsia="黑体"/>
          <w:kern w:val="0"/>
          <w:sz w:val="40"/>
          <w:szCs w:val="32"/>
        </w:rPr>
        <w:fldChar w:fldCharType="end"/>
      </w:r>
      <w:r>
        <w:rPr>
          <w:rFonts w:eastAsia="楷体_GB2312"/>
          <w:b/>
          <w:i/>
          <w:color w:val="000000"/>
          <w:kern w:val="0"/>
          <w:sz w:val="36"/>
          <w:szCs w:val="36"/>
        </w:rPr>
        <w:t xml:space="preserve"> Boxes</w:t>
      </w:r>
    </w:p>
    <w:p>
      <w:pPr>
        <w:pStyle w:val="14"/>
        <w:tabs>
          <w:tab w:val="right" w:leader="dot" w:pos="8296"/>
        </w:tabs>
        <w:ind w:left="1223" w:hanging="803"/>
        <w:rPr>
          <w:rFonts w:asciiTheme="minorHAnsi" w:hAnsiTheme="minorHAnsi" w:eastAsiaTheme="minorEastAsia" w:cstheme="minorBidi"/>
          <w:szCs w:val="22"/>
        </w:rPr>
      </w:pPr>
      <w:r>
        <w:rPr>
          <w:rFonts w:eastAsia="黑体"/>
          <w:b/>
          <w:kern w:val="0"/>
          <w:sz w:val="40"/>
          <w:szCs w:val="32"/>
        </w:rPr>
        <w:fldChar w:fldCharType="begin"/>
      </w:r>
      <w:r>
        <w:rPr>
          <w:rFonts w:eastAsia="黑体"/>
          <w:b/>
          <w:kern w:val="0"/>
          <w:sz w:val="40"/>
          <w:szCs w:val="32"/>
        </w:rPr>
        <w:instrText xml:space="preserve"> </w:instrText>
      </w:r>
      <w:r>
        <w:rPr>
          <w:rFonts w:hint="eastAsia" w:eastAsia="黑体"/>
          <w:b/>
          <w:kern w:val="0"/>
          <w:sz w:val="40"/>
          <w:szCs w:val="32"/>
        </w:rPr>
        <w:instrText xml:space="preserve">TOC \h \z \c "Box"</w:instrText>
      </w:r>
      <w:r>
        <w:rPr>
          <w:rFonts w:eastAsia="黑体"/>
          <w:b/>
          <w:kern w:val="0"/>
          <w:sz w:val="40"/>
          <w:szCs w:val="32"/>
        </w:rPr>
        <w:instrText xml:space="preserve"> </w:instrText>
      </w:r>
      <w:r>
        <w:rPr>
          <w:rFonts w:eastAsia="黑体"/>
          <w:b/>
          <w:kern w:val="0"/>
          <w:sz w:val="40"/>
          <w:szCs w:val="32"/>
        </w:rPr>
        <w:fldChar w:fldCharType="separate"/>
      </w:r>
      <w:r>
        <w:fldChar w:fldCharType="begin"/>
      </w:r>
      <w:r>
        <w:instrText xml:space="preserve"> HYPERLINK \l "_Toc492909020" </w:instrText>
      </w:r>
      <w:r>
        <w:fldChar w:fldCharType="separate"/>
      </w:r>
      <w:r>
        <w:rPr>
          <w:rStyle w:val="17"/>
        </w:rPr>
        <w:t xml:space="preserve">Box </w:t>
      </w:r>
      <w:r>
        <w:rPr>
          <w:rStyle w:val="17"/>
          <w:bCs/>
        </w:rPr>
        <w:t>1 Understanding Changes in the Excess Reserves Ratio</w:t>
      </w:r>
      <w:r>
        <w:tab/>
      </w:r>
      <w:r>
        <w:fldChar w:fldCharType="begin"/>
      </w:r>
      <w:r>
        <w:instrText xml:space="preserve"> PAGEREF _Toc492909020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"_Toc492909021" </w:instrText>
      </w:r>
      <w:r>
        <w:fldChar w:fldCharType="separate"/>
      </w:r>
      <w:r>
        <w:rPr>
          <w:rStyle w:val="17"/>
        </w:rPr>
        <w:t>Box 2 The "Counter-Cyclical Factor" Introduced into the RMB Exchange-Rate Regime by the Foreign Exchange Self-Disciplinary Mechanism</w:t>
      </w:r>
      <w:r>
        <w:tab/>
      </w:r>
      <w:r>
        <w:fldChar w:fldCharType="begin"/>
      </w:r>
      <w:r>
        <w:instrText xml:space="preserve"> PAGEREF _Toc492909021 \h </w:instrText>
      </w:r>
      <w:r>
        <w:fldChar w:fldCharType="separate"/>
      </w:r>
      <w:r>
        <w:t>23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"_Toc492909022" </w:instrText>
      </w:r>
      <w:r>
        <w:fldChar w:fldCharType="separate"/>
      </w:r>
      <w:r>
        <w:rPr>
          <w:rStyle w:val="17"/>
        </w:rPr>
        <w:t>Box 3 Promoting Sound Development of the Asset Management Business</w:t>
      </w:r>
      <w:r>
        <w:tab/>
      </w:r>
      <w:r>
        <w:fldChar w:fldCharType="begin"/>
      </w:r>
      <w:r>
        <w:instrText xml:space="preserve"> PAGEREF _Toc492909022 \h </w:instrText>
      </w:r>
      <w:r>
        <w:fldChar w:fldCharType="separate"/>
      </w:r>
      <w:r>
        <w:t>59</w:t>
      </w:r>
      <w:r>
        <w:fldChar w:fldCharType="end"/>
      </w:r>
      <w:r>
        <w:fldChar w:fldCharType="end"/>
      </w:r>
    </w:p>
    <w:p>
      <w:pPr>
        <w:tabs>
          <w:tab w:val="right" w:leader="dot" w:pos="8296"/>
        </w:tabs>
        <w:spacing w:line="324" w:lineRule="auto"/>
        <w:ind w:left="-15" w:leftChars="-7" w:firstLine="20" w:firstLineChars="5"/>
        <w:jc w:val="left"/>
        <w:rPr>
          <w:rFonts w:eastAsia="黑体"/>
          <w:b/>
          <w:kern w:val="0"/>
          <w:sz w:val="40"/>
          <w:szCs w:val="32"/>
        </w:rPr>
      </w:pPr>
      <w:r>
        <w:rPr>
          <w:rFonts w:eastAsia="黑体"/>
          <w:b/>
          <w:kern w:val="0"/>
          <w:sz w:val="40"/>
          <w:szCs w:val="32"/>
        </w:rPr>
        <w:fldChar w:fldCharType="end"/>
      </w:r>
    </w:p>
    <w:p>
      <w:pPr>
        <w:tabs>
          <w:tab w:val="right" w:leader="dot" w:pos="8296"/>
        </w:tabs>
        <w:spacing w:line="324" w:lineRule="auto"/>
        <w:ind w:left="-15" w:leftChars="-7" w:firstLine="18" w:firstLineChars="5"/>
        <w:jc w:val="left"/>
      </w:pPr>
      <w:r>
        <w:rPr>
          <w:rFonts w:eastAsia="楷体_GB2312"/>
          <w:b/>
          <w:i/>
          <w:color w:val="000000"/>
          <w:kern w:val="0"/>
          <w:sz w:val="36"/>
          <w:szCs w:val="36"/>
        </w:rPr>
        <w:t xml:space="preserve"> Tables</w:t>
      </w:r>
      <w:r>
        <w:rPr>
          <w:rFonts w:eastAsia="黑体"/>
          <w:kern w:val="0"/>
          <w:sz w:val="40"/>
          <w:szCs w:val="32"/>
        </w:rPr>
        <w:fldChar w:fldCharType="begin"/>
      </w:r>
      <w:r>
        <w:rPr>
          <w:rFonts w:eastAsia="黑体"/>
          <w:kern w:val="0"/>
          <w:sz w:val="40"/>
          <w:szCs w:val="32"/>
        </w:rPr>
        <w:instrText xml:space="preserve"> TOC \h \z \c "Table" </w:instrText>
      </w:r>
      <w:r>
        <w:rPr>
          <w:rFonts w:eastAsia="黑体"/>
          <w:kern w:val="0"/>
          <w:sz w:val="40"/>
          <w:szCs w:val="32"/>
        </w:rPr>
        <w:fldChar w:fldCharType="separate"/>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"_Toc492909023" </w:instrText>
      </w:r>
      <w:r>
        <w:fldChar w:fldCharType="separate"/>
      </w:r>
      <w:r>
        <w:rPr>
          <w:rStyle w:val="17"/>
          <w:rFonts w:eastAsia="仿宋_GB2312"/>
        </w:rPr>
        <w:t>Table 1 Structure of RMB Deposits during the First Half of 2017</w:t>
      </w:r>
      <w:r>
        <w:tab/>
      </w:r>
      <w:r>
        <w:fldChar w:fldCharType="begin"/>
      </w:r>
      <w:r>
        <w:instrText xml:space="preserve"> PAGEREF _Toc492909023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"_Toc492909024" </w:instrText>
      </w:r>
      <w:r>
        <w:fldChar w:fldCharType="separate"/>
      </w:r>
      <w:r>
        <w:rPr>
          <w:rStyle w:val="17"/>
        </w:rPr>
        <w:t>Table 2 The Structure of RMB Loans during the First Half of 2017</w:t>
      </w:r>
      <w:r>
        <w:tab/>
      </w:r>
      <w:r>
        <w:fldChar w:fldCharType="begin"/>
      </w:r>
      <w:r>
        <w:instrText xml:space="preserve"> PAGEREF _Toc492909024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"_Toc492909025" </w:instrText>
      </w:r>
      <w:r>
        <w:fldChar w:fldCharType="separate"/>
      </w:r>
      <w:r>
        <w:rPr>
          <w:rStyle w:val="17"/>
        </w:rPr>
        <w:t xml:space="preserve">Table 3 New RMB Loans by Financial Institutions during </w:t>
      </w:r>
      <w:r>
        <w:rPr>
          <w:rStyle w:val="17"/>
          <w:rFonts w:eastAsia="仿宋_GB2312"/>
        </w:rPr>
        <w:t>the First Half of</w:t>
      </w:r>
      <w:r>
        <w:rPr>
          <w:rStyle w:val="17"/>
        </w:rPr>
        <w:t xml:space="preserve"> 2017</w:t>
      </w:r>
      <w:r>
        <w:tab/>
      </w:r>
      <w:r>
        <w:fldChar w:fldCharType="begin"/>
      </w:r>
      <w:r>
        <w:instrText xml:space="preserve"> PAGEREF _Toc492909025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"_Toc492909026" </w:instrText>
      </w:r>
      <w:r>
        <w:fldChar w:fldCharType="separate"/>
      </w:r>
      <w:r>
        <w:rPr>
          <w:rStyle w:val="17"/>
        </w:rPr>
        <w:t>Table 4 Stocks of All-System Financing Aggregates at end-June, 2017</w:t>
      </w:r>
      <w:r>
        <w:tab/>
      </w:r>
      <w:r>
        <w:fldChar w:fldCharType="begin"/>
      </w:r>
      <w:r>
        <w:instrText xml:space="preserve"> PAGEREF _Toc492909026 \h </w:instrText>
      </w:r>
      <w:r>
        <w:fldChar w:fldCharType="separate"/>
      </w:r>
      <w:r>
        <w:t>13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"_Toc492909027" </w:instrText>
      </w:r>
      <w:r>
        <w:fldChar w:fldCharType="separate"/>
      </w:r>
      <w:r>
        <w:rPr>
          <w:rStyle w:val="17"/>
        </w:rPr>
        <w:t>Table 5 Increments in All-system Financing Aggregates during the First Half of 2017</w:t>
      </w:r>
      <w:r>
        <w:tab/>
      </w:r>
      <w:r>
        <w:fldChar w:fldCharType="begin"/>
      </w:r>
      <w:r>
        <w:instrText xml:space="preserve"> PAGEREF _Toc492909027 \h </w:instrText>
      </w:r>
      <w:r>
        <w:fldChar w:fldCharType="separate"/>
      </w:r>
      <w:r>
        <w:t>14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"_Toc492909028" </w:instrText>
      </w:r>
      <w:r>
        <w:fldChar w:fldCharType="separate"/>
      </w:r>
      <w:r>
        <w:rPr>
          <w:rStyle w:val="17"/>
        </w:rPr>
        <w:t>Table 6 Shares of Loans with Rates at, above, or below the Benchmark Rate, January through June 2017</w:t>
      </w:r>
      <w:r>
        <w:tab/>
      </w:r>
      <w:r>
        <w:fldChar w:fldCharType="begin"/>
      </w:r>
      <w:r>
        <w:instrText xml:space="preserve"> PAGEREF _Toc492909028 \h </w:instrText>
      </w:r>
      <w:r>
        <w:fldChar w:fldCharType="separate"/>
      </w:r>
      <w:r>
        <w:t>15</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"_Toc492909029" </w:instrText>
      </w:r>
      <w:r>
        <w:fldChar w:fldCharType="separate"/>
      </w:r>
      <w:r>
        <w:rPr>
          <w:rStyle w:val="17"/>
        </w:rPr>
        <w:t>Table 7 Average Interest Rates of Large-Value Deposits and Loans in US Dollars, January through June 2017</w:t>
      </w:r>
      <w:r>
        <w:tab/>
      </w:r>
      <w:r>
        <w:fldChar w:fldCharType="begin"/>
      </w:r>
      <w:r>
        <w:instrText xml:space="preserve"> PAGEREF _Toc492909029 \h </w:instrText>
      </w:r>
      <w:r>
        <w:fldChar w:fldCharType="separate"/>
      </w:r>
      <w:r>
        <w:t>16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"_Toc492909030" </w:instrText>
      </w:r>
      <w:r>
        <w:fldChar w:fldCharType="separate"/>
      </w:r>
      <w:r>
        <w:rPr>
          <w:rStyle w:val="17"/>
        </w:rPr>
        <w:t>Table 8 The Trading Volume of the RMB against Foreign Currencies in the Inter-bank Foreign Exchange Spot Market during the First Half of 2017</w:t>
      </w:r>
      <w:r>
        <w:tab/>
      </w:r>
      <w:r>
        <w:fldChar w:fldCharType="begin"/>
      </w:r>
      <w:r>
        <w:instrText xml:space="preserve"> PAGEREF _Toc492909030 \h </w:instrText>
      </w:r>
      <w:r>
        <w:fldChar w:fldCharType="separate"/>
      </w:r>
      <w:r>
        <w:t>23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"_Toc492909031" </w:instrText>
      </w:r>
      <w:r>
        <w:fldChar w:fldCharType="separate"/>
      </w:r>
      <w:r>
        <w:rPr>
          <w:rStyle w:val="17"/>
        </w:rPr>
        <w:t>Table 9</w:t>
      </w:r>
      <w:r>
        <w:rPr>
          <w:rStyle w:val="17"/>
          <w:bCs/>
        </w:rPr>
        <w:t xml:space="preserve"> Fund Flows among Financial Institutions in H1 of 2017</w:t>
      </w:r>
      <w:r>
        <w:tab/>
      </w:r>
      <w:r>
        <w:fldChar w:fldCharType="begin"/>
      </w:r>
      <w:r>
        <w:instrText xml:space="preserve"> PAGEREF _Toc492909031 \h </w:instrText>
      </w:r>
      <w:r>
        <w:fldChar w:fldCharType="separate"/>
      </w:r>
      <w:r>
        <w:t>29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"_Toc492909032" </w:instrText>
      </w:r>
      <w:r>
        <w:fldChar w:fldCharType="separate"/>
      </w:r>
      <w:r>
        <w:rPr>
          <w:rStyle w:val="17"/>
        </w:rPr>
        <w:t>Table 10</w:t>
      </w:r>
      <w:r>
        <w:rPr>
          <w:rStyle w:val="17"/>
          <w:bCs/>
        </w:rPr>
        <w:t xml:space="preserve"> Transactions of Interest-Rate Swaps in H1 2017</w:t>
      </w:r>
      <w:r>
        <w:tab/>
      </w:r>
      <w:r>
        <w:fldChar w:fldCharType="begin"/>
      </w:r>
      <w:r>
        <w:instrText xml:space="preserve"> PAGEREF _Toc492909032 \h </w:instrText>
      </w:r>
      <w:r>
        <w:fldChar w:fldCharType="separate"/>
      </w:r>
      <w:r>
        <w:t>30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"_Toc492909033" </w:instrText>
      </w:r>
      <w:r>
        <w:fldChar w:fldCharType="separate"/>
      </w:r>
      <w:r>
        <w:rPr>
          <w:rStyle w:val="17"/>
        </w:rPr>
        <w:t>Table 11</w:t>
      </w:r>
      <w:r>
        <w:rPr>
          <w:rStyle w:val="17"/>
          <w:bCs/>
        </w:rPr>
        <w:t xml:space="preserve"> Bond Issuances in All Categories in H1 2017</w:t>
      </w:r>
      <w:r>
        <w:tab/>
      </w:r>
      <w:r>
        <w:fldChar w:fldCharType="begin"/>
      </w:r>
      <w:r>
        <w:instrText xml:space="preserve"> PAGEREF _Toc492909033 \h </w:instrText>
      </w:r>
      <w:r>
        <w:fldChar w:fldCharType="separate"/>
      </w:r>
      <w:r>
        <w:t>32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"_Toc492909034" </w:instrText>
      </w:r>
      <w:r>
        <w:fldChar w:fldCharType="separate"/>
      </w:r>
      <w:r>
        <w:rPr>
          <w:rStyle w:val="17"/>
          <w:bCs/>
        </w:rPr>
        <w:t>Table 12 Use of Insurance Funds, End-June 2017</w:t>
      </w:r>
      <w:r>
        <w:tab/>
      </w:r>
      <w:r>
        <w:fldChar w:fldCharType="begin"/>
      </w:r>
      <w:r>
        <w:instrText xml:space="preserve"> PAGEREF _Toc492909034 \h </w:instrText>
      </w:r>
      <w:r>
        <w:fldChar w:fldCharType="separate"/>
      </w:r>
      <w:r>
        <w:t>34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"_Toc492909035" </w:instrText>
      </w:r>
      <w:r>
        <w:fldChar w:fldCharType="separate"/>
      </w:r>
      <w:r>
        <w:rPr>
          <w:rStyle w:val="17"/>
        </w:rPr>
        <w:t>Table 13</w:t>
      </w:r>
      <w:r>
        <w:rPr>
          <w:rStyle w:val="17"/>
          <w:bCs/>
        </w:rPr>
        <w:t xml:space="preserve"> Macro-economic and Financial Indicators in the Major Advanced Economies</w:t>
      </w:r>
      <w:r>
        <w:tab/>
      </w:r>
      <w:r>
        <w:fldChar w:fldCharType="begin"/>
      </w:r>
      <w:r>
        <w:instrText xml:space="preserve"> PAGEREF _Toc492909035 \h </w:instrText>
      </w:r>
      <w:r>
        <w:fldChar w:fldCharType="separate"/>
      </w:r>
      <w:r>
        <w:t>40</w:t>
      </w:r>
      <w:r>
        <w:fldChar w:fldCharType="end"/>
      </w:r>
      <w:r>
        <w:fldChar w:fldCharType="end"/>
      </w:r>
    </w:p>
    <w:p>
      <w:pPr>
        <w:tabs>
          <w:tab w:val="right" w:leader="dot" w:pos="8296"/>
        </w:tabs>
        <w:ind w:right="420"/>
        <w:jc w:val="left"/>
        <w:rPr>
          <w:rFonts w:eastAsia="黑体"/>
          <w:kern w:val="0"/>
          <w:sz w:val="40"/>
          <w:szCs w:val="32"/>
        </w:rPr>
      </w:pPr>
      <w:r>
        <w:rPr>
          <w:rFonts w:eastAsia="黑体"/>
          <w:kern w:val="0"/>
          <w:sz w:val="40"/>
          <w:szCs w:val="32"/>
        </w:rPr>
        <w:fldChar w:fldCharType="end"/>
      </w:r>
    </w:p>
    <w:p>
      <w:pPr>
        <w:tabs>
          <w:tab w:val="right" w:leader="dot" w:pos="8296"/>
        </w:tabs>
        <w:ind w:right="420"/>
        <w:jc w:val="left"/>
      </w:pPr>
      <w:r>
        <w:rPr>
          <w:kern w:val="0"/>
          <w:sz w:val="40"/>
          <w:szCs w:val="32"/>
        </w:rPr>
        <w:t xml:space="preserve"> </w:t>
      </w:r>
      <w:r>
        <w:rPr>
          <w:rFonts w:eastAsia="楷体_GB2312"/>
          <w:b/>
          <w:i/>
          <w:color w:val="000000"/>
          <w:kern w:val="0"/>
          <w:sz w:val="36"/>
          <w:szCs w:val="36"/>
        </w:rPr>
        <w:t>Figures</w:t>
      </w:r>
      <w:r>
        <w:rPr>
          <w:kern w:val="0"/>
          <w:sz w:val="40"/>
          <w:szCs w:val="32"/>
        </w:rPr>
        <w:fldChar w:fldCharType="begin"/>
      </w:r>
      <w:r>
        <w:rPr>
          <w:kern w:val="0"/>
          <w:sz w:val="40"/>
          <w:szCs w:val="32"/>
        </w:rPr>
        <w:instrText xml:space="preserve"> TOC \h \z \c "Figure" </w:instrText>
      </w:r>
      <w:r>
        <w:rPr>
          <w:kern w:val="0"/>
          <w:sz w:val="40"/>
          <w:szCs w:val="32"/>
        </w:rPr>
        <w:fldChar w:fldCharType="separate"/>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"_Toc492909036" </w:instrText>
      </w:r>
      <w:r>
        <w:fldChar w:fldCharType="separate"/>
      </w:r>
      <w:r>
        <w:rPr>
          <w:rStyle w:val="17"/>
          <w:rFonts w:eastAsia="仿宋_GB2312"/>
        </w:rPr>
        <w:t>Figure 1 Growth of Money Supply</w:t>
      </w:r>
      <w:r>
        <w:tab/>
      </w:r>
      <w:r>
        <w:fldChar w:fldCharType="begin"/>
      </w:r>
      <w:r>
        <w:instrText xml:space="preserve"> PAGEREF _Toc492909036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"_Toc492909037" </w:instrText>
      </w:r>
      <w:r>
        <w:fldChar w:fldCharType="separate"/>
      </w:r>
      <w:r>
        <w:rPr>
          <w:rStyle w:val="17"/>
        </w:rPr>
        <w:t>Figure 2 Excess Reserve Ratio in Chinese Financial Institutions</w:t>
      </w:r>
      <w:r>
        <w:tab/>
      </w:r>
      <w:r>
        <w:fldChar w:fldCharType="begin"/>
      </w:r>
      <w:r>
        <w:instrText xml:space="preserve"> PAGEREF _Toc492909037 \h </w:instrText>
      </w:r>
      <w:r>
        <w:fldChar w:fldCharType="separate"/>
      </w:r>
      <w:r>
        <w:t>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"_Toc492909038" </w:instrText>
      </w:r>
      <w:r>
        <w:fldChar w:fldCharType="separate"/>
      </w:r>
      <w:r>
        <w:rPr>
          <w:rStyle w:val="17"/>
        </w:rPr>
        <w:t>Figure 3 Monthly RMB Payments and Receipts under the Current Account</w:t>
      </w:r>
      <w:r>
        <w:tab/>
      </w:r>
      <w:r>
        <w:fldChar w:fldCharType="begin"/>
      </w:r>
      <w:r>
        <w:instrText xml:space="preserve"> PAGEREF _Toc492909038 \h </w:instrText>
      </w:r>
      <w:r>
        <w:fldChar w:fldCharType="separate"/>
      </w:r>
      <w:r>
        <w:t>17</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"_Toc492909039" </w:instrText>
      </w:r>
      <w:r>
        <w:fldChar w:fldCharType="separate"/>
      </w:r>
      <w:r>
        <w:rPr>
          <w:rStyle w:val="17"/>
          <w:bCs/>
        </w:rPr>
        <w:t>Figure 4 Yield Curve of Government Securities on the Inter-bank Market</w:t>
      </w:r>
      <w:r>
        <w:tab/>
      </w:r>
      <w:r>
        <w:fldChar w:fldCharType="begin"/>
      </w:r>
      <w:r>
        <w:instrText xml:space="preserve"> PAGEREF _Toc492909039 \h </w:instrText>
      </w:r>
      <w:r>
        <w:fldChar w:fldCharType="separate"/>
      </w:r>
      <w:r>
        <w:t>31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"_Toc492909040" </w:instrText>
      </w:r>
      <w:r>
        <w:fldChar w:fldCharType="separate"/>
      </w:r>
      <w:r>
        <w:rPr>
          <w:rStyle w:val="17"/>
        </w:rPr>
        <w:t>Figure 5</w:t>
      </w:r>
      <w:r>
        <w:rPr>
          <w:rStyle w:val="17"/>
          <w:rFonts w:eastAsia="仿宋_GB2312"/>
          <w:bCs/>
        </w:rPr>
        <w:t xml:space="preserve"> Import and Export Growth and the Trade Surplus</w:t>
      </w:r>
      <w:r>
        <w:tab/>
      </w:r>
      <w:r>
        <w:fldChar w:fldCharType="begin"/>
      </w:r>
      <w:r>
        <w:instrText xml:space="preserve"> PAGEREF _Toc492909040 \h </w:instrText>
      </w:r>
      <w:r>
        <w:fldChar w:fldCharType="separate"/>
      </w:r>
      <w:r>
        <w:t>45</w:t>
      </w:r>
      <w:r>
        <w:fldChar w:fldCharType="end"/>
      </w:r>
      <w:r>
        <w:fldChar w:fldCharType="end"/>
      </w:r>
    </w:p>
    <w:p>
      <w:pPr>
        <w:tabs>
          <w:tab w:val="right" w:leader="dot" w:pos="8296"/>
        </w:tabs>
        <w:ind w:right="420"/>
        <w:jc w:val="left"/>
        <w:rPr>
          <w:rFonts w:eastAsia="黑体"/>
          <w:kern w:val="0"/>
          <w:sz w:val="40"/>
          <w:szCs w:val="32"/>
        </w:rPr>
      </w:pPr>
      <w:r>
        <w:rPr>
          <w:kern w:val="0"/>
          <w:sz w:val="40"/>
          <w:szCs w:val="32"/>
        </w:rPr>
        <w:fldChar w:fldCharType="end"/>
      </w:r>
    </w:p>
    <w:p>
      <w:pPr>
        <w:autoSpaceDE w:val="0"/>
        <w:autoSpaceDN w:val="0"/>
        <w:adjustRightInd w:val="0"/>
        <w:spacing w:before="624"/>
        <w:rPr>
          <w:rFonts w:eastAsia="黑体"/>
          <w:kern w:val="0"/>
          <w:sz w:val="40"/>
          <w:szCs w:val="32"/>
        </w:rPr>
      </w:pPr>
    </w:p>
    <w:p>
      <w:pPr>
        <w:keepNext/>
        <w:keepLines/>
        <w:spacing w:beforeLines="100" w:afterLines="100"/>
        <w:jc w:val="center"/>
        <w:outlineLvl w:val="0"/>
        <w:rPr>
          <w:rFonts w:eastAsia="仿宋_GB2312"/>
          <w:b/>
          <w:sz w:val="36"/>
          <w:szCs w:val="36"/>
        </w:rPr>
      </w:pPr>
      <w:bookmarkStart w:id="1" w:name="_Toc492904366"/>
      <w:r>
        <w:rPr>
          <w:rFonts w:eastAsia="仿宋_GB2312"/>
          <w:b/>
          <w:sz w:val="36"/>
          <w:szCs w:val="36"/>
        </w:rPr>
        <w:t>Part 1 Money and Credit Analysis</w:t>
      </w:r>
      <w:bookmarkEnd w:id="0"/>
      <w:bookmarkEnd w:id="1"/>
    </w:p>
    <w:p>
      <w:pPr>
        <w:jc w:val="left"/>
        <w:rPr>
          <w:rFonts w:eastAsia="仿宋_GB2312"/>
          <w:sz w:val="24"/>
        </w:rPr>
      </w:pPr>
      <w:bookmarkStart w:id="2" w:name="_Toc411351808"/>
      <w:r>
        <w:rPr>
          <w:rFonts w:eastAsia="仿宋_GB2312"/>
          <w:sz w:val="24"/>
        </w:rPr>
        <w:t xml:space="preserve">During the first </w:t>
      </w:r>
      <w:r>
        <w:rPr>
          <w:rFonts w:hint="eastAsia" w:eastAsia="仿宋_GB2312"/>
          <w:sz w:val="24"/>
        </w:rPr>
        <w:t>half</w:t>
      </w:r>
      <w:r>
        <w:rPr>
          <w:rFonts w:eastAsia="仿宋_GB2312"/>
          <w:sz w:val="24"/>
        </w:rPr>
        <w:t xml:space="preserve"> of 2017, liquidity in the banking sector was generally stable, with money, credit, and all-system financing aggregates growing </w:t>
      </w:r>
      <w:r>
        <w:rPr>
          <w:rFonts w:hint="eastAsia" w:eastAsia="仿宋_GB2312"/>
          <w:sz w:val="24"/>
        </w:rPr>
        <w:t xml:space="preserve">at a </w:t>
      </w:r>
      <w:r>
        <w:rPr>
          <w:rFonts w:eastAsia="仿宋_GB2312"/>
          <w:sz w:val="24"/>
        </w:rPr>
        <w:t xml:space="preserve">steady </w:t>
      </w:r>
      <w:r>
        <w:rPr>
          <w:rFonts w:hint="eastAsia" w:eastAsia="仿宋_GB2312"/>
          <w:sz w:val="24"/>
        </w:rPr>
        <w:t>pace</w:t>
      </w:r>
      <w:r>
        <w:rPr>
          <w:rFonts w:eastAsia="仿宋_GB2312"/>
          <w:sz w:val="24"/>
        </w:rPr>
        <w:t xml:space="preserve"> and lending structures continuing to improve. Interest rates recovered</w:t>
      </w:r>
      <w:r>
        <w:rPr>
          <w:rFonts w:hint="eastAsia" w:eastAsia="仿宋_GB2312"/>
          <w:sz w:val="24"/>
        </w:rPr>
        <w:t>,</w:t>
      </w:r>
      <w:r>
        <w:rPr>
          <w:rFonts w:eastAsia="仿宋_GB2312"/>
          <w:sz w:val="24"/>
        </w:rPr>
        <w:t xml:space="preserve"> and RMB exchange rates </w:t>
      </w:r>
      <w:r>
        <w:rPr>
          <w:rFonts w:hint="eastAsia" w:eastAsia="仿宋_GB2312"/>
          <w:sz w:val="24"/>
        </w:rPr>
        <w:t>became more flexible</w:t>
      </w:r>
      <w:r>
        <w:rPr>
          <w:rFonts w:eastAsia="仿宋_GB2312"/>
          <w:sz w:val="24"/>
        </w:rPr>
        <w:t>.</w:t>
      </w:r>
    </w:p>
    <w:p>
      <w:pPr>
        <w:rPr>
          <w:lang w:eastAsia="zh-TW"/>
        </w:rPr>
      </w:pPr>
    </w:p>
    <w:p>
      <w:pPr>
        <w:rPr>
          <w:lang w:eastAsia="zh-TW"/>
        </w:rPr>
      </w:pPr>
    </w:p>
    <w:p>
      <w:pPr>
        <w:pStyle w:val="3"/>
        <w:keepNext w:val="0"/>
        <w:keepLines/>
        <w:widowControl w:val="0"/>
        <w:numPr>
          <w:ilvl w:val="0"/>
          <w:numId w:val="0"/>
        </w:numPr>
        <w:adjustRightInd w:val="0"/>
        <w:spacing w:before="20" w:after="20" w:line="400" w:lineRule="exact"/>
        <w:jc w:val="both"/>
        <w:rPr>
          <w:rFonts w:eastAsia="黑体"/>
          <w:bCs w:val="0"/>
        </w:rPr>
      </w:pPr>
      <w:bookmarkStart w:id="3" w:name="_Toc423005883"/>
      <w:bookmarkStart w:id="4" w:name="_Toc464655671"/>
      <w:bookmarkStart w:id="5" w:name="_Toc484425012"/>
      <w:bookmarkStart w:id="6" w:name="_Toc472330057"/>
      <w:bookmarkStart w:id="7" w:name="_Toc477878074"/>
      <w:bookmarkStart w:id="8" w:name="_Toc492904367"/>
      <w:r>
        <w:rPr>
          <w:rFonts w:eastAsia="宋体"/>
          <w:bCs w:val="0"/>
          <w:iCs w:val="0"/>
        </w:rPr>
        <w:t>I.</w:t>
      </w:r>
      <w:r>
        <w:rPr>
          <w:rFonts w:eastAsia="宋体"/>
          <w:bCs w:val="0"/>
        </w:rPr>
        <w:t xml:space="preserve">  M</w:t>
      </w:r>
      <w:r>
        <w:rPr>
          <w:rFonts w:eastAsia="黑体"/>
          <w:bCs w:val="0"/>
        </w:rPr>
        <w:t xml:space="preserve">onetary Aggregates </w:t>
      </w:r>
      <w:bookmarkEnd w:id="2"/>
      <w:bookmarkEnd w:id="3"/>
      <w:r>
        <w:rPr>
          <w:rFonts w:eastAsia="宋体"/>
          <w:bCs w:val="0"/>
        </w:rPr>
        <w:t xml:space="preserve">Grew </w:t>
      </w:r>
      <w:bookmarkEnd w:id="4"/>
      <w:r>
        <w:rPr>
          <w:rFonts w:eastAsia="宋体"/>
          <w:bCs w:val="0"/>
        </w:rPr>
        <w:t>Steadily</w:t>
      </w:r>
      <w:bookmarkEnd w:id="5"/>
      <w:bookmarkEnd w:id="6"/>
      <w:bookmarkEnd w:id="7"/>
      <w:bookmarkEnd w:id="8"/>
    </w:p>
    <w:p>
      <w:pPr>
        <w:rPr>
          <w:rFonts w:eastAsia="仿宋_GB2312"/>
          <w:sz w:val="24"/>
        </w:rPr>
      </w:pPr>
    </w:p>
    <w:p>
      <w:pPr>
        <w:rPr>
          <w:rFonts w:eastAsia="仿宋_GB2312"/>
          <w:sz w:val="24"/>
        </w:rPr>
      </w:pPr>
      <w:r>
        <w:rPr>
          <w:rFonts w:eastAsia="仿宋_GB2312"/>
          <w:sz w:val="24"/>
        </w:rPr>
        <w:t>At end</w:t>
      </w:r>
      <w:r>
        <w:rPr>
          <w:rFonts w:hint="eastAsia" w:eastAsia="仿宋_GB2312"/>
          <w:sz w:val="24"/>
        </w:rPr>
        <w:t>-June</w:t>
      </w:r>
      <w:r>
        <w:rPr>
          <w:rFonts w:eastAsia="仿宋_GB2312"/>
          <w:sz w:val="24"/>
        </w:rPr>
        <w:t>, outstanding M2 stood at RMB 16</w:t>
      </w:r>
      <w:r>
        <w:rPr>
          <w:rFonts w:hint="eastAsia" w:eastAsia="仿宋_GB2312"/>
          <w:sz w:val="24"/>
        </w:rPr>
        <w:t>3.1</w:t>
      </w:r>
      <w:r>
        <w:rPr>
          <w:rFonts w:eastAsia="仿宋_GB2312"/>
          <w:sz w:val="24"/>
        </w:rPr>
        <w:t xml:space="preserve"> trillion, up </w:t>
      </w:r>
      <w:r>
        <w:rPr>
          <w:rFonts w:hint="eastAsia" w:eastAsia="仿宋_GB2312"/>
          <w:sz w:val="24"/>
        </w:rPr>
        <w:t>9.4</w:t>
      </w:r>
      <w:r>
        <w:rPr>
          <w:rFonts w:eastAsia="仿宋_GB2312"/>
          <w:sz w:val="24"/>
        </w:rPr>
        <w:t xml:space="preserve"> percent year on year</w:t>
      </w:r>
      <w:r>
        <w:rPr>
          <w:rFonts w:hint="eastAsia" w:eastAsia="仿宋_GB2312"/>
          <w:sz w:val="24"/>
        </w:rPr>
        <w:t>,</w:t>
      </w:r>
      <w:r>
        <w:rPr>
          <w:rFonts w:eastAsia="仿宋_GB2312"/>
          <w:sz w:val="24"/>
        </w:rPr>
        <w:t xml:space="preserve"> representing a deceleration of </w:t>
      </w:r>
      <w:r>
        <w:rPr>
          <w:rFonts w:hint="eastAsia" w:eastAsia="仿宋_GB2312"/>
          <w:sz w:val="24"/>
        </w:rPr>
        <w:t>1.2</w:t>
      </w:r>
      <w:r>
        <w:rPr>
          <w:rFonts w:eastAsia="仿宋_GB2312"/>
          <w:sz w:val="24"/>
        </w:rPr>
        <w:t xml:space="preserve"> percentage points from end-</w:t>
      </w:r>
      <w:r>
        <w:rPr>
          <w:rFonts w:hint="eastAsia" w:eastAsia="仿宋_GB2312"/>
          <w:sz w:val="24"/>
        </w:rPr>
        <w:t>March</w:t>
      </w:r>
      <w:r>
        <w:rPr>
          <w:rFonts w:eastAsia="仿宋_GB2312"/>
          <w:sz w:val="24"/>
        </w:rPr>
        <w:t xml:space="preserve">. Outstanding M1 stood at RMB </w:t>
      </w:r>
      <w:r>
        <w:rPr>
          <w:rFonts w:hint="eastAsia" w:eastAsia="仿宋_GB2312"/>
          <w:sz w:val="24"/>
        </w:rPr>
        <w:t>51.0</w:t>
      </w:r>
      <w:r>
        <w:rPr>
          <w:rFonts w:eastAsia="仿宋_GB2312"/>
          <w:sz w:val="24"/>
        </w:rPr>
        <w:t xml:space="preserve"> trillion, up 1</w:t>
      </w:r>
      <w:r>
        <w:rPr>
          <w:rFonts w:hint="eastAsia" w:eastAsia="仿宋_GB2312"/>
          <w:sz w:val="24"/>
        </w:rPr>
        <w:t>5</w:t>
      </w:r>
      <w:r>
        <w:rPr>
          <w:rFonts w:eastAsia="仿宋_GB2312"/>
          <w:sz w:val="24"/>
        </w:rPr>
        <w:t>.</w:t>
      </w:r>
      <w:r>
        <w:rPr>
          <w:rFonts w:hint="eastAsia" w:eastAsia="仿宋_GB2312"/>
          <w:sz w:val="24"/>
        </w:rPr>
        <w:t>0</w:t>
      </w:r>
      <w:r>
        <w:rPr>
          <w:rFonts w:eastAsia="仿宋_GB2312"/>
          <w:sz w:val="24"/>
        </w:rPr>
        <w:t xml:space="preserve"> percent year on year</w:t>
      </w:r>
      <w:r>
        <w:rPr>
          <w:rFonts w:hint="eastAsia" w:eastAsia="仿宋_GB2312"/>
          <w:sz w:val="24"/>
        </w:rPr>
        <w:t>,</w:t>
      </w:r>
      <w:r>
        <w:rPr>
          <w:rFonts w:eastAsia="仿宋_GB2312"/>
          <w:sz w:val="24"/>
        </w:rPr>
        <w:t xml:space="preserve"> a deceleration of </w:t>
      </w:r>
      <w:r>
        <w:rPr>
          <w:rFonts w:hint="eastAsia" w:eastAsia="仿宋_GB2312"/>
          <w:sz w:val="24"/>
        </w:rPr>
        <w:t>3</w:t>
      </w:r>
      <w:r>
        <w:rPr>
          <w:rFonts w:eastAsia="仿宋_GB2312"/>
          <w:sz w:val="24"/>
        </w:rPr>
        <w:t>.</w:t>
      </w:r>
      <w:r>
        <w:rPr>
          <w:rFonts w:hint="eastAsia" w:eastAsia="仿宋_GB2312"/>
          <w:sz w:val="24"/>
        </w:rPr>
        <w:t>8</w:t>
      </w:r>
      <w:r>
        <w:rPr>
          <w:rFonts w:eastAsia="仿宋_GB2312"/>
          <w:sz w:val="24"/>
        </w:rPr>
        <w:t xml:space="preserve"> percentage points from end-</w:t>
      </w:r>
      <w:r>
        <w:rPr>
          <w:rFonts w:hint="eastAsia" w:eastAsia="仿宋_GB2312"/>
          <w:sz w:val="24"/>
        </w:rPr>
        <w:t>March</w:t>
      </w:r>
      <w:r>
        <w:rPr>
          <w:rFonts w:eastAsia="仿宋_GB2312"/>
          <w:sz w:val="24"/>
        </w:rPr>
        <w:t xml:space="preserve">. Outstanding M0 </w:t>
      </w:r>
      <w:r>
        <w:rPr>
          <w:rFonts w:hint="eastAsia" w:eastAsia="仿宋_GB2312"/>
          <w:sz w:val="24"/>
        </w:rPr>
        <w:t>was</w:t>
      </w:r>
      <w:r>
        <w:rPr>
          <w:rFonts w:eastAsia="仿宋_GB2312"/>
          <w:sz w:val="24"/>
        </w:rPr>
        <w:t xml:space="preserve"> RMB 6.</w:t>
      </w:r>
      <w:r>
        <w:rPr>
          <w:rFonts w:hint="eastAsia" w:eastAsia="仿宋_GB2312"/>
          <w:sz w:val="24"/>
        </w:rPr>
        <w:t>7</w:t>
      </w:r>
      <w:r>
        <w:rPr>
          <w:rFonts w:eastAsia="仿宋_GB2312"/>
          <w:sz w:val="24"/>
        </w:rPr>
        <w:t xml:space="preserve"> trillion, </w:t>
      </w:r>
      <w:r>
        <w:rPr>
          <w:rFonts w:hint="eastAsia" w:eastAsia="仿宋_GB2312"/>
          <w:sz w:val="24"/>
        </w:rPr>
        <w:t xml:space="preserve">which represented a year-on-year increase of </w:t>
      </w:r>
      <w:r>
        <w:rPr>
          <w:rFonts w:eastAsia="仿宋_GB2312"/>
          <w:sz w:val="24"/>
        </w:rPr>
        <w:t>6.</w:t>
      </w:r>
      <w:r>
        <w:rPr>
          <w:rFonts w:hint="eastAsia" w:eastAsia="仿宋_GB2312"/>
          <w:sz w:val="24"/>
        </w:rPr>
        <w:t>6</w:t>
      </w:r>
      <w:r>
        <w:rPr>
          <w:rFonts w:eastAsia="仿宋_GB2312"/>
          <w:sz w:val="24"/>
        </w:rPr>
        <w:t xml:space="preserve"> percent. On a net basis, the PBC </w:t>
      </w:r>
      <w:r>
        <w:rPr>
          <w:rFonts w:hint="eastAsia" w:eastAsia="仿宋_GB2312"/>
          <w:sz w:val="24"/>
        </w:rPr>
        <w:t>withdrew</w:t>
      </w:r>
      <w:r>
        <w:rPr>
          <w:rFonts w:eastAsia="仿宋_GB2312"/>
          <w:sz w:val="24"/>
        </w:rPr>
        <w:t xml:space="preserve"> RMB </w:t>
      </w:r>
      <w:r>
        <w:rPr>
          <w:rFonts w:hint="eastAsia" w:eastAsia="仿宋_GB2312"/>
          <w:sz w:val="24"/>
        </w:rPr>
        <w:t>132.6</w:t>
      </w:r>
      <w:r>
        <w:rPr>
          <w:rFonts w:eastAsia="仿宋_GB2312"/>
          <w:sz w:val="24"/>
        </w:rPr>
        <w:t xml:space="preserve"> billion during the first </w:t>
      </w:r>
      <w:r>
        <w:rPr>
          <w:rFonts w:hint="eastAsia" w:eastAsia="仿宋_GB2312"/>
          <w:sz w:val="24"/>
        </w:rPr>
        <w:t xml:space="preserve">two </w:t>
      </w:r>
      <w:r>
        <w:rPr>
          <w:rFonts w:eastAsia="仿宋_GB2312"/>
          <w:sz w:val="24"/>
        </w:rPr>
        <w:t>quarter</w:t>
      </w:r>
      <w:r>
        <w:rPr>
          <w:rFonts w:hint="eastAsia" w:eastAsia="仿宋_GB2312"/>
          <w:sz w:val="24"/>
        </w:rPr>
        <w:t>s</w:t>
      </w:r>
      <w:r>
        <w:rPr>
          <w:rFonts w:eastAsia="仿宋_GB2312"/>
          <w:sz w:val="24"/>
        </w:rPr>
        <w:t xml:space="preserve"> of the year, a</w:t>
      </w:r>
      <w:r>
        <w:rPr>
          <w:rFonts w:hint="eastAsia" w:eastAsia="仿宋_GB2312"/>
          <w:sz w:val="24"/>
        </w:rPr>
        <w:t>n</w:t>
      </w:r>
      <w:r>
        <w:rPr>
          <w:rFonts w:eastAsia="仿宋_GB2312"/>
          <w:sz w:val="24"/>
        </w:rPr>
        <w:t xml:space="preserve"> </w:t>
      </w:r>
      <w:r>
        <w:rPr>
          <w:rFonts w:hint="eastAsia" w:eastAsia="仿宋_GB2312"/>
          <w:sz w:val="24"/>
        </w:rPr>
        <w:t>increase</w:t>
      </w:r>
      <w:r>
        <w:rPr>
          <w:rFonts w:eastAsia="仿宋_GB2312"/>
          <w:sz w:val="24"/>
        </w:rPr>
        <w:t xml:space="preserve"> of RMB </w:t>
      </w:r>
      <w:r>
        <w:rPr>
          <w:rFonts w:hint="eastAsia" w:eastAsia="仿宋_GB2312"/>
          <w:sz w:val="24"/>
        </w:rPr>
        <w:t>92.8</w:t>
      </w:r>
      <w:r>
        <w:rPr>
          <w:rFonts w:eastAsia="仿宋_GB2312"/>
          <w:sz w:val="24"/>
        </w:rPr>
        <w:t xml:space="preserve"> billion </w:t>
      </w:r>
      <w:r>
        <w:rPr>
          <w:rFonts w:hint="eastAsia" w:eastAsia="仿宋_GB2312"/>
          <w:sz w:val="24"/>
        </w:rPr>
        <w:t xml:space="preserve">from the same period of </w:t>
      </w:r>
      <w:r>
        <w:rPr>
          <w:rFonts w:eastAsia="仿宋_GB2312"/>
          <w:sz w:val="24"/>
        </w:rPr>
        <w:t xml:space="preserve">the </w:t>
      </w:r>
      <w:r>
        <w:rPr>
          <w:rFonts w:hint="eastAsia" w:eastAsia="仿宋_GB2312"/>
          <w:sz w:val="24"/>
        </w:rPr>
        <w:t xml:space="preserve">last </w:t>
      </w:r>
      <w:r>
        <w:rPr>
          <w:rFonts w:eastAsia="仿宋_GB2312"/>
          <w:sz w:val="24"/>
        </w:rPr>
        <w:t>year.</w:t>
      </w:r>
      <w:r>
        <w:rPr>
          <w:rFonts w:hint="eastAsia" w:eastAsia="仿宋_GB2312"/>
          <w:sz w:val="24"/>
        </w:rPr>
        <w:t xml:space="preserve"> </w:t>
      </w:r>
      <w:r>
        <w:rPr>
          <w:rFonts w:eastAsia="仿宋_GB2312"/>
          <w:sz w:val="24"/>
        </w:rPr>
        <w:t xml:space="preserve">The M1-M2 margin posted </w:t>
      </w:r>
      <w:r>
        <w:rPr>
          <w:rFonts w:hint="eastAsia" w:eastAsia="仿宋_GB2312"/>
          <w:sz w:val="24"/>
        </w:rPr>
        <w:t>5.6</w:t>
      </w:r>
      <w:r>
        <w:rPr>
          <w:rFonts w:eastAsia="仿宋_GB2312"/>
          <w:sz w:val="24"/>
        </w:rPr>
        <w:t xml:space="preserve"> percentage points, continuing its narrowing trend since last August.</w:t>
      </w:r>
    </w:p>
    <w:p>
      <w:pPr>
        <w:rPr>
          <w:rFonts w:eastAsia="仿宋_GB2312"/>
          <w:sz w:val="24"/>
        </w:rPr>
      </w:pPr>
    </w:p>
    <w:p>
      <w:pPr>
        <w:rPr>
          <w:rFonts w:eastAsia="仿宋_GB2312"/>
          <w:sz w:val="24"/>
        </w:rPr>
      </w:pPr>
      <w:r>
        <w:rPr>
          <w:rFonts w:eastAsia="仿宋_GB2312"/>
          <w:sz w:val="24"/>
        </w:rPr>
        <w:t>It is important to comprehensively and objectively understand the recent slowdown in M2 growth. First, because the strong M2 expansion that formerly outpaced nominal GDP growth was closely related to the monetization in housing and other sectors, liquidity demand weakened after the share of commercial residential housing reached a very high level. Second,</w:t>
      </w:r>
      <w:r>
        <w:rPr>
          <w:rFonts w:hint="eastAsia" w:eastAsia="仿宋_GB2312"/>
          <w:sz w:val="24"/>
        </w:rPr>
        <w:t xml:space="preserve"> the</w:t>
      </w:r>
      <w:r>
        <w:rPr>
          <w:rFonts w:eastAsia="仿宋_GB2312"/>
          <w:sz w:val="24"/>
        </w:rPr>
        <w:t xml:space="preserve"> strong M2 growth in recent years had also been supported by the financial deepening, as reflected in the rapid development of inter-bank financial activities and wealth management businesses. Progress in financial deepening does not follow a linear path; rather it is subject to ups and downs as a result of regulatory efforts to address associated risks. A moderating M2 growth reflects the impact of measures taken to strengthen financial regulation, shorten financing chains, and reduce layers in the financing structure. A slower M2 growth is expected to become the new normal as the deleveraging proceeds and the financial sector places a greater focus on serving the real economy. In the meantime, as money supply is now influenced by more complex dynamics due to the deepening of the financial market and financial innovation, it has become increasingly difficult to measure and control M2, which is less relevant to economic development. It is thus not necessary to place too much focus on M2 changes.</w:t>
      </w:r>
    </w:p>
    <w:p>
      <w:pPr>
        <w:rPr>
          <w:rFonts w:eastAsia="仿宋_GB2312"/>
          <w:sz w:val="24"/>
        </w:rPr>
      </w:pPr>
    </w:p>
    <w:p>
      <w:pPr>
        <w:rPr>
          <w:rFonts w:eastAsia="仿宋_GB2312"/>
          <w:sz w:val="24"/>
        </w:rPr>
      </w:pPr>
      <w:r>
        <w:rPr>
          <w:rFonts w:hint="eastAsia" w:eastAsia="仿宋_GB2312"/>
          <w:sz w:val="24"/>
        </w:rPr>
        <w:t>B</w:t>
      </w:r>
      <w:r>
        <w:rPr>
          <w:rFonts w:eastAsia="仿宋_GB2312"/>
          <w:sz w:val="24"/>
        </w:rPr>
        <w:t xml:space="preserve">ase money </w:t>
      </w:r>
      <w:r>
        <w:rPr>
          <w:rFonts w:hint="eastAsia" w:eastAsia="仿宋_GB2312"/>
          <w:sz w:val="24"/>
        </w:rPr>
        <w:t>totaled</w:t>
      </w:r>
      <w:r>
        <w:rPr>
          <w:rFonts w:eastAsia="仿宋_GB2312"/>
          <w:sz w:val="24"/>
        </w:rPr>
        <w:t xml:space="preserve"> RMB 30.</w:t>
      </w:r>
      <w:r>
        <w:rPr>
          <w:rFonts w:hint="eastAsia" w:eastAsia="仿宋_GB2312"/>
          <w:sz w:val="24"/>
        </w:rPr>
        <w:t>4</w:t>
      </w:r>
      <w:r>
        <w:rPr>
          <w:rFonts w:eastAsia="仿宋_GB2312"/>
          <w:sz w:val="24"/>
        </w:rPr>
        <w:t xml:space="preserve"> trillion</w:t>
      </w:r>
      <w:r>
        <w:rPr>
          <w:rFonts w:hint="eastAsia" w:eastAsia="仿宋_GB2312"/>
          <w:sz w:val="24"/>
        </w:rPr>
        <w:t xml:space="preserve"> at</w:t>
      </w:r>
      <w:r>
        <w:rPr>
          <w:rFonts w:eastAsia="仿宋_GB2312"/>
          <w:sz w:val="24"/>
        </w:rPr>
        <w:t xml:space="preserve"> end-</w:t>
      </w:r>
      <w:r>
        <w:rPr>
          <w:rFonts w:hint="eastAsia" w:eastAsia="仿宋_GB2312"/>
          <w:sz w:val="24"/>
        </w:rPr>
        <w:t>June</w:t>
      </w:r>
      <w:r>
        <w:rPr>
          <w:rFonts w:eastAsia="仿宋_GB2312"/>
          <w:sz w:val="24"/>
        </w:rPr>
        <w:t xml:space="preserve">, </w:t>
      </w:r>
      <w:r>
        <w:rPr>
          <w:rFonts w:hint="eastAsia" w:eastAsia="仿宋_GB2312"/>
          <w:sz w:val="24"/>
        </w:rPr>
        <w:t>which</w:t>
      </w:r>
      <w:r>
        <w:rPr>
          <w:rFonts w:eastAsia="仿宋_GB2312"/>
          <w:sz w:val="24"/>
        </w:rPr>
        <w:t xml:space="preserve"> represented a decrease of RMB </w:t>
      </w:r>
      <w:r>
        <w:rPr>
          <w:rFonts w:hint="eastAsia" w:eastAsia="仿宋_GB2312"/>
          <w:sz w:val="24"/>
        </w:rPr>
        <w:t>304.8</w:t>
      </w:r>
      <w:r>
        <w:rPr>
          <w:rFonts w:eastAsia="仿宋_GB2312"/>
          <w:sz w:val="24"/>
        </w:rPr>
        <w:t xml:space="preserve"> billion from the beginning of the year. The money multiplier </w:t>
      </w:r>
      <w:r>
        <w:rPr>
          <w:rFonts w:hint="eastAsia" w:eastAsia="仿宋_GB2312"/>
          <w:sz w:val="24"/>
        </w:rPr>
        <w:t>was</w:t>
      </w:r>
      <w:r>
        <w:rPr>
          <w:rFonts w:eastAsia="仿宋_GB2312"/>
          <w:sz w:val="24"/>
        </w:rPr>
        <w:t xml:space="preserve"> 5.</w:t>
      </w:r>
      <w:r>
        <w:rPr>
          <w:rFonts w:hint="eastAsia" w:eastAsia="仿宋_GB2312"/>
          <w:sz w:val="24"/>
        </w:rPr>
        <w:t>37</w:t>
      </w:r>
      <w:r>
        <w:rPr>
          <w:rFonts w:eastAsia="仿宋_GB2312"/>
          <w:sz w:val="24"/>
        </w:rPr>
        <w:t xml:space="preserve">, </w:t>
      </w:r>
      <w:r>
        <w:rPr>
          <w:rFonts w:hint="eastAsia" w:eastAsia="仿宋_GB2312"/>
          <w:sz w:val="24"/>
        </w:rPr>
        <w:t xml:space="preserve">which was </w:t>
      </w:r>
      <w:r>
        <w:rPr>
          <w:rFonts w:eastAsia="仿宋_GB2312"/>
          <w:sz w:val="24"/>
        </w:rPr>
        <w:t>0.</w:t>
      </w:r>
      <w:r>
        <w:rPr>
          <w:rFonts w:hint="eastAsia" w:eastAsia="仿宋_GB2312"/>
          <w:sz w:val="24"/>
        </w:rPr>
        <w:t>08</w:t>
      </w:r>
      <w:r>
        <w:rPr>
          <w:rFonts w:eastAsia="仿宋_GB2312"/>
          <w:sz w:val="24"/>
        </w:rPr>
        <w:t xml:space="preserve"> </w:t>
      </w:r>
      <w:r>
        <w:rPr>
          <w:rFonts w:hint="eastAsia" w:eastAsia="仿宋_GB2312"/>
          <w:sz w:val="24"/>
        </w:rPr>
        <w:t xml:space="preserve">higher than </w:t>
      </w:r>
      <w:r>
        <w:rPr>
          <w:rFonts w:eastAsia="仿宋_GB2312"/>
          <w:sz w:val="24"/>
        </w:rPr>
        <w:t>that at end-</w:t>
      </w:r>
      <w:r>
        <w:rPr>
          <w:rFonts w:hint="eastAsia" w:eastAsia="仿宋_GB2312"/>
          <w:sz w:val="24"/>
        </w:rPr>
        <w:t>March</w:t>
      </w:r>
      <w:r>
        <w:rPr>
          <w:rFonts w:eastAsia="仿宋_GB2312"/>
          <w:sz w:val="24"/>
        </w:rPr>
        <w:t>. The</w:t>
      </w:r>
      <w:r>
        <w:rPr>
          <w:rFonts w:hint="eastAsia" w:eastAsia="仿宋_GB2312"/>
          <w:sz w:val="24"/>
        </w:rPr>
        <w:t xml:space="preserve"> overall</w:t>
      </w:r>
      <w:r>
        <w:rPr>
          <w:rFonts w:eastAsia="仿宋_GB2312"/>
          <w:sz w:val="24"/>
        </w:rPr>
        <w:t xml:space="preserve"> excess reserve</w:t>
      </w:r>
      <w:r>
        <w:rPr>
          <w:rFonts w:hint="eastAsia" w:eastAsia="仿宋_GB2312"/>
          <w:sz w:val="24"/>
        </w:rPr>
        <w:t>s</w:t>
      </w:r>
      <w:r>
        <w:rPr>
          <w:rFonts w:eastAsia="仿宋_GB2312"/>
          <w:sz w:val="24"/>
        </w:rPr>
        <w:t xml:space="preserve"> ratio of financial institutions was 1.</w:t>
      </w:r>
      <w:r>
        <w:rPr>
          <w:rFonts w:hint="eastAsia" w:eastAsia="仿宋_GB2312"/>
          <w:sz w:val="24"/>
        </w:rPr>
        <w:t>4</w:t>
      </w:r>
      <w:r>
        <w:rPr>
          <w:rFonts w:eastAsia="仿宋_GB2312"/>
          <w:sz w:val="24"/>
        </w:rPr>
        <w:t xml:space="preserve"> percent</w:t>
      </w:r>
      <w:r>
        <w:rPr>
          <w:rFonts w:hint="eastAsia" w:eastAsia="仿宋_GB2312"/>
          <w:sz w:val="24"/>
        </w:rPr>
        <w:t xml:space="preserve">, and </w:t>
      </w:r>
      <w:r>
        <w:rPr>
          <w:rFonts w:eastAsia="仿宋_GB2312"/>
          <w:sz w:val="24"/>
        </w:rPr>
        <w:t>that of rural credit cooperatives</w:t>
      </w:r>
      <w:r>
        <w:rPr>
          <w:rFonts w:hint="eastAsia" w:eastAsia="仿宋_GB2312"/>
          <w:sz w:val="24"/>
        </w:rPr>
        <w:t xml:space="preserve"> was</w:t>
      </w:r>
      <w:r>
        <w:rPr>
          <w:rFonts w:eastAsia="仿宋_GB2312"/>
          <w:sz w:val="24"/>
        </w:rPr>
        <w:t xml:space="preserve"> </w:t>
      </w:r>
      <w:r>
        <w:rPr>
          <w:rFonts w:hint="eastAsia" w:eastAsia="仿宋_GB2312"/>
          <w:sz w:val="24"/>
        </w:rPr>
        <w:t>8</w:t>
      </w:r>
      <w:r>
        <w:rPr>
          <w:rFonts w:eastAsia="仿宋_GB2312"/>
          <w:sz w:val="24"/>
        </w:rPr>
        <w:t>.</w:t>
      </w:r>
      <w:r>
        <w:rPr>
          <w:rFonts w:hint="eastAsia" w:eastAsia="仿宋_GB2312"/>
          <w:sz w:val="24"/>
        </w:rPr>
        <w:t>1</w:t>
      </w:r>
      <w:r>
        <w:rPr>
          <w:rFonts w:eastAsia="仿宋_GB2312"/>
          <w:sz w:val="24"/>
        </w:rPr>
        <w:t xml:space="preserve"> percent.</w:t>
      </w:r>
    </w:p>
    <w:p>
      <w:pPr>
        <w:rPr>
          <w:rFonts w:eastAsia="仿宋_GB2312"/>
          <w:sz w:val="24"/>
        </w:rPr>
      </w:pPr>
    </w:p>
    <w:p>
      <w:pPr>
        <w:pStyle w:val="4"/>
        <w:jc w:val="center"/>
        <w:rPr>
          <w:rFonts w:ascii="Times New Roman" w:hAnsi="Times New Roman" w:eastAsia="仿宋_GB2312" w:cs="Times New Roman"/>
          <w:b/>
          <w:sz w:val="24"/>
          <w:szCs w:val="24"/>
        </w:rPr>
      </w:pPr>
      <w:bookmarkStart w:id="9" w:name="_Toc492909036"/>
      <w:r>
        <w:rPr>
          <w:rFonts w:ascii="Times New Roman" w:hAnsi="Times New Roman" w:eastAsia="仿宋_GB2312" w:cs="Times New Roman"/>
          <w:b/>
          <w:sz w:val="24"/>
          <w:szCs w:val="24"/>
        </w:rPr>
        <w:t xml:space="preserve">Figure </w:t>
      </w:r>
      <w:r>
        <w:rPr>
          <w:rFonts w:ascii="Times New Roman" w:hAnsi="Times New Roman" w:eastAsia="仿宋_GB2312" w:cs="Times New Roman"/>
          <w:b/>
          <w:sz w:val="24"/>
          <w:szCs w:val="24"/>
        </w:rPr>
        <w:fldChar w:fldCharType="begin"/>
      </w:r>
      <w:r>
        <w:rPr>
          <w:rFonts w:ascii="Times New Roman" w:hAnsi="Times New Roman" w:eastAsia="仿宋_GB2312" w:cs="Times New Roman"/>
          <w:b/>
          <w:sz w:val="24"/>
          <w:szCs w:val="24"/>
        </w:rPr>
        <w:instrText xml:space="preserve"> SEQ Figure \* ARABIC </w:instrText>
      </w:r>
      <w:r>
        <w:rPr>
          <w:rFonts w:ascii="Times New Roman" w:hAnsi="Times New Roman" w:eastAsia="仿宋_GB2312" w:cs="Times New Roman"/>
          <w:b/>
          <w:sz w:val="24"/>
          <w:szCs w:val="24"/>
        </w:rPr>
        <w:fldChar w:fldCharType="separate"/>
      </w:r>
      <w:r>
        <w:rPr>
          <w:rFonts w:ascii="Times New Roman" w:hAnsi="Times New Roman" w:eastAsia="仿宋_GB2312" w:cs="Times New Roman"/>
          <w:b/>
          <w:sz w:val="24"/>
          <w:szCs w:val="24"/>
        </w:rPr>
        <w:t>1</w:t>
      </w:r>
      <w:r>
        <w:rPr>
          <w:rFonts w:ascii="Times New Roman" w:hAnsi="Times New Roman" w:eastAsia="仿宋_GB2312" w:cs="Times New Roman"/>
          <w:b/>
          <w:sz w:val="24"/>
          <w:szCs w:val="24"/>
        </w:rPr>
        <w:fldChar w:fldCharType="end"/>
      </w:r>
      <w:r>
        <w:rPr>
          <w:rFonts w:ascii="Times New Roman" w:hAnsi="Times New Roman" w:eastAsia="仿宋_GB2312" w:cs="Times New Roman"/>
          <w:b/>
          <w:sz w:val="24"/>
          <w:szCs w:val="24"/>
        </w:rPr>
        <w:t xml:space="preserve"> Growth of Money Supply</w:t>
      </w:r>
      <w:bookmarkEnd w:id="9"/>
    </w:p>
    <w:p>
      <w:pPr>
        <w:jc w:val="center"/>
        <w:rPr>
          <w:rFonts w:eastAsia="仿宋_GB2312"/>
          <w:sz w:val="24"/>
        </w:rPr>
      </w:pPr>
      <w:r>
        <w:rPr>
          <w:rFonts w:eastAsia="仿宋_GB2312"/>
          <w:sz w:val="24"/>
        </w:rPr>
        <w:drawing>
          <wp:inline distT="0" distB="0" distL="0" distR="0">
            <wp:extent cx="4217035" cy="2115185"/>
            <wp:effectExtent l="0" t="0" r="1206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217035" cy="2115185"/>
                    </a:xfrm>
                    <a:prstGeom prst="rect">
                      <a:avLst/>
                    </a:prstGeom>
                    <a:noFill/>
                    <a:ln w="9525">
                      <a:noFill/>
                      <a:miter lim="800000"/>
                      <a:headEnd/>
                      <a:tailEnd/>
                    </a:ln>
                  </pic:spPr>
                </pic:pic>
              </a:graphicData>
            </a:graphic>
          </wp:inline>
        </w:drawing>
      </w:r>
    </w:p>
    <w:p>
      <w:pPr>
        <w:rPr>
          <w:rFonts w:eastAsia="仿宋_GB2312"/>
          <w:sz w:val="24"/>
        </w:rPr>
      </w:pPr>
      <w:r>
        <w:rPr>
          <w:rFonts w:eastAsia="仿宋_GB2312"/>
          <w:sz w:val="24"/>
        </w:rPr>
        <w:t>Source: People’s Bank of China</w:t>
      </w:r>
    </w:p>
    <w:p>
      <w:pPr>
        <w:rPr>
          <w:rFonts w:eastAsia="仿宋_GB2312"/>
          <w:sz w:val="24"/>
        </w:rPr>
      </w:pPr>
    </w:p>
    <w:p>
      <w:pPr>
        <w:keepNext/>
        <w:shd w:val="clear" w:color="auto" w:fill="CCFFCC"/>
        <w:jc w:val="center"/>
        <w:rPr>
          <w:b/>
          <w:color w:val="000000"/>
          <w:sz w:val="24"/>
        </w:rPr>
      </w:pPr>
      <w:bookmarkStart w:id="10" w:name="_Toc477878101"/>
      <w:bookmarkStart w:id="11" w:name="_Toc492909020"/>
      <w:r>
        <w:rPr>
          <w:b/>
          <w:color w:val="000000"/>
          <w:sz w:val="24"/>
        </w:rPr>
        <w:t xml:space="preserve">Box </w:t>
      </w:r>
      <w:r>
        <w:rPr>
          <w:b/>
          <w:bCs/>
        </w:rPr>
        <w:fldChar w:fldCharType="begin"/>
      </w:r>
      <w:r>
        <w:rPr>
          <w:b/>
          <w:bCs/>
          <w:color w:val="000000"/>
          <w:sz w:val="24"/>
        </w:rPr>
        <w:instrText xml:space="preserve"> SEQ Box \* ARABIC </w:instrText>
      </w:r>
      <w:r>
        <w:rPr>
          <w:b/>
          <w:bCs/>
        </w:rPr>
        <w:fldChar w:fldCharType="separate"/>
      </w:r>
      <w:r>
        <w:rPr>
          <w:b/>
          <w:bCs/>
          <w:color w:val="000000"/>
          <w:sz w:val="24"/>
        </w:rPr>
        <w:t>1</w:t>
      </w:r>
      <w:r>
        <w:rPr>
          <w:b/>
          <w:bCs/>
        </w:rPr>
        <w:fldChar w:fldCharType="end"/>
      </w:r>
      <w:r>
        <w:rPr>
          <w:b/>
          <w:bCs/>
          <w:color w:val="000000"/>
          <w:sz w:val="24"/>
        </w:rPr>
        <w:t xml:space="preserve"> </w:t>
      </w:r>
      <w:bookmarkEnd w:id="10"/>
      <w:r>
        <w:rPr>
          <w:rFonts w:hint="eastAsia"/>
          <w:b/>
          <w:bCs/>
          <w:color w:val="000000"/>
          <w:sz w:val="24"/>
        </w:rPr>
        <w:t xml:space="preserve">Understanding </w:t>
      </w:r>
      <w:r>
        <w:rPr>
          <w:b/>
          <w:bCs/>
          <w:color w:val="000000"/>
          <w:sz w:val="24"/>
        </w:rPr>
        <w:t>C</w:t>
      </w:r>
      <w:r>
        <w:rPr>
          <w:rFonts w:hint="eastAsia"/>
          <w:b/>
          <w:bCs/>
          <w:color w:val="000000"/>
          <w:sz w:val="24"/>
        </w:rPr>
        <w:t xml:space="preserve">hanges </w:t>
      </w:r>
      <w:r>
        <w:rPr>
          <w:b/>
          <w:bCs/>
          <w:color w:val="000000"/>
          <w:sz w:val="24"/>
        </w:rPr>
        <w:t>in</w:t>
      </w:r>
      <w:r>
        <w:rPr>
          <w:rFonts w:hint="eastAsia"/>
          <w:b/>
          <w:bCs/>
          <w:color w:val="000000"/>
          <w:sz w:val="24"/>
        </w:rPr>
        <w:t xml:space="preserve"> the </w:t>
      </w:r>
      <w:r>
        <w:rPr>
          <w:b/>
          <w:bCs/>
          <w:color w:val="000000"/>
          <w:sz w:val="24"/>
        </w:rPr>
        <w:t>E</w:t>
      </w:r>
      <w:r>
        <w:rPr>
          <w:rFonts w:hint="eastAsia"/>
          <w:b/>
          <w:bCs/>
          <w:color w:val="000000"/>
          <w:sz w:val="24"/>
        </w:rPr>
        <w:t xml:space="preserve">xcess </w:t>
      </w:r>
      <w:r>
        <w:rPr>
          <w:b/>
          <w:bCs/>
          <w:color w:val="000000"/>
          <w:sz w:val="24"/>
        </w:rPr>
        <w:t>R</w:t>
      </w:r>
      <w:r>
        <w:rPr>
          <w:rFonts w:hint="eastAsia"/>
          <w:b/>
          <w:bCs/>
          <w:color w:val="000000"/>
          <w:sz w:val="24"/>
        </w:rPr>
        <w:t xml:space="preserve">eserves </w:t>
      </w:r>
      <w:r>
        <w:rPr>
          <w:b/>
          <w:bCs/>
          <w:color w:val="000000"/>
          <w:sz w:val="24"/>
        </w:rPr>
        <w:t>R</w:t>
      </w:r>
      <w:r>
        <w:rPr>
          <w:rFonts w:hint="eastAsia"/>
          <w:b/>
          <w:bCs/>
          <w:color w:val="000000"/>
          <w:sz w:val="24"/>
        </w:rPr>
        <w:t>atio</w:t>
      </w:r>
      <w:bookmarkEnd w:id="11"/>
    </w:p>
    <w:p>
      <w:pPr>
        <w:shd w:val="clear" w:color="auto" w:fill="CCFFCC"/>
        <w:rPr>
          <w:color w:val="000000"/>
          <w:sz w:val="24"/>
        </w:rPr>
      </w:pPr>
    </w:p>
    <w:p>
      <w:pPr>
        <w:shd w:val="clear" w:color="auto" w:fill="CCFFCC"/>
        <w:rPr>
          <w:color w:val="000000"/>
          <w:sz w:val="24"/>
        </w:rPr>
      </w:pPr>
      <w:r>
        <w:rPr>
          <w:rFonts w:hint="eastAsia"/>
          <w:color w:val="000000"/>
          <w:sz w:val="24"/>
        </w:rPr>
        <w:t>Excess reserves are funds deposited by financial institutions in a central bank in excess of the required reserves, mainly as back</w:t>
      </w:r>
      <w:r>
        <w:rPr>
          <w:color w:val="000000"/>
          <w:sz w:val="24"/>
        </w:rPr>
        <w:t>-</w:t>
      </w:r>
      <w:r>
        <w:rPr>
          <w:rFonts w:hint="eastAsia"/>
          <w:color w:val="000000"/>
          <w:sz w:val="24"/>
        </w:rPr>
        <w:t>up funds for payment</w:t>
      </w:r>
      <w:r>
        <w:rPr>
          <w:color w:val="000000"/>
          <w:sz w:val="24"/>
        </w:rPr>
        <w:t>s</w:t>
      </w:r>
      <w:r>
        <w:rPr>
          <w:rFonts w:hint="eastAsia"/>
          <w:color w:val="000000"/>
          <w:sz w:val="24"/>
        </w:rPr>
        <w:t>, clearing, liquidity position management</w:t>
      </w:r>
      <w:r>
        <w:rPr>
          <w:color w:val="000000"/>
          <w:sz w:val="24"/>
        </w:rPr>
        <w:t>,</w:t>
      </w:r>
      <w:r>
        <w:rPr>
          <w:rFonts w:hint="eastAsia"/>
          <w:color w:val="000000"/>
          <w:sz w:val="24"/>
        </w:rPr>
        <w:t xml:space="preserve"> or asset allocation</w:t>
      </w:r>
      <w:r>
        <w:rPr>
          <w:color w:val="000000"/>
          <w:sz w:val="24"/>
        </w:rPr>
        <w:t>s</w:t>
      </w:r>
      <w:r>
        <w:rPr>
          <w:rFonts w:hint="eastAsia"/>
          <w:color w:val="000000"/>
          <w:sz w:val="24"/>
        </w:rPr>
        <w:t xml:space="preserve">. </w:t>
      </w:r>
      <w:r>
        <w:rPr>
          <w:color w:val="000000"/>
          <w:sz w:val="24"/>
        </w:rPr>
        <w:t>They are</w:t>
      </w:r>
      <w:r>
        <w:rPr>
          <w:rFonts w:hint="eastAsia"/>
          <w:color w:val="000000"/>
          <w:sz w:val="24"/>
        </w:rPr>
        <w:t xml:space="preserve"> measured by the excess reserve ratio, which is </w:t>
      </w:r>
      <w:r>
        <w:rPr>
          <w:color w:val="000000"/>
          <w:sz w:val="24"/>
        </w:rPr>
        <w:t>the</w:t>
      </w:r>
      <w:r>
        <w:rPr>
          <w:rFonts w:hint="eastAsia"/>
          <w:color w:val="000000"/>
          <w:sz w:val="24"/>
        </w:rPr>
        <w:t xml:space="preserve"> share of a financial institution</w:t>
      </w:r>
      <w:r>
        <w:rPr>
          <w:color w:val="000000"/>
          <w:sz w:val="24"/>
        </w:rPr>
        <w:t xml:space="preserve">’s </w:t>
      </w:r>
      <w:r>
        <w:rPr>
          <w:rFonts w:hint="eastAsia"/>
          <w:color w:val="000000"/>
          <w:sz w:val="24"/>
        </w:rPr>
        <w:t xml:space="preserve">excess reserves in its general deposits. As a key component of </w:t>
      </w:r>
      <w:r>
        <w:rPr>
          <w:color w:val="000000"/>
          <w:sz w:val="24"/>
        </w:rPr>
        <w:t xml:space="preserve">the </w:t>
      </w:r>
      <w:r>
        <w:rPr>
          <w:rFonts w:hint="eastAsia"/>
          <w:color w:val="000000"/>
          <w:sz w:val="24"/>
        </w:rPr>
        <w:t>monetary base, excess reserve</w:t>
      </w:r>
      <w:r>
        <w:rPr>
          <w:color w:val="000000"/>
          <w:sz w:val="24"/>
        </w:rPr>
        <w:t>s</w:t>
      </w:r>
      <w:r>
        <w:rPr>
          <w:rFonts w:hint="eastAsia"/>
          <w:color w:val="000000"/>
          <w:sz w:val="24"/>
        </w:rPr>
        <w:t xml:space="preserve"> </w:t>
      </w:r>
      <w:r>
        <w:rPr>
          <w:color w:val="000000"/>
          <w:sz w:val="24"/>
        </w:rPr>
        <w:t>are</w:t>
      </w:r>
      <w:r>
        <w:rPr>
          <w:rFonts w:hint="eastAsia"/>
          <w:color w:val="000000"/>
          <w:sz w:val="24"/>
        </w:rPr>
        <w:t xml:space="preserve"> the most liquid asset</w:t>
      </w:r>
      <w:r>
        <w:rPr>
          <w:color w:val="000000"/>
          <w:sz w:val="24"/>
        </w:rPr>
        <w:t>s</w:t>
      </w:r>
      <w:r>
        <w:rPr>
          <w:rFonts w:hint="eastAsia"/>
          <w:color w:val="000000"/>
          <w:sz w:val="24"/>
        </w:rPr>
        <w:t xml:space="preserve"> for financial institutions. The size of </w:t>
      </w:r>
      <w:r>
        <w:rPr>
          <w:color w:val="000000"/>
          <w:sz w:val="24"/>
        </w:rPr>
        <w:t xml:space="preserve">the </w:t>
      </w:r>
      <w:r>
        <w:rPr>
          <w:rFonts w:hint="eastAsia"/>
          <w:color w:val="000000"/>
          <w:sz w:val="24"/>
        </w:rPr>
        <w:t xml:space="preserve">excess reserves and </w:t>
      </w:r>
      <w:r>
        <w:rPr>
          <w:color w:val="000000"/>
          <w:sz w:val="24"/>
        </w:rPr>
        <w:t>their</w:t>
      </w:r>
      <w:r>
        <w:rPr>
          <w:rFonts w:hint="eastAsia"/>
          <w:color w:val="000000"/>
          <w:sz w:val="24"/>
        </w:rPr>
        <w:t xml:space="preserve"> ratio are critical indicators </w:t>
      </w:r>
      <w:r>
        <w:rPr>
          <w:color w:val="000000"/>
          <w:sz w:val="24"/>
        </w:rPr>
        <w:t>of financial institutions, which, to some extent, reflect</w:t>
      </w:r>
      <w:r>
        <w:rPr>
          <w:rFonts w:hint="eastAsia"/>
          <w:color w:val="000000"/>
          <w:sz w:val="24"/>
        </w:rPr>
        <w:t xml:space="preserve"> their liquidity position. First, under the reserve requirement, banks </w:t>
      </w:r>
      <w:r>
        <w:rPr>
          <w:color w:val="000000"/>
          <w:sz w:val="24"/>
        </w:rPr>
        <w:t xml:space="preserve">must </w:t>
      </w:r>
      <w:r>
        <w:rPr>
          <w:rFonts w:hint="eastAsia"/>
          <w:color w:val="000000"/>
          <w:sz w:val="24"/>
        </w:rPr>
        <w:t>increase their required reserves by drawing on liquidity (i.e., excess reserves) to sustain their deposit growth, as insufficient liquidity means they are not a</w:t>
      </w:r>
      <w:r>
        <w:rPr>
          <w:color w:val="000000"/>
          <w:sz w:val="24"/>
        </w:rPr>
        <w:t>ble</w:t>
      </w:r>
      <w:r>
        <w:rPr>
          <w:rFonts w:hint="eastAsia"/>
          <w:color w:val="000000"/>
          <w:sz w:val="24"/>
        </w:rPr>
        <w:t xml:space="preserve"> to expand their assets. Second, at the individual level, banks </w:t>
      </w:r>
      <w:r>
        <w:rPr>
          <w:color w:val="000000"/>
          <w:sz w:val="24"/>
        </w:rPr>
        <w:t>must</w:t>
      </w:r>
      <w:r>
        <w:rPr>
          <w:rFonts w:hint="eastAsia"/>
          <w:color w:val="000000"/>
          <w:sz w:val="24"/>
        </w:rPr>
        <w:t xml:space="preserve"> hold liquidity to meet demand</w:t>
      </w:r>
      <w:r>
        <w:rPr>
          <w:color w:val="000000"/>
          <w:sz w:val="24"/>
        </w:rPr>
        <w:t>s</w:t>
      </w:r>
      <w:r>
        <w:rPr>
          <w:rFonts w:hint="eastAsia"/>
          <w:color w:val="000000"/>
          <w:sz w:val="24"/>
        </w:rPr>
        <w:t xml:space="preserve"> for inter-bank flows, </w:t>
      </w:r>
      <w:r>
        <w:rPr>
          <w:color w:val="000000"/>
          <w:sz w:val="24"/>
        </w:rPr>
        <w:t>payments,</w:t>
      </w:r>
      <w:r>
        <w:rPr>
          <w:rFonts w:hint="eastAsia"/>
          <w:color w:val="000000"/>
          <w:sz w:val="24"/>
        </w:rPr>
        <w:t xml:space="preserve"> and clearing. Banks </w:t>
      </w:r>
      <w:r>
        <w:rPr>
          <w:color w:val="000000"/>
          <w:sz w:val="24"/>
        </w:rPr>
        <w:t xml:space="preserve">must </w:t>
      </w:r>
      <w:r>
        <w:rPr>
          <w:rFonts w:hint="eastAsia"/>
          <w:color w:val="000000"/>
          <w:sz w:val="24"/>
        </w:rPr>
        <w:t>hold more liquidity for precautionary purposes in cases of money</w:t>
      </w:r>
      <w:r>
        <w:rPr>
          <w:color w:val="000000"/>
          <w:sz w:val="24"/>
        </w:rPr>
        <w:t>-</w:t>
      </w:r>
      <w:r>
        <w:rPr>
          <w:rFonts w:hint="eastAsia"/>
          <w:color w:val="000000"/>
          <w:sz w:val="24"/>
        </w:rPr>
        <w:t xml:space="preserve">market disruptions or weak payment technologies. </w:t>
      </w:r>
    </w:p>
    <w:p>
      <w:pPr>
        <w:shd w:val="clear" w:color="auto" w:fill="CCFFCC"/>
        <w:rPr>
          <w:color w:val="000000"/>
          <w:sz w:val="24"/>
        </w:rPr>
      </w:pPr>
    </w:p>
    <w:p>
      <w:pPr>
        <w:shd w:val="clear" w:color="auto" w:fill="CCFFCC"/>
        <w:rPr>
          <w:color w:val="000000"/>
          <w:sz w:val="24"/>
        </w:rPr>
      </w:pPr>
      <w:r>
        <w:drawing>
          <wp:inline distT="0" distB="0" distL="0" distR="0">
            <wp:extent cx="5090795" cy="259334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7"/>
                    <a:srcRect/>
                    <a:stretch>
                      <a:fillRect/>
                    </a:stretch>
                  </pic:blipFill>
                  <pic:spPr>
                    <a:xfrm>
                      <a:off x="0" y="0"/>
                      <a:ext cx="5090795" cy="2593340"/>
                    </a:xfrm>
                    <a:prstGeom prst="rect">
                      <a:avLst/>
                    </a:prstGeom>
                    <a:noFill/>
                    <a:ln w="9525">
                      <a:noFill/>
                      <a:miter lim="800000"/>
                      <a:headEnd/>
                      <a:tailEnd/>
                    </a:ln>
                  </pic:spPr>
                </pic:pic>
              </a:graphicData>
            </a:graphic>
          </wp:inline>
        </w:drawing>
      </w:r>
    </w:p>
    <w:p>
      <w:pPr>
        <w:shd w:val="clear" w:color="auto" w:fill="CCFFCC"/>
        <w:rPr>
          <w:color w:val="000000"/>
          <w:sz w:val="24"/>
        </w:rPr>
      </w:pPr>
      <w:r>
        <w:rPr>
          <w:rFonts w:hint="eastAsia"/>
          <w:color w:val="000000"/>
          <w:sz w:val="24"/>
        </w:rPr>
        <w:t>Source: Wind</w:t>
      </w:r>
    </w:p>
    <w:p>
      <w:pPr>
        <w:shd w:val="clear" w:color="auto" w:fill="CCFFCC"/>
        <w:rPr>
          <w:color w:val="000000"/>
          <w:sz w:val="24"/>
        </w:rPr>
      </w:pPr>
      <w:r>
        <w:rPr>
          <w:rFonts w:hint="eastAsia"/>
          <w:color w:val="000000"/>
          <w:sz w:val="24"/>
        </w:rPr>
        <w:t xml:space="preserve"> </w:t>
      </w:r>
    </w:p>
    <w:p>
      <w:pPr>
        <w:shd w:val="clear" w:color="auto" w:fill="CCFFCC"/>
        <w:rPr>
          <w:b/>
          <w:color w:val="000000"/>
          <w:sz w:val="24"/>
        </w:rPr>
      </w:pPr>
      <w:bookmarkStart w:id="12" w:name="_Toc492909037"/>
      <w:r>
        <w:rPr>
          <w:b/>
          <w:sz w:val="24"/>
        </w:rPr>
        <w:t xml:space="preserve">Figure </w:t>
      </w:r>
      <w:r>
        <w:rPr>
          <w:b/>
          <w:sz w:val="24"/>
        </w:rPr>
        <w:fldChar w:fldCharType="begin"/>
      </w:r>
      <w:r>
        <w:rPr>
          <w:b/>
          <w:sz w:val="24"/>
        </w:rPr>
        <w:instrText xml:space="preserve"> SEQ Figure \* ARABIC </w:instrText>
      </w:r>
      <w:r>
        <w:rPr>
          <w:b/>
          <w:sz w:val="24"/>
        </w:rPr>
        <w:fldChar w:fldCharType="separate"/>
      </w:r>
      <w:r>
        <w:rPr>
          <w:b/>
          <w:sz w:val="24"/>
        </w:rPr>
        <w:t>2</w:t>
      </w:r>
      <w:r>
        <w:rPr>
          <w:b/>
          <w:sz w:val="24"/>
        </w:rPr>
        <w:fldChar w:fldCharType="end"/>
      </w:r>
      <w:r>
        <w:rPr>
          <w:b/>
          <w:color w:val="000000"/>
          <w:sz w:val="24"/>
        </w:rPr>
        <w:t xml:space="preserve"> Excess Reserve Ratio in Chinese Financial Institutions</w:t>
      </w:r>
      <w:bookmarkEnd w:id="12"/>
    </w:p>
    <w:p>
      <w:pPr>
        <w:shd w:val="clear" w:color="auto" w:fill="CCFFCC"/>
        <w:rPr>
          <w:b/>
          <w:color w:val="000000"/>
          <w:sz w:val="24"/>
        </w:rPr>
      </w:pPr>
      <w:r>
        <w:rPr>
          <w:b/>
          <w:color w:val="000000"/>
          <w:sz w:val="24"/>
        </w:rPr>
        <w:t xml:space="preserve"> </w:t>
      </w:r>
    </w:p>
    <w:p>
      <w:pPr>
        <w:shd w:val="clear" w:color="auto" w:fill="CCFFCC"/>
        <w:rPr>
          <w:b/>
          <w:color w:val="000000"/>
          <w:sz w:val="24"/>
        </w:rPr>
      </w:pPr>
    </w:p>
    <w:p>
      <w:pPr>
        <w:shd w:val="clear" w:color="auto" w:fill="CCFFCC"/>
        <w:rPr>
          <w:color w:val="000000"/>
          <w:sz w:val="24"/>
        </w:rPr>
      </w:pPr>
      <w:r>
        <w:rPr>
          <w:rFonts w:hint="eastAsia"/>
          <w:color w:val="000000"/>
          <w:sz w:val="24"/>
        </w:rPr>
        <w:t xml:space="preserve">Declines in excess reserves </w:t>
      </w:r>
      <w:r>
        <w:rPr>
          <w:color w:val="000000"/>
          <w:sz w:val="24"/>
        </w:rPr>
        <w:t>were</w:t>
      </w:r>
      <w:r>
        <w:rPr>
          <w:rFonts w:hint="eastAsia"/>
          <w:color w:val="000000"/>
          <w:sz w:val="24"/>
        </w:rPr>
        <w:t xml:space="preserve"> a key structural factor that </w:t>
      </w:r>
      <w:r>
        <w:rPr>
          <w:color w:val="000000"/>
          <w:sz w:val="24"/>
        </w:rPr>
        <w:t>led to</w:t>
      </w:r>
      <w:r>
        <w:rPr>
          <w:rFonts w:hint="eastAsia"/>
          <w:color w:val="000000"/>
          <w:sz w:val="24"/>
        </w:rPr>
        <w:t xml:space="preserve"> the moderate fall in the aggregate</w:t>
      </w:r>
      <w:r>
        <w:rPr>
          <w:color w:val="000000"/>
          <w:sz w:val="24"/>
        </w:rPr>
        <w:t xml:space="preserve"> </w:t>
      </w:r>
      <w:r>
        <w:rPr>
          <w:rFonts w:hint="eastAsia"/>
          <w:color w:val="000000"/>
          <w:sz w:val="24"/>
        </w:rPr>
        <w:t>mone</w:t>
      </w:r>
      <w:r>
        <w:rPr>
          <w:color w:val="000000"/>
          <w:sz w:val="24"/>
        </w:rPr>
        <w:t>tary</w:t>
      </w:r>
      <w:r>
        <w:rPr>
          <w:rFonts w:hint="eastAsia"/>
          <w:color w:val="000000"/>
          <w:sz w:val="24"/>
        </w:rPr>
        <w:t xml:space="preserve"> base since the beginning of 2017. It is important to note that the excess reserve ratio is </w:t>
      </w:r>
      <w:r>
        <w:rPr>
          <w:color w:val="000000"/>
          <w:sz w:val="24"/>
        </w:rPr>
        <w:t xml:space="preserve">an indicator of liquidity in the banking system that is equally important as the size of the excess reserves.  </w:t>
      </w:r>
      <w:r>
        <w:rPr>
          <w:rFonts w:hint="eastAsia"/>
          <w:color w:val="000000"/>
          <w:sz w:val="24"/>
        </w:rPr>
        <w:t xml:space="preserve">The excess reserve ratio for financial institutions in China has been on a downward trend in recent years. It peaked above 7 percent in 2001 before moving down to an average of </w:t>
      </w:r>
      <w:r>
        <w:rPr>
          <w:color w:val="000000"/>
          <w:sz w:val="24"/>
        </w:rPr>
        <w:t>about</w:t>
      </w:r>
      <w:r>
        <w:rPr>
          <w:rFonts w:hint="eastAsia"/>
          <w:color w:val="000000"/>
          <w:sz w:val="24"/>
        </w:rPr>
        <w:t xml:space="preserve"> 3.5 percent between 2003 and 2008 and </w:t>
      </w:r>
      <w:r>
        <w:rPr>
          <w:color w:val="000000"/>
          <w:sz w:val="24"/>
        </w:rPr>
        <w:t xml:space="preserve">then </w:t>
      </w:r>
      <w:r>
        <w:rPr>
          <w:rFonts w:hint="eastAsia"/>
          <w:color w:val="000000"/>
          <w:sz w:val="24"/>
        </w:rPr>
        <w:t xml:space="preserve">falling further to the present level </w:t>
      </w:r>
      <w:r>
        <w:rPr>
          <w:color w:val="000000"/>
          <w:sz w:val="24"/>
        </w:rPr>
        <w:t>of</w:t>
      </w:r>
      <w:r>
        <w:rPr>
          <w:rFonts w:hint="eastAsia"/>
          <w:color w:val="000000"/>
          <w:sz w:val="24"/>
        </w:rPr>
        <w:t xml:space="preserve"> 1.5 percent. This downward trend has been driven by a number of factors. First, </w:t>
      </w:r>
      <w:r>
        <w:rPr>
          <w:color w:val="000000"/>
          <w:sz w:val="24"/>
        </w:rPr>
        <w:t>the</w:t>
      </w:r>
      <w:r>
        <w:rPr>
          <w:rFonts w:hint="eastAsia"/>
          <w:color w:val="000000"/>
          <w:sz w:val="24"/>
        </w:rPr>
        <w:t xml:space="preserve"> modernized payment system has significantly shortened the time </w:t>
      </w:r>
      <w:r>
        <w:rPr>
          <w:color w:val="000000"/>
          <w:sz w:val="24"/>
        </w:rPr>
        <w:t>required</w:t>
      </w:r>
      <w:r>
        <w:rPr>
          <w:rFonts w:hint="eastAsia"/>
          <w:color w:val="000000"/>
          <w:sz w:val="24"/>
        </w:rPr>
        <w:t xml:space="preserve"> for clearing, largely removed frictions in the flow of funds, and lowered the time and transaction costs for transferring funds from other assets to excess reserves. Second, as an easier financing option </w:t>
      </w:r>
      <w:r>
        <w:rPr>
          <w:color w:val="000000"/>
          <w:sz w:val="24"/>
        </w:rPr>
        <w:t xml:space="preserve">the </w:t>
      </w:r>
      <w:bookmarkStart w:id="13" w:name="_Hlt206573772"/>
      <w:bookmarkEnd w:id="13"/>
      <w:bookmarkStart w:id="14" w:name="_Toc423005778"/>
      <w:bookmarkEnd w:id="14"/>
      <w:r>
        <w:rPr>
          <w:color w:val="000000"/>
          <w:sz w:val="24"/>
        </w:rPr>
        <w:t>r</w:t>
      </w:r>
      <w:r>
        <w:rPr>
          <w:rFonts w:hint="eastAsia"/>
          <w:color w:val="000000"/>
          <w:sz w:val="24"/>
        </w:rPr>
        <w:t xml:space="preserve">apid financial market development has enabled banks to borrow from the market </w:t>
      </w:r>
      <w:r>
        <w:rPr>
          <w:color w:val="000000"/>
          <w:sz w:val="24"/>
        </w:rPr>
        <w:t xml:space="preserve">at </w:t>
      </w:r>
      <w:r>
        <w:rPr>
          <w:rFonts w:hint="eastAsia"/>
          <w:color w:val="000000"/>
          <w:sz w:val="24"/>
        </w:rPr>
        <w:t xml:space="preserve">any time </w:t>
      </w:r>
      <w:r>
        <w:rPr>
          <w:color w:val="000000"/>
          <w:sz w:val="24"/>
        </w:rPr>
        <w:t>needed</w:t>
      </w:r>
      <w:r>
        <w:rPr>
          <w:rFonts w:hint="eastAsia"/>
          <w:color w:val="000000"/>
          <w:sz w:val="24"/>
        </w:rPr>
        <w:t xml:space="preserve"> to cover liquidity shortages, thus reducing </w:t>
      </w:r>
      <w:r>
        <w:rPr>
          <w:color w:val="000000"/>
          <w:sz w:val="24"/>
        </w:rPr>
        <w:t xml:space="preserve">the </w:t>
      </w:r>
      <w:r>
        <w:rPr>
          <w:rFonts w:hint="eastAsia"/>
          <w:color w:val="000000"/>
          <w:sz w:val="24"/>
        </w:rPr>
        <w:t>banks</w:t>
      </w:r>
      <w:r>
        <w:rPr>
          <w:color w:val="000000"/>
          <w:sz w:val="24"/>
        </w:rPr>
        <w:t>’</w:t>
      </w:r>
      <w:r>
        <w:rPr>
          <w:rFonts w:hint="eastAsia"/>
          <w:color w:val="000000"/>
          <w:sz w:val="24"/>
        </w:rPr>
        <w:t xml:space="preserve"> precautionary liquidity needs. Third, liquidity management has been improved and </w:t>
      </w:r>
      <w:r>
        <w:rPr>
          <w:color w:val="000000"/>
          <w:sz w:val="24"/>
        </w:rPr>
        <w:t xml:space="preserve">become </w:t>
      </w:r>
      <w:r>
        <w:rPr>
          <w:rFonts w:hint="eastAsia"/>
          <w:color w:val="000000"/>
          <w:sz w:val="24"/>
        </w:rPr>
        <w:t xml:space="preserve">more granular, allowing banks to have a more accurate understanding of the factors that affect liquidity movements and </w:t>
      </w:r>
      <w:r>
        <w:rPr>
          <w:color w:val="000000"/>
          <w:sz w:val="24"/>
        </w:rPr>
        <w:t xml:space="preserve">to </w:t>
      </w:r>
      <w:r>
        <w:rPr>
          <w:rFonts w:hint="eastAsia"/>
          <w:color w:val="000000"/>
          <w:sz w:val="24"/>
        </w:rPr>
        <w:t>reduce the impact</w:t>
      </w:r>
      <w:r>
        <w:rPr>
          <w:color w:val="000000"/>
          <w:sz w:val="24"/>
        </w:rPr>
        <w:t xml:space="preserve"> of </w:t>
      </w:r>
      <w:r>
        <w:rPr>
          <w:rFonts w:hint="eastAsia"/>
          <w:color w:val="000000"/>
          <w:sz w:val="24"/>
        </w:rPr>
        <w:t xml:space="preserve">uncertain shocks. Some banks have developed advanced liquidity management systems that allow them to monitor </w:t>
      </w:r>
      <w:r>
        <w:rPr>
          <w:color w:val="000000"/>
          <w:sz w:val="24"/>
        </w:rPr>
        <w:t xml:space="preserve">the flows of </w:t>
      </w:r>
      <w:r>
        <w:rPr>
          <w:rFonts w:hint="eastAsia"/>
          <w:color w:val="000000"/>
          <w:sz w:val="24"/>
        </w:rPr>
        <w:t>real</w:t>
      </w:r>
      <w:r>
        <w:rPr>
          <w:color w:val="000000"/>
          <w:sz w:val="24"/>
        </w:rPr>
        <w:t>-</w:t>
      </w:r>
      <w:r>
        <w:rPr>
          <w:rFonts w:hint="eastAsia"/>
          <w:color w:val="000000"/>
          <w:sz w:val="24"/>
        </w:rPr>
        <w:t xml:space="preserve">time funds among their branches, thus making it possible to achieve higher </w:t>
      </w:r>
      <w:r>
        <w:rPr>
          <w:color w:val="000000"/>
          <w:sz w:val="24"/>
        </w:rPr>
        <w:t xml:space="preserve">efficiency of </w:t>
      </w:r>
      <w:r>
        <w:rPr>
          <w:rFonts w:hint="eastAsia"/>
          <w:color w:val="000000"/>
          <w:sz w:val="24"/>
        </w:rPr>
        <w:t>funds utilization by keeping their excess reserve ratios at a level close to zero, or even temporarily below zero at certain point</w:t>
      </w:r>
      <w:r>
        <w:rPr>
          <w:color w:val="000000"/>
          <w:sz w:val="24"/>
        </w:rPr>
        <w:t>s</w:t>
      </w:r>
      <w:r>
        <w:rPr>
          <w:rFonts w:hint="eastAsia"/>
          <w:color w:val="000000"/>
          <w:sz w:val="24"/>
        </w:rPr>
        <w:t xml:space="preserve"> </w:t>
      </w:r>
      <w:r>
        <w:rPr>
          <w:color w:val="000000"/>
          <w:sz w:val="24"/>
        </w:rPr>
        <w:t>in</w:t>
      </w:r>
      <w:r>
        <w:rPr>
          <w:rFonts w:hint="eastAsia"/>
          <w:color w:val="000000"/>
          <w:sz w:val="24"/>
        </w:rPr>
        <w:t xml:space="preserve"> time</w:t>
      </w:r>
      <w:r>
        <w:rPr>
          <w:color w:val="000000"/>
          <w:sz w:val="24"/>
        </w:rPr>
        <w:t>,</w:t>
      </w:r>
      <w:r>
        <w:rPr>
          <w:rFonts w:hint="eastAsia"/>
          <w:color w:val="000000"/>
          <w:sz w:val="24"/>
        </w:rPr>
        <w:t xml:space="preserve"> under the mechanism that allows</w:t>
      </w:r>
      <w:r>
        <w:rPr>
          <w:color w:val="000000"/>
          <w:sz w:val="24"/>
        </w:rPr>
        <w:t xml:space="preserve"> them</w:t>
      </w:r>
      <w:r>
        <w:rPr>
          <w:rFonts w:hint="eastAsia"/>
          <w:color w:val="000000"/>
          <w:sz w:val="24"/>
        </w:rPr>
        <w:t xml:space="preserve"> </w:t>
      </w:r>
      <w:r>
        <w:rPr>
          <w:color w:val="000000"/>
          <w:sz w:val="24"/>
        </w:rPr>
        <w:t>to overdraw the</w:t>
      </w:r>
      <w:r>
        <w:rPr>
          <w:rFonts w:hint="eastAsia"/>
          <w:color w:val="000000"/>
          <w:sz w:val="24"/>
        </w:rPr>
        <w:t xml:space="preserve"> required reserves.</w:t>
      </w:r>
    </w:p>
    <w:p>
      <w:pPr>
        <w:shd w:val="clear" w:color="auto" w:fill="CCFFCC"/>
        <w:rPr>
          <w:color w:val="000000"/>
          <w:sz w:val="24"/>
        </w:rPr>
      </w:pPr>
    </w:p>
    <w:p>
      <w:pPr>
        <w:shd w:val="clear" w:color="auto" w:fill="CCFFCC"/>
        <w:rPr>
          <w:color w:val="000000"/>
          <w:sz w:val="24"/>
        </w:rPr>
      </w:pPr>
      <w:r>
        <w:rPr>
          <w:rFonts w:hint="eastAsia"/>
          <w:color w:val="000000"/>
          <w:sz w:val="24"/>
        </w:rPr>
        <w:t xml:space="preserve">The need to hold excess reserves has also been weakened by the stronger institutional flexibility that </w:t>
      </w:r>
      <w:r>
        <w:rPr>
          <w:color w:val="000000"/>
          <w:sz w:val="24"/>
        </w:rPr>
        <w:t xml:space="preserve">is </w:t>
      </w:r>
      <w:r>
        <w:rPr>
          <w:rFonts w:hint="eastAsia"/>
          <w:color w:val="000000"/>
          <w:sz w:val="24"/>
        </w:rPr>
        <w:t>a result of the central bank</w:t>
      </w:r>
      <w:r>
        <w:rPr>
          <w:color w:val="000000"/>
          <w:sz w:val="24"/>
        </w:rPr>
        <w:t>’</w:t>
      </w:r>
      <w:r>
        <w:rPr>
          <w:rFonts w:hint="eastAsia"/>
          <w:color w:val="000000"/>
          <w:sz w:val="24"/>
        </w:rPr>
        <w:t xml:space="preserve">s </w:t>
      </w:r>
      <w:r>
        <w:rPr>
          <w:color w:val="000000"/>
          <w:sz w:val="24"/>
        </w:rPr>
        <w:t xml:space="preserve">recent </w:t>
      </w:r>
      <w:r>
        <w:rPr>
          <w:rFonts w:hint="eastAsia"/>
          <w:color w:val="000000"/>
          <w:sz w:val="24"/>
        </w:rPr>
        <w:t xml:space="preserve">continuous efforts to improve </w:t>
      </w:r>
      <w:r>
        <w:rPr>
          <w:color w:val="000000"/>
          <w:sz w:val="24"/>
        </w:rPr>
        <w:t>the framework for monetary policy operations.</w:t>
      </w:r>
      <w:r>
        <w:rPr>
          <w:rFonts w:hint="eastAsia"/>
          <w:color w:val="000000"/>
          <w:sz w:val="24"/>
        </w:rPr>
        <w:t xml:space="preserve"> For example, the twin-average assessment approach has given banks more flexibility </w:t>
      </w:r>
      <w:r>
        <w:rPr>
          <w:color w:val="000000"/>
          <w:sz w:val="24"/>
        </w:rPr>
        <w:t xml:space="preserve">to manage </w:t>
      </w:r>
      <w:r>
        <w:rPr>
          <w:rFonts w:hint="eastAsia"/>
          <w:color w:val="000000"/>
          <w:sz w:val="24"/>
        </w:rPr>
        <w:t xml:space="preserve">liquidity during the assessment period. </w:t>
      </w:r>
      <w:r>
        <w:rPr>
          <w:color w:val="000000"/>
          <w:sz w:val="24"/>
        </w:rPr>
        <w:t>I</w:t>
      </w:r>
      <w:r>
        <w:rPr>
          <w:rFonts w:hint="eastAsia"/>
          <w:color w:val="000000"/>
          <w:sz w:val="24"/>
        </w:rPr>
        <w:t>ntroduction of the Standing Lending Facility and the Automatic Pledge Financing Facility has offered banks the option to request liquidity support from the central bank against eligible collaterals. More frequent open market operations</w:t>
      </w:r>
      <w:r>
        <w:rPr>
          <w:color w:val="000000"/>
          <w:sz w:val="24"/>
        </w:rPr>
        <w:t>—</w:t>
      </w:r>
      <w:r>
        <w:rPr>
          <w:rFonts w:hint="eastAsia"/>
          <w:color w:val="000000"/>
          <w:sz w:val="24"/>
        </w:rPr>
        <w:t>from twice a week to daily</w:t>
      </w:r>
      <w:r>
        <w:rPr>
          <w:color w:val="000000"/>
          <w:sz w:val="24"/>
        </w:rPr>
        <w:t>—</w:t>
      </w:r>
      <w:r>
        <w:rPr>
          <w:rFonts w:hint="eastAsia"/>
          <w:color w:val="000000"/>
          <w:sz w:val="24"/>
        </w:rPr>
        <w:t xml:space="preserve">provide an institutional guarantee for the central bank to timely address liquidity shocks from various sources and </w:t>
      </w:r>
      <w:r>
        <w:rPr>
          <w:color w:val="000000"/>
          <w:sz w:val="24"/>
        </w:rPr>
        <w:t xml:space="preserve">to </w:t>
      </w:r>
      <w:r>
        <w:rPr>
          <w:rFonts w:hint="eastAsia"/>
          <w:color w:val="000000"/>
          <w:sz w:val="24"/>
        </w:rPr>
        <w:t xml:space="preserve">send policy signals to manage and stabilize market expectations. All these developments have weakened the need </w:t>
      </w:r>
      <w:r>
        <w:rPr>
          <w:color w:val="000000"/>
          <w:sz w:val="24"/>
        </w:rPr>
        <w:t>to</w:t>
      </w:r>
      <w:r>
        <w:rPr>
          <w:rFonts w:hint="eastAsia"/>
          <w:color w:val="000000"/>
          <w:sz w:val="24"/>
        </w:rPr>
        <w:t xml:space="preserve"> hold excess reserves for precautionary purposes. Obviously, this trend does not signal a tightening of</w:t>
      </w:r>
      <w:r>
        <w:rPr>
          <w:color w:val="000000"/>
          <w:sz w:val="24"/>
        </w:rPr>
        <w:t xml:space="preserve"> liquidity in the</w:t>
      </w:r>
      <w:r>
        <w:rPr>
          <w:rFonts w:hint="eastAsia"/>
          <w:color w:val="000000"/>
          <w:sz w:val="24"/>
        </w:rPr>
        <w:t xml:space="preserve"> banking system or changes in the monetary policy stance. Moreover, excess reserve ratios in Chinese financial institutions are subject to notable seasonal fluctuations at the end of each quarter and be</w:t>
      </w:r>
      <w:r>
        <w:rPr>
          <w:color w:val="000000"/>
          <w:sz w:val="24"/>
        </w:rPr>
        <w:t>tween</w:t>
      </w:r>
      <w:r>
        <w:rPr>
          <w:rFonts w:hint="eastAsia"/>
          <w:color w:val="000000"/>
          <w:sz w:val="24"/>
        </w:rPr>
        <w:t xml:space="preserve"> different quarters, with the ratios moving up </w:t>
      </w:r>
      <w:r>
        <w:rPr>
          <w:color w:val="000000"/>
          <w:sz w:val="24"/>
        </w:rPr>
        <w:t>at</w:t>
      </w:r>
      <w:r>
        <w:rPr>
          <w:rFonts w:hint="eastAsia"/>
          <w:color w:val="000000"/>
          <w:sz w:val="24"/>
        </w:rPr>
        <w:t xml:space="preserve"> end-June and </w:t>
      </w:r>
      <w:r>
        <w:rPr>
          <w:color w:val="000000"/>
          <w:sz w:val="24"/>
        </w:rPr>
        <w:t xml:space="preserve">at </w:t>
      </w:r>
      <w:r>
        <w:rPr>
          <w:rFonts w:hint="eastAsia"/>
          <w:color w:val="000000"/>
          <w:sz w:val="24"/>
        </w:rPr>
        <w:t>end-December due to regulatory assessment</w:t>
      </w:r>
      <w:r>
        <w:rPr>
          <w:color w:val="000000"/>
          <w:sz w:val="24"/>
        </w:rPr>
        <w:t>s</w:t>
      </w:r>
      <w:r>
        <w:rPr>
          <w:rFonts w:hint="eastAsia"/>
          <w:color w:val="000000"/>
          <w:sz w:val="24"/>
        </w:rPr>
        <w:t xml:space="preserve">, </w:t>
      </w:r>
      <w:r>
        <w:rPr>
          <w:color w:val="000000"/>
          <w:sz w:val="24"/>
        </w:rPr>
        <w:t>ex</w:t>
      </w:r>
      <w:r>
        <w:rPr>
          <w:rFonts w:hint="eastAsia"/>
          <w:color w:val="000000"/>
          <w:sz w:val="24"/>
        </w:rPr>
        <w:t xml:space="preserve">tensive disbursements of fiscal funds, changes in deposits, or </w:t>
      </w:r>
      <w:r>
        <w:rPr>
          <w:color w:val="000000"/>
          <w:sz w:val="24"/>
        </w:rPr>
        <w:t xml:space="preserve">the </w:t>
      </w:r>
      <w:r>
        <w:rPr>
          <w:rFonts w:hint="eastAsia"/>
          <w:color w:val="000000"/>
          <w:sz w:val="24"/>
        </w:rPr>
        <w:t>banks</w:t>
      </w:r>
      <w:r>
        <w:rPr>
          <w:color w:val="000000"/>
          <w:sz w:val="24"/>
        </w:rPr>
        <w:t>’</w:t>
      </w:r>
      <w:r>
        <w:rPr>
          <w:rFonts w:hint="eastAsia"/>
          <w:color w:val="000000"/>
          <w:sz w:val="24"/>
        </w:rPr>
        <w:t xml:space="preserve"> own accounting operations, before they fall back </w:t>
      </w:r>
      <w:r>
        <w:rPr>
          <w:color w:val="000000"/>
          <w:sz w:val="24"/>
        </w:rPr>
        <w:t xml:space="preserve">again </w:t>
      </w:r>
      <w:r>
        <w:rPr>
          <w:rFonts w:hint="eastAsia"/>
          <w:color w:val="000000"/>
          <w:sz w:val="24"/>
        </w:rPr>
        <w:t xml:space="preserve">when the impact of these seasonal factors disappear. This is why simple comparisons of excess reserves ratios at different points of time are </w:t>
      </w:r>
      <w:r>
        <w:rPr>
          <w:color w:val="000000"/>
          <w:sz w:val="24"/>
        </w:rPr>
        <w:t>ill-</w:t>
      </w:r>
      <w:r>
        <w:rPr>
          <w:rFonts w:hint="eastAsia"/>
          <w:color w:val="000000"/>
          <w:sz w:val="24"/>
        </w:rPr>
        <w:t xml:space="preserve">advised. </w:t>
      </w:r>
    </w:p>
    <w:p>
      <w:pPr>
        <w:shd w:val="clear" w:color="auto" w:fill="CCFFCC"/>
        <w:rPr>
          <w:color w:val="000000"/>
          <w:sz w:val="24"/>
        </w:rPr>
      </w:pPr>
    </w:p>
    <w:p>
      <w:pPr>
        <w:rPr>
          <w:rFonts w:eastAsia="仿宋_GB2312"/>
          <w:sz w:val="24"/>
        </w:rPr>
      </w:pPr>
    </w:p>
    <w:p>
      <w:pPr>
        <w:pStyle w:val="3"/>
        <w:keepNext w:val="0"/>
        <w:keepLines/>
        <w:widowControl w:val="0"/>
        <w:numPr>
          <w:ilvl w:val="0"/>
          <w:numId w:val="0"/>
        </w:numPr>
        <w:adjustRightInd w:val="0"/>
        <w:spacing w:before="20" w:after="20" w:line="400" w:lineRule="exact"/>
        <w:jc w:val="left"/>
        <w:rPr>
          <w:rFonts w:eastAsia="宋体"/>
          <w:bCs w:val="0"/>
        </w:rPr>
      </w:pPr>
      <w:bookmarkStart w:id="15" w:name="_Toc484425013"/>
      <w:bookmarkStart w:id="16" w:name="_Toc492904368"/>
      <w:bookmarkStart w:id="17" w:name="_Toc472330058"/>
      <w:bookmarkStart w:id="18" w:name="_Toc464655672"/>
      <w:r>
        <w:rPr>
          <w:rFonts w:eastAsia="黑体"/>
          <w:bCs w:val="0"/>
        </w:rPr>
        <w:t>II. S</w:t>
      </w:r>
      <w:r>
        <w:rPr>
          <w:rFonts w:hint="eastAsia" w:eastAsia="黑体"/>
          <w:bCs w:val="0"/>
        </w:rPr>
        <w:t xml:space="preserve">table </w:t>
      </w:r>
      <w:r>
        <w:rPr>
          <w:rFonts w:eastAsia="黑体"/>
          <w:bCs w:val="0"/>
        </w:rPr>
        <w:t>G</w:t>
      </w:r>
      <w:r>
        <w:rPr>
          <w:rFonts w:hint="eastAsia" w:eastAsia="黑体"/>
          <w:bCs w:val="0"/>
        </w:rPr>
        <w:t>rowth</w:t>
      </w:r>
      <w:r>
        <w:rPr>
          <w:rFonts w:eastAsia="黑体"/>
          <w:bCs w:val="0"/>
        </w:rPr>
        <w:t xml:space="preserve"> of RMB Deposits in Financial Institutions</w:t>
      </w:r>
      <w:bookmarkEnd w:id="15"/>
      <w:bookmarkEnd w:id="16"/>
      <w:r>
        <w:rPr>
          <w:rFonts w:eastAsia="宋体"/>
          <w:bCs w:val="0"/>
        </w:rPr>
        <w:t xml:space="preserve"> </w:t>
      </w:r>
      <w:bookmarkEnd w:id="17"/>
      <w:bookmarkEnd w:id="18"/>
    </w:p>
    <w:p>
      <w:pPr>
        <w:textAlignment w:val="center"/>
        <w:rPr>
          <w:rFonts w:eastAsia="仿宋_GB2312"/>
          <w:sz w:val="24"/>
        </w:rPr>
      </w:pPr>
    </w:p>
    <w:p>
      <w:pPr>
        <w:textAlignment w:val="center"/>
        <w:rPr>
          <w:rFonts w:eastAsia="仿宋_GB2312"/>
          <w:sz w:val="24"/>
        </w:rPr>
      </w:pPr>
      <w:r>
        <w:rPr>
          <w:rFonts w:eastAsia="仿宋_GB2312"/>
          <w:sz w:val="24"/>
        </w:rPr>
        <w:t>At end-</w:t>
      </w:r>
      <w:r>
        <w:rPr>
          <w:rFonts w:hint="eastAsia" w:eastAsia="仿宋_GB2312"/>
          <w:sz w:val="24"/>
        </w:rPr>
        <w:t>June</w:t>
      </w:r>
      <w:r>
        <w:rPr>
          <w:rFonts w:eastAsia="仿宋_GB2312"/>
          <w:sz w:val="24"/>
        </w:rPr>
        <w:t>, outstanding deposits of domestic and foreign currencies in all financial institutions posted RMB 16</w:t>
      </w:r>
      <w:r>
        <w:rPr>
          <w:rFonts w:hint="eastAsia" w:eastAsia="仿宋_GB2312"/>
          <w:sz w:val="24"/>
        </w:rPr>
        <w:t>5</w:t>
      </w:r>
      <w:r>
        <w:rPr>
          <w:rFonts w:eastAsia="仿宋_GB2312"/>
          <w:sz w:val="24"/>
        </w:rPr>
        <w:t xml:space="preserve">.0 trillion, up </w:t>
      </w:r>
      <w:r>
        <w:rPr>
          <w:rFonts w:hint="eastAsia" w:eastAsia="仿宋_GB2312"/>
          <w:sz w:val="24"/>
        </w:rPr>
        <w:t>9</w:t>
      </w:r>
      <w:r>
        <w:rPr>
          <w:rFonts w:eastAsia="仿宋_GB2312"/>
          <w:sz w:val="24"/>
        </w:rPr>
        <w:t>.</w:t>
      </w:r>
      <w:r>
        <w:rPr>
          <w:rFonts w:hint="eastAsia" w:eastAsia="仿宋_GB2312"/>
          <w:sz w:val="24"/>
        </w:rPr>
        <w:t>6</w:t>
      </w:r>
      <w:r>
        <w:rPr>
          <w:rFonts w:eastAsia="仿宋_GB2312"/>
          <w:sz w:val="24"/>
        </w:rPr>
        <w:t xml:space="preserve"> percent year on year and representing a deceleration of </w:t>
      </w:r>
      <w:r>
        <w:rPr>
          <w:rFonts w:hint="eastAsia" w:eastAsia="仿宋_GB2312"/>
          <w:sz w:val="24"/>
        </w:rPr>
        <w:t>1.1</w:t>
      </w:r>
      <w:r>
        <w:rPr>
          <w:rFonts w:eastAsia="仿宋_GB2312"/>
          <w:sz w:val="24"/>
        </w:rPr>
        <w:t xml:space="preserve"> percentage point</w:t>
      </w:r>
      <w:r>
        <w:rPr>
          <w:rFonts w:hint="eastAsia" w:eastAsia="仿宋_GB2312"/>
          <w:sz w:val="24"/>
        </w:rPr>
        <w:t>s</w:t>
      </w:r>
      <w:r>
        <w:rPr>
          <w:rFonts w:eastAsia="仿宋_GB2312"/>
          <w:sz w:val="24"/>
        </w:rPr>
        <w:t xml:space="preserve"> from end-</w:t>
      </w:r>
      <w:r>
        <w:rPr>
          <w:rFonts w:hint="eastAsia" w:eastAsia="仿宋_GB2312"/>
          <w:sz w:val="24"/>
        </w:rPr>
        <w:t>March</w:t>
      </w:r>
      <w:r>
        <w:rPr>
          <w:rFonts w:eastAsia="仿宋_GB2312"/>
          <w:sz w:val="24"/>
        </w:rPr>
        <w:t xml:space="preserve">. This was an increase of RMB </w:t>
      </w:r>
      <w:r>
        <w:rPr>
          <w:rFonts w:hint="eastAsia" w:eastAsia="仿宋_GB2312"/>
          <w:sz w:val="24"/>
        </w:rPr>
        <w:t>9.</w:t>
      </w:r>
      <w:r>
        <w:rPr>
          <w:rFonts w:eastAsia="仿宋_GB2312"/>
          <w:sz w:val="24"/>
        </w:rPr>
        <w:t xml:space="preserve">5 trillion from the beginning of the year, </w:t>
      </w:r>
      <w:r>
        <w:rPr>
          <w:rFonts w:hint="eastAsia" w:eastAsia="仿宋_GB2312"/>
          <w:sz w:val="24"/>
        </w:rPr>
        <w:t>which was</w:t>
      </w:r>
      <w:r>
        <w:rPr>
          <w:rFonts w:eastAsia="仿宋_GB2312"/>
          <w:sz w:val="24"/>
        </w:rPr>
        <w:t xml:space="preserve"> RMB 1.</w:t>
      </w:r>
      <w:r>
        <w:rPr>
          <w:rFonts w:hint="eastAsia" w:eastAsia="仿宋_GB2312"/>
          <w:sz w:val="24"/>
        </w:rPr>
        <w:t>3</w:t>
      </w:r>
      <w:r>
        <w:rPr>
          <w:rFonts w:eastAsia="仿宋_GB2312"/>
          <w:sz w:val="24"/>
        </w:rPr>
        <w:t xml:space="preserve"> </w:t>
      </w:r>
      <w:r>
        <w:rPr>
          <w:rFonts w:hint="eastAsia" w:eastAsia="仿宋_GB2312"/>
          <w:sz w:val="24"/>
        </w:rPr>
        <w:t>tr</w:t>
      </w:r>
      <w:r>
        <w:rPr>
          <w:rFonts w:eastAsia="仿宋_GB2312"/>
          <w:sz w:val="24"/>
        </w:rPr>
        <w:t>illion less than the increase during the same period of the last year. Outstanding RMB deposits registered RMB 15</w:t>
      </w:r>
      <w:r>
        <w:rPr>
          <w:rFonts w:hint="eastAsia" w:eastAsia="仿宋_GB2312"/>
          <w:sz w:val="24"/>
        </w:rPr>
        <w:t>9</w:t>
      </w:r>
      <w:r>
        <w:rPr>
          <w:rFonts w:eastAsia="仿宋_GB2312"/>
          <w:sz w:val="24"/>
        </w:rPr>
        <w:t>.</w:t>
      </w:r>
      <w:r>
        <w:rPr>
          <w:rFonts w:hint="eastAsia" w:eastAsia="仿宋_GB2312"/>
          <w:sz w:val="24"/>
        </w:rPr>
        <w:t>7</w:t>
      </w:r>
      <w:r>
        <w:rPr>
          <w:rFonts w:eastAsia="仿宋_GB2312"/>
          <w:sz w:val="24"/>
        </w:rPr>
        <w:t xml:space="preserve"> trillion, up </w:t>
      </w:r>
      <w:r>
        <w:rPr>
          <w:rFonts w:hint="eastAsia" w:eastAsia="仿宋_GB2312"/>
          <w:sz w:val="24"/>
        </w:rPr>
        <w:t>9.2</w:t>
      </w:r>
      <w:r>
        <w:rPr>
          <w:rFonts w:eastAsia="仿宋_GB2312"/>
          <w:sz w:val="24"/>
        </w:rPr>
        <w:t xml:space="preserve"> percent year on year and representing a deceleration of </w:t>
      </w:r>
      <w:r>
        <w:rPr>
          <w:rFonts w:hint="eastAsia" w:eastAsia="仿宋_GB2312"/>
          <w:sz w:val="24"/>
        </w:rPr>
        <w:t>1.1</w:t>
      </w:r>
      <w:r>
        <w:rPr>
          <w:rFonts w:eastAsia="仿宋_GB2312"/>
          <w:sz w:val="24"/>
        </w:rPr>
        <w:t xml:space="preserve"> percentage points from end</w:t>
      </w:r>
      <w:r>
        <w:rPr>
          <w:rFonts w:hint="eastAsia" w:eastAsia="仿宋_GB2312"/>
          <w:sz w:val="24"/>
        </w:rPr>
        <w:t>-March</w:t>
      </w:r>
      <w:r>
        <w:rPr>
          <w:rFonts w:eastAsia="仿宋_GB2312"/>
          <w:sz w:val="24"/>
        </w:rPr>
        <w:t xml:space="preserve">. This </w:t>
      </w:r>
      <w:r>
        <w:rPr>
          <w:rFonts w:hint="eastAsia" w:eastAsia="仿宋_GB2312"/>
          <w:sz w:val="24"/>
        </w:rPr>
        <w:t>marked</w:t>
      </w:r>
      <w:r>
        <w:rPr>
          <w:rFonts w:eastAsia="仿宋_GB2312"/>
          <w:sz w:val="24"/>
        </w:rPr>
        <w:t xml:space="preserve"> an increase of RMB </w:t>
      </w:r>
      <w:r>
        <w:rPr>
          <w:rFonts w:hint="eastAsia" w:eastAsia="仿宋_GB2312"/>
          <w:sz w:val="24"/>
        </w:rPr>
        <w:t>9</w:t>
      </w:r>
      <w:r>
        <w:rPr>
          <w:rFonts w:eastAsia="仿宋_GB2312"/>
          <w:sz w:val="24"/>
        </w:rPr>
        <w:t>.1 trillion from the beginning of the year</w:t>
      </w:r>
      <w:r>
        <w:rPr>
          <w:rFonts w:hint="eastAsia" w:eastAsia="仿宋_GB2312"/>
          <w:sz w:val="24"/>
        </w:rPr>
        <w:t xml:space="preserve">, </w:t>
      </w:r>
      <w:r>
        <w:rPr>
          <w:rFonts w:eastAsia="仿宋_GB2312"/>
          <w:sz w:val="24"/>
        </w:rPr>
        <w:t xml:space="preserve">or a year-on-year deceleration of RMB </w:t>
      </w:r>
      <w:r>
        <w:rPr>
          <w:rFonts w:hint="eastAsia" w:eastAsia="仿宋_GB2312"/>
          <w:sz w:val="24"/>
        </w:rPr>
        <w:t>1.</w:t>
      </w:r>
      <w:r>
        <w:rPr>
          <w:rFonts w:eastAsia="仿宋_GB2312"/>
          <w:sz w:val="24"/>
        </w:rPr>
        <w:t xml:space="preserve">5 </w:t>
      </w:r>
      <w:r>
        <w:rPr>
          <w:rFonts w:hint="eastAsia" w:eastAsia="仿宋_GB2312"/>
          <w:sz w:val="24"/>
        </w:rPr>
        <w:t>tr</w:t>
      </w:r>
      <w:r>
        <w:rPr>
          <w:rFonts w:eastAsia="仿宋_GB2312"/>
          <w:sz w:val="24"/>
        </w:rPr>
        <w:t>illion. Outstanding deposits in foreign currencies registered USD 7</w:t>
      </w:r>
      <w:r>
        <w:rPr>
          <w:rFonts w:hint="eastAsia" w:eastAsia="仿宋_GB2312"/>
          <w:sz w:val="24"/>
        </w:rPr>
        <w:t>93</w:t>
      </w:r>
      <w:r>
        <w:rPr>
          <w:rFonts w:eastAsia="仿宋_GB2312"/>
          <w:sz w:val="24"/>
        </w:rPr>
        <w:t>.</w:t>
      </w:r>
      <w:r>
        <w:rPr>
          <w:rFonts w:hint="eastAsia" w:eastAsia="仿宋_GB2312"/>
          <w:sz w:val="24"/>
        </w:rPr>
        <w:t>1</w:t>
      </w:r>
      <w:r>
        <w:rPr>
          <w:rFonts w:eastAsia="仿宋_GB2312"/>
          <w:sz w:val="24"/>
        </w:rPr>
        <w:t xml:space="preserve"> billion, which was an increase of USD </w:t>
      </w:r>
      <w:r>
        <w:rPr>
          <w:rFonts w:hint="eastAsia" w:eastAsia="仿宋_GB2312"/>
          <w:sz w:val="24"/>
        </w:rPr>
        <w:t>80.1</w:t>
      </w:r>
      <w:r>
        <w:rPr>
          <w:rFonts w:eastAsia="仿宋_GB2312"/>
          <w:sz w:val="24"/>
        </w:rPr>
        <w:t xml:space="preserve"> billion from the beginning of the year</w:t>
      </w:r>
      <w:r>
        <w:rPr>
          <w:rFonts w:hint="eastAsia" w:eastAsia="仿宋_GB2312"/>
          <w:sz w:val="24"/>
        </w:rPr>
        <w:t>,</w:t>
      </w:r>
      <w:r>
        <w:rPr>
          <w:rFonts w:eastAsia="仿宋_GB2312"/>
          <w:sz w:val="24"/>
        </w:rPr>
        <w:t xml:space="preserve"> representing a year-on-year acceleration of USD 5</w:t>
      </w:r>
      <w:r>
        <w:rPr>
          <w:rFonts w:hint="eastAsia" w:eastAsia="仿宋_GB2312"/>
          <w:sz w:val="24"/>
        </w:rPr>
        <w:t>1.3</w:t>
      </w:r>
      <w:r>
        <w:rPr>
          <w:rFonts w:eastAsia="仿宋_GB2312"/>
          <w:sz w:val="24"/>
        </w:rPr>
        <w:t xml:space="preserve"> billion.</w:t>
      </w:r>
    </w:p>
    <w:p>
      <w:pPr>
        <w:textAlignment w:val="center"/>
        <w:rPr>
          <w:rFonts w:eastAsia="仿宋_GB2312"/>
          <w:sz w:val="24"/>
        </w:rPr>
      </w:pPr>
    </w:p>
    <w:p>
      <w:pPr>
        <w:rPr>
          <w:rFonts w:eastAsia="仿宋_GB2312"/>
          <w:sz w:val="24"/>
        </w:rPr>
      </w:pPr>
      <w:r>
        <w:rPr>
          <w:rFonts w:eastAsia="仿宋_GB2312"/>
          <w:sz w:val="24"/>
        </w:rPr>
        <w:t xml:space="preserve">In terms of the maturities of RMB deposits, </w:t>
      </w:r>
      <w:r>
        <w:rPr>
          <w:rFonts w:hint="eastAsia" w:eastAsia="仿宋_GB2312"/>
          <w:sz w:val="24"/>
        </w:rPr>
        <w:t>demand</w:t>
      </w:r>
      <w:r>
        <w:rPr>
          <w:rFonts w:eastAsia="仿宋_GB2312"/>
          <w:sz w:val="24"/>
        </w:rPr>
        <w:t xml:space="preserve"> deposits constituted a </w:t>
      </w:r>
      <w:r>
        <w:rPr>
          <w:rFonts w:hint="eastAsia" w:eastAsia="仿宋_GB2312"/>
          <w:sz w:val="24"/>
        </w:rPr>
        <w:t>small</w:t>
      </w:r>
      <w:r>
        <w:rPr>
          <w:rFonts w:eastAsia="仿宋_GB2312"/>
          <w:sz w:val="24"/>
        </w:rPr>
        <w:t xml:space="preserve">er share. During the first </w:t>
      </w:r>
      <w:r>
        <w:rPr>
          <w:rFonts w:hint="eastAsia" w:eastAsia="仿宋_GB2312"/>
          <w:sz w:val="24"/>
        </w:rPr>
        <w:t>half</w:t>
      </w:r>
      <w:r>
        <w:rPr>
          <w:rFonts w:eastAsia="仿宋_GB2312"/>
          <w:sz w:val="24"/>
        </w:rPr>
        <w:t xml:space="preserve"> of 2017, </w:t>
      </w:r>
      <w:r>
        <w:rPr>
          <w:rFonts w:hint="eastAsia" w:eastAsia="仿宋_GB2312"/>
          <w:sz w:val="24"/>
        </w:rPr>
        <w:t>demand</w:t>
      </w:r>
      <w:r>
        <w:rPr>
          <w:rFonts w:eastAsia="仿宋_GB2312"/>
          <w:sz w:val="24"/>
        </w:rPr>
        <w:t xml:space="preserve"> deposits accounted for </w:t>
      </w:r>
      <w:r>
        <w:rPr>
          <w:rFonts w:hint="eastAsia" w:eastAsia="仿宋_GB2312"/>
          <w:sz w:val="24"/>
        </w:rPr>
        <w:t>3</w:t>
      </w:r>
      <w:r>
        <w:rPr>
          <w:rFonts w:eastAsia="仿宋_GB2312"/>
          <w:sz w:val="24"/>
        </w:rPr>
        <w:t>2.</w:t>
      </w:r>
      <w:r>
        <w:rPr>
          <w:rFonts w:hint="eastAsia" w:eastAsia="仿宋_GB2312"/>
          <w:sz w:val="24"/>
        </w:rPr>
        <w:t>1</w:t>
      </w:r>
      <w:r>
        <w:rPr>
          <w:rFonts w:eastAsia="仿宋_GB2312"/>
          <w:sz w:val="24"/>
        </w:rPr>
        <w:t xml:space="preserve"> percent of the new deposits </w:t>
      </w:r>
      <w:r>
        <w:rPr>
          <w:rFonts w:hint="eastAsia" w:eastAsia="仿宋_GB2312"/>
          <w:sz w:val="24"/>
        </w:rPr>
        <w:t>by</w:t>
      </w:r>
      <w:r>
        <w:rPr>
          <w:rFonts w:eastAsia="仿宋_GB2312"/>
          <w:sz w:val="24"/>
        </w:rPr>
        <w:t xml:space="preserve"> the household sector and the non-financial corporate sector, </w:t>
      </w:r>
      <w:r>
        <w:rPr>
          <w:rFonts w:hint="eastAsia" w:eastAsia="仿宋_GB2312"/>
          <w:sz w:val="24"/>
        </w:rPr>
        <w:t>down</w:t>
      </w:r>
      <w:r>
        <w:rPr>
          <w:rFonts w:eastAsia="仿宋_GB2312"/>
          <w:sz w:val="24"/>
        </w:rPr>
        <w:t xml:space="preserve"> </w:t>
      </w:r>
      <w:r>
        <w:rPr>
          <w:rFonts w:hint="eastAsia" w:eastAsia="仿宋_GB2312"/>
          <w:sz w:val="24"/>
        </w:rPr>
        <w:t>12.1</w:t>
      </w:r>
      <w:r>
        <w:rPr>
          <w:rFonts w:eastAsia="仿宋_GB2312"/>
          <w:sz w:val="24"/>
        </w:rPr>
        <w:t xml:space="preserve"> percentage points from the same period of the last year. This decrease was </w:t>
      </w:r>
      <w:r>
        <w:rPr>
          <w:rFonts w:hint="eastAsia" w:eastAsia="仿宋_GB2312"/>
          <w:sz w:val="24"/>
        </w:rPr>
        <w:t xml:space="preserve">partly </w:t>
      </w:r>
      <w:r>
        <w:rPr>
          <w:rFonts w:eastAsia="仿宋_GB2312"/>
          <w:sz w:val="24"/>
        </w:rPr>
        <w:t xml:space="preserve">due to fewer </w:t>
      </w:r>
      <w:r>
        <w:rPr>
          <w:rFonts w:hint="eastAsia" w:eastAsia="仿宋_GB2312"/>
          <w:sz w:val="24"/>
        </w:rPr>
        <w:t>issuance</w:t>
      </w:r>
      <w:r>
        <w:rPr>
          <w:rFonts w:eastAsia="仿宋_GB2312"/>
          <w:sz w:val="24"/>
        </w:rPr>
        <w:t>s</w:t>
      </w:r>
      <w:r>
        <w:rPr>
          <w:rFonts w:hint="eastAsia" w:eastAsia="仿宋_GB2312"/>
          <w:sz w:val="24"/>
        </w:rPr>
        <w:t xml:space="preserve"> of local government and corporate bonds, a slowdown in real estate sales</w:t>
      </w:r>
      <w:r>
        <w:rPr>
          <w:rFonts w:eastAsia="仿宋_GB2312"/>
          <w:sz w:val="24"/>
        </w:rPr>
        <w:t>,</w:t>
      </w:r>
      <w:r>
        <w:rPr>
          <w:rFonts w:hint="eastAsia" w:eastAsia="仿宋_GB2312"/>
          <w:sz w:val="24"/>
        </w:rPr>
        <w:t xml:space="preserve"> and a strong base effect</w:t>
      </w:r>
      <w:r>
        <w:rPr>
          <w:rFonts w:eastAsia="仿宋_GB2312"/>
          <w:sz w:val="24"/>
        </w:rPr>
        <w:t>. Broken down by sector, deposits by household</w:t>
      </w:r>
      <w:r>
        <w:rPr>
          <w:rFonts w:hint="eastAsia" w:eastAsia="仿宋_GB2312"/>
          <w:sz w:val="24"/>
        </w:rPr>
        <w:t>s</w:t>
      </w:r>
      <w:r>
        <w:rPr>
          <w:rFonts w:eastAsia="仿宋_GB2312"/>
          <w:sz w:val="24"/>
        </w:rPr>
        <w:t xml:space="preserve"> and non-</w:t>
      </w:r>
      <w:r>
        <w:rPr>
          <w:rFonts w:hint="eastAsia" w:eastAsia="仿宋_GB2312"/>
          <w:sz w:val="24"/>
        </w:rPr>
        <w:t>banking</w:t>
      </w:r>
      <w:r>
        <w:rPr>
          <w:rFonts w:eastAsia="仿宋_GB2312"/>
          <w:sz w:val="24"/>
        </w:rPr>
        <w:t xml:space="preserve"> financial institutions registered an acceleration of RMB 3</w:t>
      </w:r>
      <w:r>
        <w:rPr>
          <w:rFonts w:hint="eastAsia" w:eastAsia="仿宋_GB2312"/>
          <w:sz w:val="24"/>
        </w:rPr>
        <w:t>95.1</w:t>
      </w:r>
      <w:r>
        <w:rPr>
          <w:rFonts w:eastAsia="仿宋_GB2312"/>
          <w:sz w:val="24"/>
        </w:rPr>
        <w:t xml:space="preserve"> billion and RMB </w:t>
      </w:r>
      <w:r>
        <w:rPr>
          <w:rFonts w:hint="eastAsia" w:eastAsia="仿宋_GB2312"/>
          <w:sz w:val="24"/>
        </w:rPr>
        <w:t>605</w:t>
      </w:r>
      <w:r>
        <w:rPr>
          <w:rFonts w:eastAsia="仿宋_GB2312"/>
          <w:sz w:val="24"/>
        </w:rPr>
        <w:t>.2 billion respectively year on year, whereas non-</w:t>
      </w:r>
      <w:r>
        <w:rPr>
          <w:rFonts w:hint="eastAsia" w:eastAsia="仿宋_GB2312"/>
          <w:sz w:val="24"/>
        </w:rPr>
        <w:t>financial</w:t>
      </w:r>
      <w:r>
        <w:rPr>
          <w:rFonts w:eastAsia="仿宋_GB2312"/>
          <w:sz w:val="24"/>
        </w:rPr>
        <w:t xml:space="preserve"> corporate deposits recorded a deceleration of RMB </w:t>
      </w:r>
      <w:r>
        <w:rPr>
          <w:rFonts w:hint="eastAsia" w:eastAsia="仿宋_GB2312"/>
          <w:sz w:val="24"/>
        </w:rPr>
        <w:t>2.1</w:t>
      </w:r>
      <w:r>
        <w:rPr>
          <w:rFonts w:eastAsia="仿宋_GB2312"/>
          <w:sz w:val="24"/>
        </w:rPr>
        <w:t xml:space="preserve"> trillion year on year.</w:t>
      </w:r>
      <w:bookmarkStart w:id="19" w:name="_Toc477878105"/>
      <w:bookmarkStart w:id="20" w:name="_Toc411351810"/>
    </w:p>
    <w:p>
      <w:pPr>
        <w:rPr>
          <w:rFonts w:eastAsia="仿宋_GB2312"/>
          <w:sz w:val="24"/>
        </w:rPr>
      </w:pPr>
    </w:p>
    <w:p>
      <w:pPr>
        <w:keepNext/>
        <w:jc w:val="center"/>
        <w:rPr>
          <w:rFonts w:eastAsia="仿宋_GB2312"/>
          <w:b/>
          <w:sz w:val="24"/>
        </w:rPr>
      </w:pPr>
      <w:bookmarkStart w:id="21" w:name="_Toc492909023"/>
      <w:r>
        <w:rPr>
          <w:rFonts w:eastAsia="仿宋_GB2312"/>
          <w:b/>
          <w:sz w:val="24"/>
        </w:rPr>
        <w:t xml:space="preserve">Table </w:t>
      </w:r>
      <w:r>
        <w:rPr>
          <w:rFonts w:eastAsia="仿宋_GB2312"/>
          <w:b/>
          <w:sz w:val="24"/>
        </w:rPr>
        <w:fldChar w:fldCharType="begin"/>
      </w:r>
      <w:r>
        <w:rPr>
          <w:rFonts w:eastAsia="仿宋_GB2312"/>
          <w:b/>
          <w:sz w:val="24"/>
        </w:rPr>
        <w:instrText xml:space="preserve"> SEQ Table \* ARABIC </w:instrText>
      </w:r>
      <w:r>
        <w:rPr>
          <w:rFonts w:eastAsia="仿宋_GB2312"/>
          <w:b/>
          <w:sz w:val="24"/>
        </w:rPr>
        <w:fldChar w:fldCharType="separate"/>
      </w:r>
      <w:r>
        <w:rPr>
          <w:rFonts w:eastAsia="仿宋_GB2312"/>
          <w:b/>
          <w:sz w:val="24"/>
        </w:rPr>
        <w:t>1</w:t>
      </w:r>
      <w:r>
        <w:rPr>
          <w:rFonts w:eastAsia="仿宋_GB2312"/>
          <w:b/>
          <w:sz w:val="24"/>
        </w:rPr>
        <w:fldChar w:fldCharType="end"/>
      </w:r>
      <w:r>
        <w:rPr>
          <w:rFonts w:eastAsia="仿宋_GB2312"/>
          <w:b/>
          <w:sz w:val="24"/>
        </w:rPr>
        <w:t xml:space="preserve"> Structure of RMB Deposits during the </w:t>
      </w:r>
      <w:r>
        <w:rPr>
          <w:rFonts w:hint="eastAsia" w:eastAsia="仿宋_GB2312"/>
          <w:b/>
          <w:sz w:val="24"/>
        </w:rPr>
        <w:t>First Half of</w:t>
      </w:r>
      <w:r>
        <w:rPr>
          <w:rFonts w:eastAsia="仿宋_GB2312"/>
          <w:b/>
          <w:sz w:val="24"/>
        </w:rPr>
        <w:t xml:space="preserve"> 201</w:t>
      </w:r>
      <w:bookmarkEnd w:id="19"/>
      <w:r>
        <w:rPr>
          <w:rFonts w:eastAsia="仿宋_GB2312"/>
          <w:b/>
          <w:sz w:val="24"/>
        </w:rPr>
        <w:t>7</w:t>
      </w:r>
      <w:bookmarkEnd w:id="21"/>
    </w:p>
    <w:p>
      <w:pPr>
        <w:ind w:right="210"/>
        <w:jc w:val="right"/>
        <w:rPr>
          <w:szCs w:val="21"/>
        </w:rPr>
      </w:pPr>
      <w:r>
        <w:rPr>
          <w:szCs w:val="21"/>
        </w:rPr>
        <w:t>RMB 100 million, %</w:t>
      </w:r>
    </w:p>
    <w:tbl>
      <w:tblPr>
        <w:tblStyle w:val="20"/>
        <w:tblW w:w="8115" w:type="dxa"/>
        <w:jc w:val="center"/>
        <w:tblInd w:w="0" w:type="dxa"/>
        <w:tblLayout w:type="fixed"/>
        <w:tblCellMar>
          <w:top w:w="0" w:type="dxa"/>
          <w:left w:w="0" w:type="dxa"/>
          <w:bottom w:w="0" w:type="dxa"/>
          <w:right w:w="0" w:type="dxa"/>
        </w:tblCellMar>
      </w:tblPr>
      <w:tblGrid>
        <w:gridCol w:w="2552"/>
        <w:gridCol w:w="1134"/>
        <w:gridCol w:w="1134"/>
        <w:gridCol w:w="1417"/>
        <w:gridCol w:w="1878"/>
      </w:tblGrid>
      <w:tr>
        <w:tblPrEx>
          <w:tblLayout w:type="fixed"/>
          <w:tblCellMar>
            <w:top w:w="0" w:type="dxa"/>
            <w:left w:w="0" w:type="dxa"/>
            <w:bottom w:w="0" w:type="dxa"/>
            <w:right w:w="0" w:type="dxa"/>
          </w:tblCellMar>
        </w:tblPrEx>
        <w:trPr>
          <w:trHeight w:val="315" w:hRule="atLeast"/>
          <w:jc w:val="center"/>
        </w:trPr>
        <w:tc>
          <w:tcPr>
            <w:tcW w:w="2552" w:type="dxa"/>
            <w:tcBorders>
              <w:top w:val="single" w:color="339966" w:sz="12" w:space="0"/>
              <w:left w:val="nil"/>
              <w:bottom w:val="single" w:color="339966" w:sz="12" w:space="0"/>
              <w:right w:val="single" w:color="339966" w:sz="4" w:space="0"/>
            </w:tcBorders>
            <w:shd w:val="clear" w:color="auto" w:fill="CCFFCC"/>
            <w:vAlign w:val="center"/>
          </w:tcPr>
          <w:p>
            <w:pPr>
              <w:rPr>
                <w:szCs w:val="21"/>
              </w:rPr>
            </w:pPr>
            <w:r>
              <w:rPr>
                <w:szCs w:val="21"/>
              </w:rPr>
              <w:t>　</w:t>
            </w:r>
          </w:p>
        </w:tc>
        <w:tc>
          <w:tcPr>
            <w:tcW w:w="1134" w:type="dxa"/>
            <w:tcBorders>
              <w:top w:val="single" w:color="339966" w:sz="12" w:space="0"/>
              <w:left w:val="nil"/>
              <w:bottom w:val="single" w:color="339966" w:sz="12" w:space="0"/>
              <w:right w:val="single" w:color="339966" w:sz="6" w:space="0"/>
            </w:tcBorders>
            <w:shd w:val="clear" w:color="auto" w:fill="CCFFCC"/>
            <w:vAlign w:val="center"/>
          </w:tcPr>
          <w:p>
            <w:pPr>
              <w:jc w:val="center"/>
              <w:rPr>
                <w:szCs w:val="21"/>
              </w:rPr>
            </w:pPr>
            <w:r>
              <w:rPr>
                <w:szCs w:val="21"/>
              </w:rPr>
              <w:t>Deposits at end-June</w:t>
            </w:r>
          </w:p>
        </w:tc>
        <w:tc>
          <w:tcPr>
            <w:tcW w:w="1134" w:type="dxa"/>
            <w:tcBorders>
              <w:top w:val="single" w:color="339966" w:sz="12" w:space="0"/>
              <w:left w:val="single" w:color="339966" w:sz="6" w:space="0"/>
              <w:bottom w:val="single" w:color="339966" w:sz="12" w:space="0"/>
              <w:right w:val="single" w:color="339966" w:sz="6" w:space="0"/>
            </w:tcBorders>
            <w:shd w:val="clear" w:color="auto" w:fill="CCFFCC"/>
            <w:vAlign w:val="center"/>
          </w:tcPr>
          <w:p>
            <w:pPr>
              <w:jc w:val="center"/>
              <w:rPr>
                <w:szCs w:val="21"/>
              </w:rPr>
            </w:pPr>
            <w:r>
              <w:rPr>
                <w:szCs w:val="21"/>
              </w:rPr>
              <w:t>YOY growth</w:t>
            </w:r>
          </w:p>
        </w:tc>
        <w:tc>
          <w:tcPr>
            <w:tcW w:w="1417" w:type="dxa"/>
            <w:tcBorders>
              <w:top w:val="single" w:color="339966" w:sz="12" w:space="0"/>
              <w:left w:val="single" w:color="339966" w:sz="6" w:space="0"/>
              <w:bottom w:val="single" w:color="339966" w:sz="12" w:space="0"/>
              <w:right w:val="single" w:color="339966" w:sz="6" w:space="0"/>
            </w:tcBorders>
            <w:shd w:val="clear" w:color="auto" w:fill="CCFFCC"/>
            <w:vAlign w:val="center"/>
          </w:tcPr>
          <w:p>
            <w:pPr>
              <w:jc w:val="center"/>
              <w:rPr>
                <w:szCs w:val="21"/>
              </w:rPr>
            </w:pPr>
            <w:r>
              <w:rPr>
                <w:szCs w:val="21"/>
              </w:rPr>
              <w:t>Increase from the beginning of the year</w:t>
            </w:r>
          </w:p>
        </w:tc>
        <w:tc>
          <w:tcPr>
            <w:tcW w:w="1878" w:type="dxa"/>
            <w:tcBorders>
              <w:top w:val="single" w:color="339966" w:sz="12" w:space="0"/>
              <w:left w:val="single" w:color="339966" w:sz="6" w:space="0"/>
              <w:bottom w:val="single" w:color="339966" w:sz="12" w:space="0"/>
              <w:right w:val="nil"/>
            </w:tcBorders>
            <w:shd w:val="clear" w:color="auto" w:fill="CCFFCC"/>
            <w:vAlign w:val="center"/>
          </w:tcPr>
          <w:p>
            <w:pPr>
              <w:jc w:val="center"/>
              <w:rPr>
                <w:szCs w:val="21"/>
              </w:rPr>
            </w:pPr>
            <w:r>
              <w:rPr>
                <w:szCs w:val="21"/>
              </w:rPr>
              <w:t>Change in the increase from the same period of the last year</w:t>
            </w:r>
          </w:p>
        </w:tc>
      </w:tr>
      <w:tr>
        <w:tblPrEx>
          <w:tblLayout w:type="fixed"/>
          <w:tblCellMar>
            <w:top w:w="0" w:type="dxa"/>
            <w:left w:w="0" w:type="dxa"/>
            <w:bottom w:w="0" w:type="dxa"/>
            <w:right w:w="0" w:type="dxa"/>
          </w:tblCellMar>
        </w:tblPrEx>
        <w:trPr>
          <w:trHeight w:val="300" w:hRule="atLeast"/>
          <w:jc w:val="center"/>
        </w:trPr>
        <w:tc>
          <w:tcPr>
            <w:tcW w:w="2552" w:type="dxa"/>
            <w:tcBorders>
              <w:top w:val="nil"/>
              <w:left w:val="nil"/>
              <w:bottom w:val="nil"/>
              <w:right w:val="single" w:color="339966" w:sz="4" w:space="0"/>
            </w:tcBorders>
            <w:vAlign w:val="center"/>
          </w:tcPr>
          <w:p>
            <w:pPr>
              <w:rPr>
                <w:szCs w:val="21"/>
              </w:rPr>
            </w:pPr>
            <w:r>
              <w:rPr>
                <w:szCs w:val="21"/>
              </w:rPr>
              <w:t>RMB deposits</w:t>
            </w:r>
          </w:p>
        </w:tc>
        <w:tc>
          <w:tcPr>
            <w:tcW w:w="1134" w:type="dxa"/>
            <w:tcBorders>
              <w:top w:val="nil"/>
              <w:left w:val="nil"/>
              <w:bottom w:val="nil"/>
              <w:right w:val="single" w:color="339966" w:sz="6" w:space="0"/>
            </w:tcBorders>
            <w:vAlign w:val="center"/>
          </w:tcPr>
          <w:p>
            <w:pPr>
              <w:ind w:left="2"/>
              <w:jc w:val="right"/>
              <w:rPr>
                <w:szCs w:val="21"/>
              </w:rPr>
            </w:pPr>
            <w:r>
              <w:rPr>
                <w:szCs w:val="21"/>
              </w:rPr>
              <w:t>1,596,636</w:t>
            </w:r>
          </w:p>
        </w:tc>
        <w:tc>
          <w:tcPr>
            <w:tcW w:w="1134" w:type="dxa"/>
            <w:tcBorders>
              <w:top w:val="nil"/>
              <w:left w:val="single" w:color="339966" w:sz="6" w:space="0"/>
              <w:bottom w:val="nil"/>
              <w:right w:val="single" w:color="339966" w:sz="6" w:space="0"/>
            </w:tcBorders>
            <w:vAlign w:val="center"/>
          </w:tcPr>
          <w:p>
            <w:pPr>
              <w:ind w:left="283" w:leftChars="135"/>
              <w:jc w:val="right"/>
              <w:rPr>
                <w:szCs w:val="21"/>
              </w:rPr>
            </w:pPr>
            <w:r>
              <w:rPr>
                <w:szCs w:val="21"/>
              </w:rPr>
              <w:t>9.2%</w:t>
            </w:r>
          </w:p>
        </w:tc>
        <w:tc>
          <w:tcPr>
            <w:tcW w:w="1417" w:type="dxa"/>
            <w:tcBorders>
              <w:top w:val="nil"/>
              <w:left w:val="single" w:color="339966" w:sz="6" w:space="0"/>
              <w:bottom w:val="nil"/>
              <w:right w:val="single" w:color="339966" w:sz="6" w:space="0"/>
            </w:tcBorders>
            <w:vAlign w:val="center"/>
          </w:tcPr>
          <w:p>
            <w:pPr>
              <w:ind w:left="283" w:leftChars="135"/>
              <w:jc w:val="right"/>
              <w:rPr>
                <w:szCs w:val="21"/>
              </w:rPr>
            </w:pPr>
            <w:r>
              <w:rPr>
                <w:szCs w:val="21"/>
              </w:rPr>
              <w:t>90,712</w:t>
            </w:r>
          </w:p>
        </w:tc>
        <w:tc>
          <w:tcPr>
            <w:tcW w:w="1878" w:type="dxa"/>
            <w:tcBorders>
              <w:top w:val="nil"/>
              <w:left w:val="single" w:color="339966" w:sz="6" w:space="0"/>
              <w:bottom w:val="nil"/>
              <w:right w:val="nil"/>
            </w:tcBorders>
            <w:vAlign w:val="center"/>
          </w:tcPr>
          <w:p>
            <w:pPr>
              <w:ind w:left="283" w:leftChars="135"/>
              <w:jc w:val="right"/>
              <w:rPr>
                <w:szCs w:val="21"/>
              </w:rPr>
            </w:pPr>
            <w:r>
              <w:rPr>
                <w:szCs w:val="21"/>
              </w:rPr>
              <w:t>-14,572</w:t>
            </w:r>
          </w:p>
        </w:tc>
      </w:tr>
      <w:tr>
        <w:tblPrEx>
          <w:tblLayout w:type="fixed"/>
          <w:tblCellMar>
            <w:top w:w="0" w:type="dxa"/>
            <w:left w:w="0" w:type="dxa"/>
            <w:bottom w:w="0" w:type="dxa"/>
            <w:right w:w="0" w:type="dxa"/>
          </w:tblCellMar>
        </w:tblPrEx>
        <w:trPr>
          <w:trHeight w:val="285" w:hRule="atLeast"/>
          <w:jc w:val="center"/>
        </w:trPr>
        <w:tc>
          <w:tcPr>
            <w:tcW w:w="2552" w:type="dxa"/>
            <w:tcBorders>
              <w:top w:val="nil"/>
              <w:left w:val="nil"/>
              <w:bottom w:val="nil"/>
              <w:right w:val="single" w:color="339966" w:sz="4" w:space="0"/>
            </w:tcBorders>
            <w:shd w:val="clear" w:color="auto" w:fill="CCFFCC"/>
            <w:vAlign w:val="center"/>
          </w:tcPr>
          <w:p>
            <w:pPr>
              <w:ind w:left="441"/>
              <w:rPr>
                <w:szCs w:val="21"/>
              </w:rPr>
            </w:pPr>
            <w:r>
              <w:rPr>
                <w:szCs w:val="21"/>
              </w:rPr>
              <w:t xml:space="preserve">Households </w:t>
            </w:r>
          </w:p>
        </w:tc>
        <w:tc>
          <w:tcPr>
            <w:tcW w:w="1134" w:type="dxa"/>
            <w:tcBorders>
              <w:top w:val="nil"/>
              <w:left w:val="nil"/>
              <w:bottom w:val="nil"/>
              <w:right w:val="single" w:color="339966" w:sz="6" w:space="0"/>
            </w:tcBorders>
            <w:shd w:val="clear" w:color="auto" w:fill="CCFFCC"/>
            <w:vAlign w:val="center"/>
          </w:tcPr>
          <w:p>
            <w:pPr>
              <w:ind w:left="283" w:leftChars="135"/>
              <w:jc w:val="right"/>
              <w:rPr>
                <w:szCs w:val="21"/>
              </w:rPr>
            </w:pPr>
            <w:r>
              <w:rPr>
                <w:szCs w:val="21"/>
              </w:rPr>
              <w:t>637,138</w:t>
            </w:r>
          </w:p>
        </w:tc>
        <w:tc>
          <w:tcPr>
            <w:tcW w:w="1134" w:type="dxa"/>
            <w:tcBorders>
              <w:top w:val="nil"/>
              <w:left w:val="single" w:color="339966" w:sz="6" w:space="0"/>
              <w:bottom w:val="nil"/>
              <w:right w:val="single" w:color="339966" w:sz="6" w:space="0"/>
            </w:tcBorders>
            <w:shd w:val="clear" w:color="auto" w:fill="CCFFCC"/>
            <w:vAlign w:val="center"/>
          </w:tcPr>
          <w:p>
            <w:pPr>
              <w:ind w:left="283" w:leftChars="135"/>
              <w:jc w:val="right"/>
              <w:rPr>
                <w:szCs w:val="21"/>
              </w:rPr>
            </w:pPr>
            <w:r>
              <w:rPr>
                <w:szCs w:val="21"/>
              </w:rPr>
              <w:t>9.6%</w:t>
            </w:r>
          </w:p>
        </w:tc>
        <w:tc>
          <w:tcPr>
            <w:tcW w:w="1417" w:type="dxa"/>
            <w:tcBorders>
              <w:top w:val="nil"/>
              <w:left w:val="single" w:color="339966" w:sz="6" w:space="0"/>
              <w:bottom w:val="nil"/>
              <w:right w:val="single" w:color="339966" w:sz="6" w:space="0"/>
            </w:tcBorders>
            <w:shd w:val="clear" w:color="auto" w:fill="CCFFCC"/>
            <w:vAlign w:val="center"/>
          </w:tcPr>
          <w:p>
            <w:pPr>
              <w:ind w:left="283" w:leftChars="135"/>
              <w:jc w:val="right"/>
              <w:rPr>
                <w:szCs w:val="21"/>
              </w:rPr>
            </w:pPr>
            <w:r>
              <w:rPr>
                <w:szCs w:val="21"/>
              </w:rPr>
              <w:t>39,355</w:t>
            </w:r>
          </w:p>
        </w:tc>
        <w:tc>
          <w:tcPr>
            <w:tcW w:w="1878" w:type="dxa"/>
            <w:tcBorders>
              <w:top w:val="nil"/>
              <w:left w:val="single" w:color="339966" w:sz="6" w:space="0"/>
              <w:bottom w:val="nil"/>
              <w:right w:val="nil"/>
            </w:tcBorders>
            <w:shd w:val="clear" w:color="auto" w:fill="CCFFCC"/>
            <w:vAlign w:val="center"/>
          </w:tcPr>
          <w:p>
            <w:pPr>
              <w:ind w:left="283" w:leftChars="135"/>
              <w:jc w:val="right"/>
              <w:rPr>
                <w:szCs w:val="21"/>
              </w:rPr>
            </w:pPr>
            <w:r>
              <w:rPr>
                <w:szCs w:val="21"/>
              </w:rPr>
              <w:t>3,951</w:t>
            </w:r>
          </w:p>
        </w:tc>
      </w:tr>
      <w:tr>
        <w:tblPrEx>
          <w:tblLayout w:type="fixed"/>
          <w:tblCellMar>
            <w:top w:w="0" w:type="dxa"/>
            <w:left w:w="0" w:type="dxa"/>
            <w:bottom w:w="0" w:type="dxa"/>
            <w:right w:w="0" w:type="dxa"/>
          </w:tblCellMar>
        </w:tblPrEx>
        <w:trPr>
          <w:trHeight w:val="441" w:hRule="atLeast"/>
          <w:jc w:val="center"/>
        </w:trPr>
        <w:tc>
          <w:tcPr>
            <w:tcW w:w="2552" w:type="dxa"/>
            <w:tcBorders>
              <w:top w:val="nil"/>
              <w:left w:val="nil"/>
              <w:bottom w:val="nil"/>
              <w:right w:val="single" w:color="339966" w:sz="4" w:space="0"/>
            </w:tcBorders>
            <w:vAlign w:val="center"/>
          </w:tcPr>
          <w:p>
            <w:pPr>
              <w:ind w:left="441"/>
              <w:rPr>
                <w:szCs w:val="21"/>
              </w:rPr>
            </w:pPr>
            <w:r>
              <w:rPr>
                <w:szCs w:val="21"/>
              </w:rPr>
              <w:t>Non-financial enterprises</w:t>
            </w:r>
          </w:p>
        </w:tc>
        <w:tc>
          <w:tcPr>
            <w:tcW w:w="1134" w:type="dxa"/>
            <w:tcBorders>
              <w:top w:val="nil"/>
              <w:left w:val="nil"/>
              <w:bottom w:val="nil"/>
              <w:right w:val="single" w:color="339966" w:sz="6" w:space="0"/>
            </w:tcBorders>
            <w:vAlign w:val="center"/>
          </w:tcPr>
          <w:p>
            <w:pPr>
              <w:ind w:left="283" w:leftChars="135"/>
              <w:jc w:val="right"/>
              <w:rPr>
                <w:szCs w:val="21"/>
              </w:rPr>
            </w:pPr>
            <w:r>
              <w:rPr>
                <w:szCs w:val="21"/>
              </w:rPr>
              <w:t>515,971</w:t>
            </w:r>
          </w:p>
        </w:tc>
        <w:tc>
          <w:tcPr>
            <w:tcW w:w="1134" w:type="dxa"/>
            <w:tcBorders>
              <w:top w:val="nil"/>
              <w:left w:val="single" w:color="339966" w:sz="6" w:space="0"/>
              <w:bottom w:val="nil"/>
              <w:right w:val="single" w:color="339966" w:sz="6" w:space="0"/>
            </w:tcBorders>
            <w:vAlign w:val="center"/>
          </w:tcPr>
          <w:p>
            <w:pPr>
              <w:ind w:left="283" w:leftChars="135"/>
              <w:jc w:val="right"/>
              <w:rPr>
                <w:szCs w:val="21"/>
              </w:rPr>
            </w:pPr>
            <w:r>
              <w:rPr>
                <w:szCs w:val="21"/>
              </w:rPr>
              <w:t>10.9%</w:t>
            </w:r>
          </w:p>
        </w:tc>
        <w:tc>
          <w:tcPr>
            <w:tcW w:w="1417" w:type="dxa"/>
            <w:tcBorders>
              <w:top w:val="nil"/>
              <w:left w:val="single" w:color="339966" w:sz="6" w:space="0"/>
              <w:bottom w:val="nil"/>
              <w:right w:val="single" w:color="339966" w:sz="6" w:space="0"/>
            </w:tcBorders>
            <w:vAlign w:val="center"/>
          </w:tcPr>
          <w:p>
            <w:pPr>
              <w:ind w:left="283" w:leftChars="135"/>
              <w:jc w:val="right"/>
              <w:rPr>
                <w:szCs w:val="21"/>
              </w:rPr>
            </w:pPr>
            <w:r>
              <w:rPr>
                <w:szCs w:val="21"/>
              </w:rPr>
              <w:t>14,471</w:t>
            </w:r>
          </w:p>
        </w:tc>
        <w:tc>
          <w:tcPr>
            <w:tcW w:w="1878" w:type="dxa"/>
            <w:tcBorders>
              <w:top w:val="nil"/>
              <w:left w:val="single" w:color="339966" w:sz="6" w:space="0"/>
              <w:bottom w:val="nil"/>
              <w:right w:val="nil"/>
            </w:tcBorders>
            <w:vAlign w:val="center"/>
          </w:tcPr>
          <w:p>
            <w:pPr>
              <w:ind w:left="283" w:leftChars="135"/>
              <w:jc w:val="right"/>
              <w:rPr>
                <w:szCs w:val="21"/>
              </w:rPr>
            </w:pPr>
            <w:r>
              <w:rPr>
                <w:szCs w:val="21"/>
              </w:rPr>
              <w:t>-21,188</w:t>
            </w:r>
          </w:p>
        </w:tc>
      </w:tr>
      <w:tr>
        <w:tblPrEx>
          <w:tblLayout w:type="fixed"/>
          <w:tblCellMar>
            <w:top w:w="0" w:type="dxa"/>
            <w:left w:w="0" w:type="dxa"/>
            <w:bottom w:w="0" w:type="dxa"/>
            <w:right w:w="0" w:type="dxa"/>
          </w:tblCellMar>
        </w:tblPrEx>
        <w:trPr>
          <w:trHeight w:val="315" w:hRule="atLeast"/>
          <w:jc w:val="center"/>
        </w:trPr>
        <w:tc>
          <w:tcPr>
            <w:tcW w:w="2552" w:type="dxa"/>
            <w:tcBorders>
              <w:top w:val="nil"/>
              <w:left w:val="nil"/>
              <w:bottom w:val="nil"/>
              <w:right w:val="single" w:color="339966" w:sz="4" w:space="0"/>
            </w:tcBorders>
            <w:shd w:val="clear" w:color="auto" w:fill="CCFFCC"/>
            <w:vAlign w:val="center"/>
          </w:tcPr>
          <w:p>
            <w:pPr>
              <w:ind w:left="441"/>
              <w:rPr>
                <w:szCs w:val="21"/>
              </w:rPr>
            </w:pPr>
            <w:r>
              <w:rPr>
                <w:szCs w:val="21"/>
              </w:rPr>
              <w:t>Government</w:t>
            </w:r>
          </w:p>
        </w:tc>
        <w:tc>
          <w:tcPr>
            <w:tcW w:w="1134" w:type="dxa"/>
            <w:tcBorders>
              <w:top w:val="nil"/>
              <w:left w:val="nil"/>
              <w:bottom w:val="nil"/>
              <w:right w:val="single" w:color="339966" w:sz="6" w:space="0"/>
            </w:tcBorders>
            <w:shd w:val="clear" w:color="auto" w:fill="CCFFCC"/>
            <w:vAlign w:val="center"/>
          </w:tcPr>
          <w:p>
            <w:pPr>
              <w:ind w:left="283" w:leftChars="135"/>
              <w:jc w:val="right"/>
              <w:rPr>
                <w:szCs w:val="21"/>
              </w:rPr>
            </w:pPr>
            <w:r>
              <w:rPr>
                <w:szCs w:val="21"/>
              </w:rPr>
              <w:t>295,245</w:t>
            </w:r>
          </w:p>
        </w:tc>
        <w:tc>
          <w:tcPr>
            <w:tcW w:w="1134" w:type="dxa"/>
            <w:tcBorders>
              <w:top w:val="nil"/>
              <w:left w:val="single" w:color="339966" w:sz="6" w:space="0"/>
              <w:bottom w:val="nil"/>
              <w:right w:val="single" w:color="339966" w:sz="6" w:space="0"/>
            </w:tcBorders>
            <w:shd w:val="clear" w:color="auto" w:fill="CCFFCC"/>
            <w:vAlign w:val="center"/>
          </w:tcPr>
          <w:p>
            <w:pPr>
              <w:ind w:left="283" w:leftChars="135"/>
              <w:jc w:val="right"/>
              <w:rPr>
                <w:szCs w:val="21"/>
              </w:rPr>
            </w:pPr>
            <w:r>
              <w:rPr>
                <w:szCs w:val="21"/>
              </w:rPr>
              <w:t>8.6%</w:t>
            </w:r>
          </w:p>
        </w:tc>
        <w:tc>
          <w:tcPr>
            <w:tcW w:w="1417" w:type="dxa"/>
            <w:tcBorders>
              <w:top w:val="nil"/>
              <w:left w:val="single" w:color="339966" w:sz="6" w:space="0"/>
              <w:bottom w:val="nil"/>
              <w:right w:val="single" w:color="339966" w:sz="6" w:space="0"/>
            </w:tcBorders>
            <w:shd w:val="clear" w:color="auto" w:fill="CCFFCC"/>
            <w:vAlign w:val="center"/>
          </w:tcPr>
          <w:p>
            <w:pPr>
              <w:ind w:left="283" w:leftChars="135"/>
              <w:jc w:val="right"/>
              <w:rPr>
                <w:szCs w:val="21"/>
              </w:rPr>
            </w:pPr>
            <w:r>
              <w:rPr>
                <w:szCs w:val="21"/>
              </w:rPr>
              <w:t>24,585</w:t>
            </w:r>
          </w:p>
        </w:tc>
        <w:tc>
          <w:tcPr>
            <w:tcW w:w="1878" w:type="dxa"/>
            <w:tcBorders>
              <w:top w:val="nil"/>
              <w:left w:val="single" w:color="339966" w:sz="6" w:space="0"/>
              <w:bottom w:val="nil"/>
              <w:right w:val="nil"/>
            </w:tcBorders>
            <w:shd w:val="clear" w:color="auto" w:fill="CCFFCC"/>
            <w:vAlign w:val="center"/>
          </w:tcPr>
          <w:p>
            <w:pPr>
              <w:ind w:left="283" w:leftChars="135"/>
              <w:jc w:val="right"/>
              <w:rPr>
                <w:szCs w:val="21"/>
              </w:rPr>
            </w:pPr>
            <w:r>
              <w:rPr>
                <w:szCs w:val="21"/>
              </w:rPr>
              <w:t>-4,942</w:t>
            </w:r>
          </w:p>
        </w:tc>
      </w:tr>
      <w:tr>
        <w:tblPrEx>
          <w:tblLayout w:type="fixed"/>
          <w:tblCellMar>
            <w:top w:w="0" w:type="dxa"/>
            <w:left w:w="0" w:type="dxa"/>
            <w:bottom w:w="0" w:type="dxa"/>
            <w:right w:w="0" w:type="dxa"/>
          </w:tblCellMar>
        </w:tblPrEx>
        <w:trPr>
          <w:trHeight w:val="315" w:hRule="atLeast"/>
          <w:jc w:val="center"/>
        </w:trPr>
        <w:tc>
          <w:tcPr>
            <w:tcW w:w="2552" w:type="dxa"/>
            <w:tcBorders>
              <w:top w:val="nil"/>
              <w:left w:val="nil"/>
              <w:bottom w:val="nil"/>
              <w:right w:val="single" w:color="339966" w:sz="4" w:space="0"/>
            </w:tcBorders>
            <w:vAlign w:val="center"/>
          </w:tcPr>
          <w:p>
            <w:pPr>
              <w:ind w:left="442"/>
              <w:rPr>
                <w:szCs w:val="21"/>
              </w:rPr>
            </w:pPr>
            <w:r>
              <w:rPr>
                <w:szCs w:val="21"/>
              </w:rPr>
              <w:t>Non-banking financial</w:t>
            </w:r>
          </w:p>
          <w:p>
            <w:pPr>
              <w:ind w:left="442"/>
              <w:rPr>
                <w:szCs w:val="21"/>
              </w:rPr>
            </w:pPr>
            <w:r>
              <w:rPr>
                <w:szCs w:val="21"/>
              </w:rPr>
              <w:t>institutions</w:t>
            </w:r>
          </w:p>
        </w:tc>
        <w:tc>
          <w:tcPr>
            <w:tcW w:w="1134" w:type="dxa"/>
            <w:tcBorders>
              <w:top w:val="nil"/>
              <w:left w:val="nil"/>
              <w:bottom w:val="nil"/>
              <w:right w:val="single" w:color="339966" w:sz="6" w:space="0"/>
            </w:tcBorders>
            <w:vAlign w:val="center"/>
          </w:tcPr>
          <w:p>
            <w:pPr>
              <w:ind w:left="283" w:leftChars="135"/>
              <w:jc w:val="right"/>
              <w:rPr>
                <w:szCs w:val="21"/>
              </w:rPr>
            </w:pPr>
            <w:r>
              <w:rPr>
                <w:szCs w:val="21"/>
              </w:rPr>
              <w:t>137,624</w:t>
            </w:r>
          </w:p>
        </w:tc>
        <w:tc>
          <w:tcPr>
            <w:tcW w:w="1134" w:type="dxa"/>
            <w:tcBorders>
              <w:top w:val="nil"/>
              <w:left w:val="single" w:color="339966" w:sz="6" w:space="0"/>
              <w:bottom w:val="nil"/>
              <w:right w:val="single" w:color="339966" w:sz="6" w:space="0"/>
            </w:tcBorders>
            <w:vAlign w:val="center"/>
          </w:tcPr>
          <w:p>
            <w:pPr>
              <w:ind w:left="283" w:leftChars="135"/>
              <w:jc w:val="right"/>
              <w:rPr>
                <w:szCs w:val="21"/>
              </w:rPr>
            </w:pPr>
            <w:r>
              <w:rPr>
                <w:szCs w:val="21"/>
              </w:rPr>
              <w:t>4.3%</w:t>
            </w:r>
          </w:p>
        </w:tc>
        <w:tc>
          <w:tcPr>
            <w:tcW w:w="1417" w:type="dxa"/>
            <w:tcBorders>
              <w:top w:val="nil"/>
              <w:left w:val="single" w:color="339966" w:sz="6" w:space="0"/>
              <w:bottom w:val="nil"/>
              <w:right w:val="single" w:color="339966" w:sz="6" w:space="0"/>
            </w:tcBorders>
            <w:vAlign w:val="center"/>
          </w:tcPr>
          <w:p>
            <w:pPr>
              <w:ind w:left="283" w:leftChars="135"/>
              <w:jc w:val="right"/>
              <w:rPr>
                <w:szCs w:val="21"/>
              </w:rPr>
            </w:pPr>
            <w:r>
              <w:rPr>
                <w:szCs w:val="21"/>
              </w:rPr>
              <w:t>10,341</w:t>
            </w:r>
          </w:p>
        </w:tc>
        <w:tc>
          <w:tcPr>
            <w:tcW w:w="1878" w:type="dxa"/>
            <w:tcBorders>
              <w:top w:val="nil"/>
              <w:left w:val="single" w:color="339966" w:sz="6" w:space="0"/>
              <w:bottom w:val="nil"/>
              <w:right w:val="nil"/>
            </w:tcBorders>
            <w:vAlign w:val="center"/>
          </w:tcPr>
          <w:p>
            <w:pPr>
              <w:keepNext/>
              <w:ind w:left="283" w:leftChars="135"/>
              <w:jc w:val="right"/>
              <w:rPr>
                <w:szCs w:val="21"/>
              </w:rPr>
            </w:pPr>
            <w:r>
              <w:rPr>
                <w:szCs w:val="21"/>
              </w:rPr>
              <w:t>6,052</w:t>
            </w:r>
          </w:p>
        </w:tc>
      </w:tr>
      <w:tr>
        <w:tblPrEx>
          <w:tblLayout w:type="fixed"/>
          <w:tblCellMar>
            <w:top w:w="0" w:type="dxa"/>
            <w:left w:w="0" w:type="dxa"/>
            <w:bottom w:w="0" w:type="dxa"/>
            <w:right w:w="0" w:type="dxa"/>
          </w:tblCellMar>
        </w:tblPrEx>
        <w:trPr>
          <w:trHeight w:val="315" w:hRule="atLeast"/>
          <w:jc w:val="center"/>
        </w:trPr>
        <w:tc>
          <w:tcPr>
            <w:tcW w:w="2552" w:type="dxa"/>
            <w:tcBorders>
              <w:top w:val="nil"/>
              <w:left w:val="nil"/>
              <w:bottom w:val="single" w:color="339966" w:sz="12" w:space="0"/>
              <w:right w:val="single" w:color="339966" w:sz="4" w:space="0"/>
            </w:tcBorders>
            <w:shd w:val="clear" w:color="auto" w:fill="CCFFCC"/>
            <w:vAlign w:val="center"/>
          </w:tcPr>
          <w:p>
            <w:pPr>
              <w:ind w:left="441"/>
              <w:rPr>
                <w:szCs w:val="21"/>
              </w:rPr>
            </w:pPr>
            <w:r>
              <w:rPr>
                <w:szCs w:val="21"/>
              </w:rPr>
              <w:t>Overseas</w:t>
            </w:r>
          </w:p>
        </w:tc>
        <w:tc>
          <w:tcPr>
            <w:tcW w:w="1134" w:type="dxa"/>
            <w:tcBorders>
              <w:top w:val="nil"/>
              <w:left w:val="nil"/>
              <w:bottom w:val="single" w:color="339966" w:sz="12" w:space="0"/>
              <w:right w:val="single" w:color="339966" w:sz="6" w:space="0"/>
            </w:tcBorders>
            <w:shd w:val="clear" w:color="auto" w:fill="CCFFCC"/>
            <w:vAlign w:val="center"/>
          </w:tcPr>
          <w:p>
            <w:pPr>
              <w:ind w:left="283" w:leftChars="135"/>
              <w:jc w:val="right"/>
              <w:rPr>
                <w:szCs w:val="21"/>
              </w:rPr>
            </w:pPr>
            <w:r>
              <w:rPr>
                <w:szCs w:val="21"/>
              </w:rPr>
              <w:t>10,657</w:t>
            </w:r>
          </w:p>
        </w:tc>
        <w:tc>
          <w:tcPr>
            <w:tcW w:w="1134" w:type="dxa"/>
            <w:tcBorders>
              <w:top w:val="nil"/>
              <w:left w:val="single" w:color="339966" w:sz="6" w:space="0"/>
              <w:bottom w:val="single" w:color="339966" w:sz="12" w:space="0"/>
              <w:right w:val="single" w:color="339966" w:sz="6" w:space="0"/>
            </w:tcBorders>
            <w:shd w:val="clear" w:color="auto" w:fill="CCFFCC"/>
            <w:vAlign w:val="center"/>
          </w:tcPr>
          <w:p>
            <w:pPr>
              <w:ind w:left="283" w:leftChars="135"/>
              <w:jc w:val="right"/>
              <w:rPr>
                <w:szCs w:val="21"/>
              </w:rPr>
            </w:pPr>
            <w:r>
              <w:rPr>
                <w:szCs w:val="21"/>
              </w:rPr>
              <w:t>-8.5%</w:t>
            </w:r>
          </w:p>
        </w:tc>
        <w:tc>
          <w:tcPr>
            <w:tcW w:w="1417" w:type="dxa"/>
            <w:tcBorders>
              <w:top w:val="nil"/>
              <w:left w:val="single" w:color="339966" w:sz="6" w:space="0"/>
              <w:bottom w:val="single" w:color="339966" w:sz="12" w:space="0"/>
              <w:right w:val="single" w:color="339966" w:sz="6" w:space="0"/>
            </w:tcBorders>
            <w:shd w:val="clear" w:color="auto" w:fill="CCFFCC"/>
            <w:vAlign w:val="center"/>
          </w:tcPr>
          <w:p>
            <w:pPr>
              <w:ind w:left="283" w:leftChars="135"/>
              <w:jc w:val="right"/>
              <w:rPr>
                <w:szCs w:val="21"/>
              </w:rPr>
            </w:pPr>
            <w:r>
              <w:rPr>
                <w:szCs w:val="21"/>
              </w:rPr>
              <w:t>1,959</w:t>
            </w:r>
          </w:p>
        </w:tc>
        <w:tc>
          <w:tcPr>
            <w:tcW w:w="1878" w:type="dxa"/>
            <w:tcBorders>
              <w:top w:val="nil"/>
              <w:left w:val="single" w:color="339966" w:sz="6" w:space="0"/>
              <w:bottom w:val="single" w:color="339966" w:sz="12" w:space="0"/>
              <w:right w:val="nil"/>
            </w:tcBorders>
            <w:shd w:val="clear" w:color="auto" w:fill="CCFFCC"/>
            <w:vAlign w:val="center"/>
          </w:tcPr>
          <w:p>
            <w:pPr>
              <w:keepNext/>
              <w:ind w:left="283" w:leftChars="135"/>
              <w:jc w:val="right"/>
              <w:rPr>
                <w:szCs w:val="21"/>
              </w:rPr>
            </w:pPr>
            <w:r>
              <w:rPr>
                <w:szCs w:val="21"/>
              </w:rPr>
              <w:t>1,554</w:t>
            </w:r>
          </w:p>
        </w:tc>
      </w:tr>
    </w:tbl>
    <w:p>
      <w:pPr>
        <w:pStyle w:val="33"/>
        <w:spacing w:line="240" w:lineRule="auto"/>
        <w:ind w:firstLine="0" w:firstLineChars="0"/>
        <w:rPr>
          <w:rFonts w:ascii="Times New Roman" w:hAnsi="Times New Roman" w:eastAsia="楷体_GB2312"/>
          <w:sz w:val="21"/>
          <w:szCs w:val="21"/>
        </w:rPr>
      </w:pPr>
      <w:r>
        <w:rPr>
          <w:rFonts w:ascii="Times New Roman" w:hAnsi="Times New Roman" w:eastAsia="楷体_GB2312"/>
          <w:sz w:val="21"/>
          <w:szCs w:val="21"/>
        </w:rPr>
        <w:t xml:space="preserve">Source: People’s Bank of China </w:t>
      </w:r>
    </w:p>
    <w:p/>
    <w:p>
      <w:pPr>
        <w:pStyle w:val="3"/>
        <w:keepNext w:val="0"/>
        <w:numPr>
          <w:ilvl w:val="0"/>
          <w:numId w:val="0"/>
        </w:numPr>
        <w:spacing w:line="400" w:lineRule="exact"/>
        <w:jc w:val="both"/>
        <w:rPr>
          <w:rFonts w:eastAsia="黑体"/>
          <w:bCs w:val="0"/>
        </w:rPr>
      </w:pPr>
      <w:bookmarkStart w:id="22" w:name="_Toc423005885"/>
      <w:bookmarkStart w:id="23" w:name="_Toc472330059"/>
      <w:bookmarkStart w:id="24" w:name="_Toc464655673"/>
      <w:bookmarkStart w:id="25" w:name="_Toc477878076"/>
      <w:bookmarkStart w:id="26" w:name="_Toc484425014"/>
    </w:p>
    <w:p>
      <w:pPr>
        <w:pStyle w:val="3"/>
        <w:keepNext w:val="0"/>
        <w:numPr>
          <w:ilvl w:val="0"/>
          <w:numId w:val="0"/>
        </w:numPr>
        <w:spacing w:line="400" w:lineRule="exact"/>
        <w:jc w:val="both"/>
        <w:rPr>
          <w:rFonts w:eastAsia="黑体"/>
          <w:bCs w:val="0"/>
        </w:rPr>
      </w:pPr>
      <w:bookmarkStart w:id="27" w:name="_Toc492904369"/>
      <w:r>
        <w:rPr>
          <w:rFonts w:eastAsia="黑体"/>
          <w:bCs w:val="0"/>
        </w:rPr>
        <w:t xml:space="preserve">III. </w:t>
      </w:r>
      <w:bookmarkEnd w:id="20"/>
      <w:bookmarkEnd w:id="22"/>
      <w:bookmarkEnd w:id="23"/>
      <w:bookmarkEnd w:id="24"/>
      <w:bookmarkEnd w:id="25"/>
      <w:r>
        <w:rPr>
          <w:rFonts w:eastAsia="黑体"/>
          <w:bCs w:val="0"/>
        </w:rPr>
        <w:t>Rapid Growth in Lending by Financial Institutions</w:t>
      </w:r>
      <w:bookmarkEnd w:id="26"/>
      <w:bookmarkEnd w:id="27"/>
      <w:r>
        <w:rPr>
          <w:rFonts w:eastAsia="黑体"/>
          <w:bCs w:val="0"/>
        </w:rPr>
        <w:t xml:space="preserve"> </w:t>
      </w:r>
    </w:p>
    <w:p>
      <w:pPr>
        <w:textAlignment w:val="center"/>
        <w:rPr>
          <w:rFonts w:eastAsia="仿宋_GB2312"/>
          <w:sz w:val="24"/>
        </w:rPr>
      </w:pPr>
      <w:r>
        <w:rPr>
          <w:rFonts w:eastAsia="仿宋_GB2312"/>
          <w:sz w:val="24"/>
        </w:rPr>
        <w:t xml:space="preserve">At the end of </w:t>
      </w:r>
      <w:r>
        <w:rPr>
          <w:rFonts w:hint="eastAsia" w:eastAsia="仿宋_GB2312"/>
          <w:sz w:val="24"/>
        </w:rPr>
        <w:t>June</w:t>
      </w:r>
      <w:r>
        <w:rPr>
          <w:rFonts w:eastAsia="仿宋_GB2312"/>
          <w:sz w:val="24"/>
        </w:rPr>
        <w:t>, outstanding loans in domestic and foreign currencies of all financial institutions posted RMB 1</w:t>
      </w:r>
      <w:r>
        <w:rPr>
          <w:rFonts w:hint="eastAsia" w:eastAsia="仿宋_GB2312"/>
          <w:sz w:val="24"/>
        </w:rPr>
        <w:t>20.2</w:t>
      </w:r>
      <w:r>
        <w:rPr>
          <w:rFonts w:eastAsia="仿宋_GB2312"/>
          <w:sz w:val="24"/>
        </w:rPr>
        <w:t xml:space="preserve"> trillion, up 12.</w:t>
      </w:r>
      <w:r>
        <w:rPr>
          <w:rFonts w:hint="eastAsia" w:eastAsia="仿宋_GB2312"/>
          <w:sz w:val="24"/>
        </w:rPr>
        <w:t>7</w:t>
      </w:r>
      <w:r>
        <w:rPr>
          <w:rFonts w:eastAsia="仿宋_GB2312"/>
          <w:sz w:val="24"/>
        </w:rPr>
        <w:t xml:space="preserve"> percent year on year and representing a</w:t>
      </w:r>
      <w:r>
        <w:rPr>
          <w:rFonts w:hint="eastAsia" w:eastAsia="仿宋_GB2312"/>
          <w:sz w:val="24"/>
        </w:rPr>
        <w:t>n</w:t>
      </w:r>
      <w:r>
        <w:rPr>
          <w:rFonts w:eastAsia="仿宋_GB2312"/>
          <w:sz w:val="24"/>
        </w:rPr>
        <w:t xml:space="preserve"> </w:t>
      </w:r>
      <w:r>
        <w:rPr>
          <w:rFonts w:hint="eastAsia" w:eastAsia="仿宋_GB2312"/>
          <w:sz w:val="24"/>
        </w:rPr>
        <w:t>ac</w:t>
      </w:r>
      <w:r>
        <w:rPr>
          <w:rFonts w:eastAsia="仿宋_GB2312"/>
          <w:sz w:val="24"/>
        </w:rPr>
        <w:t>celeration of 0.</w:t>
      </w:r>
      <w:r>
        <w:rPr>
          <w:rFonts w:hint="eastAsia" w:eastAsia="仿宋_GB2312"/>
          <w:sz w:val="24"/>
        </w:rPr>
        <w:t>4</w:t>
      </w:r>
      <w:r>
        <w:rPr>
          <w:rFonts w:eastAsia="仿宋_GB2312"/>
          <w:sz w:val="24"/>
        </w:rPr>
        <w:t xml:space="preserve"> percentage point from end</w:t>
      </w:r>
      <w:r>
        <w:rPr>
          <w:rFonts w:hint="eastAsia" w:eastAsia="仿宋_GB2312"/>
          <w:sz w:val="24"/>
        </w:rPr>
        <w:t>-March</w:t>
      </w:r>
      <w:r>
        <w:rPr>
          <w:rFonts w:eastAsia="仿宋_GB2312"/>
          <w:sz w:val="24"/>
        </w:rPr>
        <w:t xml:space="preserve">. This was an increase of RMB </w:t>
      </w:r>
      <w:r>
        <w:rPr>
          <w:rFonts w:hint="eastAsia" w:eastAsia="仿宋_GB2312"/>
          <w:sz w:val="24"/>
        </w:rPr>
        <w:t>8.2</w:t>
      </w:r>
      <w:r>
        <w:rPr>
          <w:rFonts w:eastAsia="仿宋_GB2312"/>
          <w:sz w:val="24"/>
        </w:rPr>
        <w:t xml:space="preserve"> trillion from the beginning of the year</w:t>
      </w:r>
      <w:r>
        <w:rPr>
          <w:rFonts w:hint="eastAsia" w:eastAsia="仿宋_GB2312"/>
          <w:sz w:val="24"/>
        </w:rPr>
        <w:t>,</w:t>
      </w:r>
      <w:r>
        <w:rPr>
          <w:rFonts w:eastAsia="仿宋_GB2312"/>
          <w:sz w:val="24"/>
        </w:rPr>
        <w:t xml:space="preserve"> </w:t>
      </w:r>
      <w:r>
        <w:rPr>
          <w:rFonts w:hint="eastAsia" w:eastAsia="仿宋_GB2312"/>
          <w:sz w:val="24"/>
        </w:rPr>
        <w:t>which was</w:t>
      </w:r>
      <w:r>
        <w:rPr>
          <w:rFonts w:eastAsia="仿宋_GB2312"/>
          <w:sz w:val="24"/>
        </w:rPr>
        <w:t xml:space="preserve"> RMB </w:t>
      </w:r>
      <w:r>
        <w:rPr>
          <w:rFonts w:hint="eastAsia" w:eastAsia="仿宋_GB2312"/>
          <w:sz w:val="24"/>
        </w:rPr>
        <w:t>811.8</w:t>
      </w:r>
      <w:r>
        <w:rPr>
          <w:rFonts w:eastAsia="仿宋_GB2312"/>
          <w:sz w:val="24"/>
        </w:rPr>
        <w:t xml:space="preserve"> billion more than the increase during the same period of the last year. As of end-June, outstanding RMB loans stood at RMB 11</w:t>
      </w:r>
      <w:r>
        <w:rPr>
          <w:rFonts w:hint="eastAsia" w:eastAsia="仿宋_GB2312"/>
          <w:sz w:val="24"/>
        </w:rPr>
        <w:t>4</w:t>
      </w:r>
      <w:r>
        <w:rPr>
          <w:rFonts w:eastAsia="仿宋_GB2312"/>
          <w:sz w:val="24"/>
        </w:rPr>
        <w:t>.</w:t>
      </w:r>
      <w:r>
        <w:rPr>
          <w:rFonts w:hint="eastAsia" w:eastAsia="仿宋_GB2312"/>
          <w:sz w:val="24"/>
        </w:rPr>
        <w:t>6</w:t>
      </w:r>
      <w:r>
        <w:rPr>
          <w:rFonts w:eastAsia="仿宋_GB2312"/>
          <w:sz w:val="24"/>
        </w:rPr>
        <w:t xml:space="preserve"> trillion,</w:t>
      </w:r>
      <w:r>
        <w:rPr>
          <w:rFonts w:hint="eastAsia" w:eastAsia="仿宋_GB2312"/>
          <w:sz w:val="24"/>
        </w:rPr>
        <w:t xml:space="preserve"> which </w:t>
      </w:r>
      <w:r>
        <w:rPr>
          <w:rFonts w:eastAsia="仿宋_GB2312"/>
          <w:sz w:val="24"/>
        </w:rPr>
        <w:t>represented year</w:t>
      </w:r>
      <w:r>
        <w:rPr>
          <w:rFonts w:hint="eastAsia" w:eastAsia="仿宋_GB2312"/>
          <w:sz w:val="24"/>
        </w:rPr>
        <w:t>-</w:t>
      </w:r>
      <w:r>
        <w:rPr>
          <w:rFonts w:eastAsia="仿宋_GB2312"/>
          <w:sz w:val="24"/>
        </w:rPr>
        <w:t>on</w:t>
      </w:r>
      <w:r>
        <w:rPr>
          <w:rFonts w:hint="eastAsia" w:eastAsia="仿宋_GB2312"/>
          <w:sz w:val="24"/>
        </w:rPr>
        <w:t>-</w:t>
      </w:r>
      <w:r>
        <w:rPr>
          <w:rFonts w:eastAsia="仿宋_GB2312"/>
          <w:sz w:val="24"/>
        </w:rPr>
        <w:t>year growth of 12.9 percent</w:t>
      </w:r>
      <w:r>
        <w:rPr>
          <w:rFonts w:hint="eastAsia" w:eastAsia="仿宋_GB2312"/>
          <w:sz w:val="24"/>
        </w:rPr>
        <w:t>,</w:t>
      </w:r>
      <w:r>
        <w:rPr>
          <w:rFonts w:eastAsia="仿宋_GB2312"/>
          <w:sz w:val="24"/>
        </w:rPr>
        <w:t xml:space="preserve"> a</w:t>
      </w:r>
      <w:r>
        <w:rPr>
          <w:rFonts w:hint="eastAsia" w:eastAsia="仿宋_GB2312"/>
          <w:sz w:val="24"/>
        </w:rPr>
        <w:t>n</w:t>
      </w:r>
      <w:r>
        <w:rPr>
          <w:rFonts w:eastAsia="仿宋_GB2312"/>
          <w:sz w:val="24"/>
        </w:rPr>
        <w:t xml:space="preserve"> </w:t>
      </w:r>
      <w:r>
        <w:rPr>
          <w:rFonts w:hint="eastAsia" w:eastAsia="仿宋_GB2312"/>
          <w:sz w:val="24"/>
        </w:rPr>
        <w:t>ac</w:t>
      </w:r>
      <w:r>
        <w:rPr>
          <w:rFonts w:eastAsia="仿宋_GB2312"/>
          <w:sz w:val="24"/>
        </w:rPr>
        <w:t xml:space="preserve">celeration of </w:t>
      </w:r>
      <w:r>
        <w:rPr>
          <w:rFonts w:hint="eastAsia" w:eastAsia="仿宋_GB2312"/>
          <w:sz w:val="24"/>
        </w:rPr>
        <w:t>0.5</w:t>
      </w:r>
      <w:r>
        <w:rPr>
          <w:rFonts w:eastAsia="仿宋_GB2312"/>
          <w:sz w:val="24"/>
        </w:rPr>
        <w:t xml:space="preserve"> percentage point from end</w:t>
      </w:r>
      <w:r>
        <w:rPr>
          <w:rFonts w:hint="eastAsia" w:eastAsia="仿宋_GB2312"/>
          <w:sz w:val="24"/>
        </w:rPr>
        <w:t>-March</w:t>
      </w:r>
      <w:r>
        <w:rPr>
          <w:rFonts w:eastAsia="仿宋_GB2312"/>
          <w:sz w:val="24"/>
        </w:rPr>
        <w:t xml:space="preserve">. This was an increase of RMB </w:t>
      </w:r>
      <w:r>
        <w:rPr>
          <w:rFonts w:hint="eastAsia" w:eastAsia="仿宋_GB2312"/>
          <w:sz w:val="24"/>
        </w:rPr>
        <w:t>7,967.8</w:t>
      </w:r>
      <w:r>
        <w:rPr>
          <w:rFonts w:eastAsia="仿宋_GB2312"/>
          <w:sz w:val="24"/>
        </w:rPr>
        <w:t xml:space="preserve"> </w:t>
      </w:r>
      <w:r>
        <w:rPr>
          <w:rFonts w:hint="eastAsia" w:eastAsia="仿宋_GB2312"/>
          <w:sz w:val="24"/>
        </w:rPr>
        <w:t>b</w:t>
      </w:r>
      <w:r>
        <w:rPr>
          <w:rFonts w:eastAsia="仿宋_GB2312"/>
          <w:sz w:val="24"/>
        </w:rPr>
        <w:t>illion from the beginning of the year and a</w:t>
      </w:r>
      <w:r>
        <w:rPr>
          <w:rFonts w:hint="eastAsia" w:eastAsia="仿宋_GB2312"/>
          <w:sz w:val="24"/>
        </w:rPr>
        <w:t>n ac</w:t>
      </w:r>
      <w:r>
        <w:rPr>
          <w:rFonts w:eastAsia="仿宋_GB2312"/>
          <w:sz w:val="24"/>
        </w:rPr>
        <w:t xml:space="preserve">celeration of RMB </w:t>
      </w:r>
      <w:r>
        <w:rPr>
          <w:rFonts w:hint="eastAsia" w:eastAsia="仿宋_GB2312"/>
          <w:sz w:val="24"/>
        </w:rPr>
        <w:t>43</w:t>
      </w:r>
      <w:r>
        <w:rPr>
          <w:rFonts w:eastAsia="仿宋_GB2312"/>
          <w:sz w:val="24"/>
        </w:rPr>
        <w:t>6</w:t>
      </w:r>
      <w:r>
        <w:rPr>
          <w:rFonts w:hint="eastAsia" w:eastAsia="仿宋_GB2312"/>
          <w:sz w:val="24"/>
        </w:rPr>
        <w:t>.2</w:t>
      </w:r>
      <w:r>
        <w:rPr>
          <w:rFonts w:eastAsia="仿宋_GB2312"/>
          <w:sz w:val="24"/>
        </w:rPr>
        <w:t xml:space="preserve"> billion year on year. </w:t>
      </w:r>
      <w:r>
        <w:rPr>
          <w:rFonts w:hint="eastAsia" w:eastAsia="仿宋_GB2312"/>
          <w:sz w:val="24"/>
        </w:rPr>
        <w:t>Monthly</w:t>
      </w:r>
      <w:r>
        <w:rPr>
          <w:rFonts w:eastAsia="仿宋_GB2312"/>
          <w:sz w:val="24"/>
        </w:rPr>
        <w:t xml:space="preserve"> increase</w:t>
      </w:r>
      <w:r>
        <w:rPr>
          <w:rFonts w:hint="eastAsia" w:eastAsia="仿宋_GB2312"/>
          <w:sz w:val="24"/>
        </w:rPr>
        <w:t>s</w:t>
      </w:r>
      <w:r>
        <w:rPr>
          <w:rFonts w:eastAsia="仿宋_GB2312"/>
          <w:sz w:val="24"/>
        </w:rPr>
        <w:t xml:space="preserve"> </w:t>
      </w:r>
      <w:r>
        <w:rPr>
          <w:rFonts w:hint="eastAsia" w:eastAsia="仿宋_GB2312"/>
          <w:sz w:val="24"/>
        </w:rPr>
        <w:t>in</w:t>
      </w:r>
      <w:r>
        <w:rPr>
          <w:rFonts w:eastAsia="仿宋_GB2312"/>
          <w:sz w:val="24"/>
        </w:rPr>
        <w:t xml:space="preserve"> </w:t>
      </w:r>
      <w:r>
        <w:rPr>
          <w:rFonts w:hint="eastAsia" w:eastAsia="仿宋_GB2312"/>
          <w:sz w:val="24"/>
        </w:rPr>
        <w:t>lending</w:t>
      </w:r>
      <w:r>
        <w:rPr>
          <w:rFonts w:eastAsia="仿宋_GB2312"/>
          <w:sz w:val="24"/>
        </w:rPr>
        <w:t xml:space="preserve"> </w:t>
      </w:r>
      <w:r>
        <w:rPr>
          <w:rFonts w:hint="eastAsia" w:eastAsia="仿宋_GB2312"/>
          <w:sz w:val="24"/>
        </w:rPr>
        <w:t xml:space="preserve">have been exceeding RMB 1 trillion </w:t>
      </w:r>
      <w:r>
        <w:rPr>
          <w:rFonts w:eastAsia="仿宋_GB2312"/>
          <w:sz w:val="24"/>
        </w:rPr>
        <w:t>since the beginning of</w:t>
      </w:r>
      <w:r>
        <w:rPr>
          <w:rFonts w:hint="eastAsia" w:eastAsia="仿宋_GB2312"/>
          <w:sz w:val="24"/>
        </w:rPr>
        <w:t xml:space="preserve"> 2017, with loans extended </w:t>
      </w:r>
      <w:r>
        <w:rPr>
          <w:rFonts w:eastAsia="仿宋_GB2312"/>
          <w:sz w:val="24"/>
        </w:rPr>
        <w:t>during</w:t>
      </w:r>
      <w:r>
        <w:rPr>
          <w:rFonts w:hint="eastAsia" w:eastAsia="仿宋_GB2312"/>
          <w:sz w:val="24"/>
        </w:rPr>
        <w:t xml:space="preserve"> the first half of the year and in June reaching record levels </w:t>
      </w:r>
      <w:r>
        <w:rPr>
          <w:rFonts w:eastAsia="仿宋_GB2312"/>
          <w:sz w:val="24"/>
        </w:rPr>
        <w:t xml:space="preserve">as </w:t>
      </w:r>
      <w:r>
        <w:rPr>
          <w:rFonts w:hint="eastAsia" w:eastAsia="仿宋_GB2312"/>
          <w:sz w:val="24"/>
        </w:rPr>
        <w:t>compared with</w:t>
      </w:r>
      <w:r>
        <w:rPr>
          <w:rFonts w:eastAsia="仿宋_GB2312"/>
          <w:sz w:val="24"/>
        </w:rPr>
        <w:t xml:space="preserve"> the highest levels in history during</w:t>
      </w:r>
      <w:r>
        <w:rPr>
          <w:rFonts w:hint="eastAsia" w:eastAsia="仿宋_GB2312"/>
          <w:sz w:val="24"/>
        </w:rPr>
        <w:t xml:space="preserve"> the same periods</w:t>
      </w:r>
      <w:r>
        <w:rPr>
          <w:rFonts w:eastAsia="仿宋_GB2312"/>
          <w:sz w:val="24"/>
        </w:rPr>
        <w:t>.</w:t>
      </w:r>
      <w:r>
        <w:rPr>
          <w:rFonts w:hint="eastAsia" w:eastAsia="仿宋_GB2312"/>
          <w:sz w:val="24"/>
        </w:rPr>
        <w:t xml:space="preserve"> Actual increase</w:t>
      </w:r>
      <w:r>
        <w:rPr>
          <w:rFonts w:eastAsia="仿宋_GB2312"/>
          <w:sz w:val="24"/>
        </w:rPr>
        <w:t>s</w:t>
      </w:r>
      <w:r>
        <w:rPr>
          <w:rFonts w:hint="eastAsia" w:eastAsia="仿宋_GB2312"/>
          <w:sz w:val="24"/>
        </w:rPr>
        <w:t xml:space="preserve"> </w:t>
      </w:r>
      <w:r>
        <w:rPr>
          <w:rFonts w:eastAsia="仿宋_GB2312"/>
          <w:sz w:val="24"/>
        </w:rPr>
        <w:t>in loans are</w:t>
      </w:r>
      <w:r>
        <w:rPr>
          <w:rFonts w:hint="eastAsia" w:eastAsia="仿宋_GB2312"/>
          <w:sz w:val="24"/>
        </w:rPr>
        <w:t xml:space="preserve"> even stronger if swaps of </w:t>
      </w:r>
      <w:r>
        <w:rPr>
          <w:rFonts w:eastAsia="仿宋_GB2312"/>
          <w:sz w:val="24"/>
        </w:rPr>
        <w:t xml:space="preserve">the debt stock of </w:t>
      </w:r>
      <w:r>
        <w:rPr>
          <w:rFonts w:hint="eastAsia" w:eastAsia="仿宋_GB2312"/>
          <w:sz w:val="24"/>
        </w:rPr>
        <w:t>local governments</w:t>
      </w:r>
      <w:r>
        <w:rPr>
          <w:rFonts w:eastAsia="仿宋_GB2312"/>
          <w:sz w:val="24"/>
        </w:rPr>
        <w:t xml:space="preserve"> are </w:t>
      </w:r>
      <w:r>
        <w:rPr>
          <w:rFonts w:hint="eastAsia" w:eastAsia="仿宋_GB2312"/>
          <w:sz w:val="24"/>
        </w:rPr>
        <w:t xml:space="preserve">taken into consideration. </w:t>
      </w:r>
    </w:p>
    <w:p>
      <w:pPr>
        <w:textAlignment w:val="center"/>
        <w:rPr>
          <w:rFonts w:eastAsia="仿宋_GB2312"/>
          <w:sz w:val="24"/>
        </w:rPr>
      </w:pPr>
    </w:p>
    <w:p>
      <w:pPr>
        <w:textAlignment w:val="center"/>
        <w:rPr>
          <w:rFonts w:eastAsia="仿宋_GB2312"/>
          <w:sz w:val="24"/>
        </w:rPr>
      </w:pPr>
      <w:r>
        <w:rPr>
          <w:rFonts w:eastAsia="仿宋_GB2312"/>
          <w:sz w:val="24"/>
        </w:rPr>
        <w:t xml:space="preserve">In terms of maturities, the share of new medium- and long-term RMB loans </w:t>
      </w:r>
      <w:r>
        <w:rPr>
          <w:rFonts w:hint="eastAsia" w:eastAsia="仿宋_GB2312"/>
          <w:sz w:val="24"/>
        </w:rPr>
        <w:t xml:space="preserve">expanded. </w:t>
      </w:r>
      <w:r>
        <w:rPr>
          <w:rFonts w:eastAsia="仿宋_GB2312"/>
          <w:sz w:val="24"/>
        </w:rPr>
        <w:t xml:space="preserve">These loans increased by RMB </w:t>
      </w:r>
      <w:r>
        <w:rPr>
          <w:rFonts w:hint="eastAsia" w:eastAsia="仿宋_GB2312"/>
          <w:sz w:val="24"/>
        </w:rPr>
        <w:t>7</w:t>
      </w:r>
      <w:r>
        <w:rPr>
          <w:rFonts w:eastAsia="仿宋_GB2312"/>
          <w:sz w:val="24"/>
        </w:rPr>
        <w:t xml:space="preserve">.1 trillion from the beginning of the year, </w:t>
      </w:r>
      <w:r>
        <w:rPr>
          <w:rFonts w:hint="eastAsia" w:eastAsia="仿宋_GB2312"/>
          <w:sz w:val="24"/>
        </w:rPr>
        <w:t xml:space="preserve">which represented </w:t>
      </w:r>
      <w:r>
        <w:rPr>
          <w:rFonts w:eastAsia="仿宋_GB2312"/>
          <w:sz w:val="24"/>
        </w:rPr>
        <w:t xml:space="preserve">an acceleration of RMB </w:t>
      </w:r>
      <w:r>
        <w:rPr>
          <w:rFonts w:hint="eastAsia" w:eastAsia="仿宋_GB2312"/>
          <w:sz w:val="24"/>
        </w:rPr>
        <w:t>1.</w:t>
      </w:r>
      <w:r>
        <w:rPr>
          <w:rFonts w:eastAsia="仿宋_GB2312"/>
          <w:sz w:val="24"/>
        </w:rPr>
        <w:t xml:space="preserve">9 </w:t>
      </w:r>
      <w:r>
        <w:rPr>
          <w:rFonts w:hint="eastAsia" w:eastAsia="仿宋_GB2312"/>
          <w:sz w:val="24"/>
        </w:rPr>
        <w:t>tr</w:t>
      </w:r>
      <w:r>
        <w:rPr>
          <w:rFonts w:eastAsia="仿宋_GB2312"/>
          <w:sz w:val="24"/>
        </w:rPr>
        <w:t>illion year on year</w:t>
      </w:r>
      <w:r>
        <w:rPr>
          <w:rFonts w:hint="eastAsia" w:eastAsia="仿宋_GB2312"/>
          <w:sz w:val="24"/>
        </w:rPr>
        <w:t xml:space="preserve"> and accounted for</w:t>
      </w:r>
      <w:r>
        <w:rPr>
          <w:rFonts w:eastAsia="仿宋_GB2312"/>
          <w:sz w:val="24"/>
        </w:rPr>
        <w:t xml:space="preserve"> </w:t>
      </w:r>
      <w:r>
        <w:rPr>
          <w:rFonts w:hint="eastAsia" w:eastAsia="仿宋_GB2312"/>
          <w:sz w:val="24"/>
        </w:rPr>
        <w:t>88.9 percent of</w:t>
      </w:r>
      <w:r>
        <w:rPr>
          <w:rFonts w:eastAsia="仿宋_GB2312"/>
          <w:sz w:val="24"/>
        </w:rPr>
        <w:t xml:space="preserve"> the total new loans, up </w:t>
      </w:r>
      <w:r>
        <w:rPr>
          <w:rFonts w:hint="eastAsia" w:eastAsia="仿宋_GB2312"/>
          <w:sz w:val="24"/>
        </w:rPr>
        <w:t>19.8</w:t>
      </w:r>
      <w:r>
        <w:rPr>
          <w:rFonts w:eastAsia="仿宋_GB2312"/>
          <w:sz w:val="24"/>
        </w:rPr>
        <w:t xml:space="preserve"> percent</w:t>
      </w:r>
      <w:r>
        <w:rPr>
          <w:rFonts w:hint="eastAsia" w:eastAsia="仿宋_GB2312"/>
          <w:sz w:val="24"/>
        </w:rPr>
        <w:t>age points</w:t>
      </w:r>
      <w:r>
        <w:rPr>
          <w:rFonts w:eastAsia="仿宋_GB2312"/>
          <w:sz w:val="24"/>
        </w:rPr>
        <w:t xml:space="preserve"> over the same period of the last year. There was a </w:t>
      </w:r>
      <w:r>
        <w:rPr>
          <w:rFonts w:hint="eastAsia" w:eastAsia="仿宋_GB2312"/>
          <w:sz w:val="24"/>
        </w:rPr>
        <w:t>notable</w:t>
      </w:r>
      <w:r>
        <w:rPr>
          <w:rFonts w:eastAsia="仿宋_GB2312"/>
          <w:sz w:val="24"/>
        </w:rPr>
        <w:t xml:space="preserve"> </w:t>
      </w:r>
      <w:r>
        <w:rPr>
          <w:rFonts w:hint="eastAsia" w:eastAsia="仿宋_GB2312"/>
          <w:sz w:val="24"/>
        </w:rPr>
        <w:t>slowdown</w:t>
      </w:r>
      <w:r>
        <w:rPr>
          <w:rFonts w:eastAsia="仿宋_GB2312"/>
          <w:sz w:val="24"/>
        </w:rPr>
        <w:t xml:space="preserve"> in medium- and long-term l</w:t>
      </w:r>
      <w:r>
        <w:rPr>
          <w:rFonts w:hint="eastAsia" w:eastAsia="仿宋_GB2312"/>
          <w:sz w:val="24"/>
        </w:rPr>
        <w:t>ending</w:t>
      </w:r>
      <w:r>
        <w:rPr>
          <w:rFonts w:eastAsia="仿宋_GB2312"/>
          <w:sz w:val="24"/>
        </w:rPr>
        <w:t xml:space="preserve"> to overcapacity industries. Broken down by sectors, loans to the household sector </w:t>
      </w:r>
      <w:r>
        <w:rPr>
          <w:rFonts w:hint="eastAsia" w:eastAsia="仿宋_GB2312"/>
          <w:sz w:val="24"/>
        </w:rPr>
        <w:t>moderated from their high levels, growing</w:t>
      </w:r>
      <w:r>
        <w:rPr>
          <w:rFonts w:eastAsia="仿宋_GB2312"/>
          <w:sz w:val="24"/>
        </w:rPr>
        <w:t xml:space="preserve"> 2</w:t>
      </w:r>
      <w:r>
        <w:rPr>
          <w:rFonts w:hint="eastAsia" w:eastAsia="仿宋_GB2312"/>
          <w:sz w:val="24"/>
        </w:rPr>
        <w:t>3</w:t>
      </w:r>
      <w:r>
        <w:rPr>
          <w:rFonts w:eastAsia="仿宋_GB2312"/>
          <w:sz w:val="24"/>
        </w:rPr>
        <w:t>.</w:t>
      </w:r>
      <w:r>
        <w:rPr>
          <w:rFonts w:hint="eastAsia" w:eastAsia="仿宋_GB2312"/>
          <w:sz w:val="24"/>
        </w:rPr>
        <w:t>9</w:t>
      </w:r>
      <w:r>
        <w:rPr>
          <w:rFonts w:eastAsia="仿宋_GB2312"/>
          <w:sz w:val="24"/>
        </w:rPr>
        <w:t xml:space="preserve"> percent at end-</w:t>
      </w:r>
      <w:r>
        <w:rPr>
          <w:rFonts w:hint="eastAsia" w:eastAsia="仿宋_GB2312"/>
          <w:sz w:val="24"/>
        </w:rPr>
        <w:t>June</w:t>
      </w:r>
      <w:r>
        <w:rPr>
          <w:rFonts w:eastAsia="仿宋_GB2312"/>
          <w:sz w:val="24"/>
        </w:rPr>
        <w:t xml:space="preserve">, which was </w:t>
      </w:r>
      <w:r>
        <w:rPr>
          <w:rFonts w:hint="eastAsia" w:eastAsia="仿宋_GB2312"/>
          <w:sz w:val="24"/>
        </w:rPr>
        <w:t>0.7</w:t>
      </w:r>
      <w:r>
        <w:rPr>
          <w:rFonts w:eastAsia="仿宋_GB2312"/>
          <w:sz w:val="24"/>
        </w:rPr>
        <w:t xml:space="preserve"> percentage point </w:t>
      </w:r>
      <w:r>
        <w:rPr>
          <w:rFonts w:hint="eastAsia" w:eastAsia="仿宋_GB2312"/>
          <w:sz w:val="24"/>
        </w:rPr>
        <w:t>lower</w:t>
      </w:r>
      <w:r>
        <w:rPr>
          <w:rFonts w:eastAsia="仿宋_GB2312"/>
          <w:sz w:val="24"/>
        </w:rPr>
        <w:t xml:space="preserve"> than the growth at end-</w:t>
      </w:r>
      <w:r>
        <w:rPr>
          <w:rFonts w:hint="eastAsia" w:eastAsia="仿宋_GB2312"/>
          <w:sz w:val="24"/>
        </w:rPr>
        <w:t>March</w:t>
      </w:r>
      <w:r>
        <w:rPr>
          <w:rFonts w:eastAsia="仿宋_GB2312"/>
          <w:sz w:val="24"/>
        </w:rPr>
        <w:t xml:space="preserve">. Among this total, mortgage loans slowed </w:t>
      </w:r>
      <w:r>
        <w:rPr>
          <w:rFonts w:hint="eastAsia" w:eastAsia="仿宋_GB2312"/>
          <w:sz w:val="24"/>
        </w:rPr>
        <w:t>down to</w:t>
      </w:r>
      <w:r>
        <w:rPr>
          <w:rFonts w:eastAsia="仿宋_GB2312"/>
          <w:sz w:val="24"/>
        </w:rPr>
        <w:t xml:space="preserve"> </w:t>
      </w:r>
      <w:r>
        <w:rPr>
          <w:rFonts w:hint="eastAsia" w:eastAsia="仿宋_GB2312"/>
          <w:sz w:val="24"/>
        </w:rPr>
        <w:t>30.8 percent at end-June, down 6 percentage points from the</w:t>
      </w:r>
      <w:r>
        <w:rPr>
          <w:rFonts w:eastAsia="仿宋_GB2312"/>
          <w:sz w:val="24"/>
        </w:rPr>
        <w:t>ir</w:t>
      </w:r>
      <w:r>
        <w:rPr>
          <w:rFonts w:hint="eastAsia" w:eastAsia="仿宋_GB2312"/>
          <w:sz w:val="24"/>
        </w:rPr>
        <w:t xml:space="preserve"> highest level in 2017. Continued moderation in year-on-year monthly mortgage growth since March led to smaller mortgage lending of RMB 2.2 trillion in the first half of the year, which represented a deceleration of RMB 70.8 billion year on year and accounted for a lower share</w:t>
      </w:r>
      <w:r>
        <w:rPr>
          <w:rFonts w:eastAsia="仿宋_GB2312"/>
          <w:sz w:val="24"/>
        </w:rPr>
        <w:t xml:space="preserve"> of the total new lending, at</w:t>
      </w:r>
      <w:r>
        <w:rPr>
          <w:rFonts w:hint="eastAsia" w:eastAsia="仿宋_GB2312"/>
          <w:sz w:val="24"/>
        </w:rPr>
        <w:t xml:space="preserve"> 27.8 percent, down</w:t>
      </w:r>
      <w:r>
        <w:rPr>
          <w:rFonts w:eastAsia="仿宋_GB2312"/>
          <w:sz w:val="24"/>
        </w:rPr>
        <w:t xml:space="preserve"> by</w:t>
      </w:r>
      <w:r>
        <w:rPr>
          <w:rFonts w:hint="eastAsia" w:eastAsia="仿宋_GB2312"/>
          <w:sz w:val="24"/>
        </w:rPr>
        <w:t xml:space="preserve"> 2.6 percentage points from the same period of </w:t>
      </w:r>
      <w:r>
        <w:rPr>
          <w:rFonts w:eastAsia="仿宋_GB2312"/>
          <w:sz w:val="24"/>
        </w:rPr>
        <w:t xml:space="preserve">the </w:t>
      </w:r>
      <w:r>
        <w:rPr>
          <w:rFonts w:hint="eastAsia" w:eastAsia="仿宋_GB2312"/>
          <w:sz w:val="24"/>
        </w:rPr>
        <w:t xml:space="preserve">last year. </w:t>
      </w:r>
      <w:r>
        <w:rPr>
          <w:rFonts w:eastAsia="仿宋_GB2312"/>
          <w:sz w:val="24"/>
        </w:rPr>
        <w:t>L</w:t>
      </w:r>
      <w:r>
        <w:rPr>
          <w:rFonts w:hint="eastAsia" w:eastAsia="仿宋_GB2312"/>
          <w:sz w:val="24"/>
        </w:rPr>
        <w:t>ending</w:t>
      </w:r>
      <w:r>
        <w:rPr>
          <w:rFonts w:eastAsia="仿宋_GB2312"/>
          <w:sz w:val="24"/>
        </w:rPr>
        <w:t xml:space="preserve"> to non-financial enterprises and government departments and organizations increased by RMB </w:t>
      </w:r>
      <w:r>
        <w:rPr>
          <w:rFonts w:hint="eastAsia" w:eastAsia="仿宋_GB2312"/>
          <w:sz w:val="24"/>
        </w:rPr>
        <w:t>4.4</w:t>
      </w:r>
      <w:r>
        <w:rPr>
          <w:rFonts w:eastAsia="仿宋_GB2312"/>
          <w:sz w:val="24"/>
        </w:rPr>
        <w:t xml:space="preserve"> trillion from the beginning of th</w:t>
      </w:r>
      <w:r>
        <w:rPr>
          <w:rFonts w:hint="eastAsia" w:eastAsia="仿宋_GB2312"/>
          <w:sz w:val="24"/>
        </w:rPr>
        <w:t>e</w:t>
      </w:r>
      <w:r>
        <w:rPr>
          <w:rFonts w:eastAsia="仿宋_GB2312"/>
          <w:sz w:val="24"/>
        </w:rPr>
        <w:t xml:space="preserve"> year</w:t>
      </w:r>
      <w:r>
        <w:rPr>
          <w:rFonts w:hint="eastAsia" w:eastAsia="仿宋_GB2312"/>
          <w:sz w:val="24"/>
        </w:rPr>
        <w:t xml:space="preserve">. </w:t>
      </w:r>
      <w:r>
        <w:rPr>
          <w:rFonts w:eastAsia="仿宋_GB2312"/>
          <w:sz w:val="24"/>
        </w:rPr>
        <w:t>O</w:t>
      </w:r>
      <w:r>
        <w:rPr>
          <w:rFonts w:hint="eastAsia" w:eastAsia="仿宋_GB2312"/>
          <w:sz w:val="24"/>
        </w:rPr>
        <w:t xml:space="preserve">n a monthly basis, it grew </w:t>
      </w:r>
      <w:r>
        <w:rPr>
          <w:rFonts w:eastAsia="仿宋_GB2312"/>
          <w:sz w:val="24"/>
        </w:rPr>
        <w:t xml:space="preserve">by </w:t>
      </w:r>
      <w:r>
        <w:rPr>
          <w:rFonts w:hint="eastAsia" w:eastAsia="仿宋_GB2312"/>
          <w:sz w:val="24"/>
        </w:rPr>
        <w:t xml:space="preserve">RMB 508.7 billion, </w:t>
      </w:r>
      <w:r>
        <w:rPr>
          <w:rFonts w:eastAsia="仿宋_GB2312"/>
          <w:sz w:val="24"/>
        </w:rPr>
        <w:t xml:space="preserve"> RMB </w:t>
      </w:r>
      <w:r>
        <w:rPr>
          <w:rFonts w:hint="eastAsia" w:eastAsia="仿宋_GB2312"/>
          <w:sz w:val="24"/>
        </w:rPr>
        <w:t>566.1 billion</w:t>
      </w:r>
      <w:r>
        <w:rPr>
          <w:rFonts w:eastAsia="仿宋_GB2312"/>
          <w:sz w:val="24"/>
        </w:rPr>
        <w:t>,</w:t>
      </w:r>
      <w:r>
        <w:rPr>
          <w:rFonts w:hint="eastAsia" w:eastAsia="仿宋_GB2312"/>
          <w:sz w:val="24"/>
        </w:rPr>
        <w:t xml:space="preserve"> and </w:t>
      </w:r>
      <w:r>
        <w:rPr>
          <w:rFonts w:eastAsia="仿宋_GB2312"/>
          <w:sz w:val="24"/>
        </w:rPr>
        <w:t xml:space="preserve">RMB </w:t>
      </w:r>
      <w:r>
        <w:rPr>
          <w:rFonts w:hint="eastAsia" w:eastAsia="仿宋_GB2312"/>
          <w:sz w:val="24"/>
        </w:rPr>
        <w:t>700.4 billion in April, May</w:t>
      </w:r>
      <w:r>
        <w:rPr>
          <w:rFonts w:eastAsia="仿宋_GB2312"/>
          <w:sz w:val="24"/>
        </w:rPr>
        <w:t>,</w:t>
      </w:r>
      <w:r>
        <w:rPr>
          <w:rFonts w:hint="eastAsia" w:eastAsia="仿宋_GB2312"/>
          <w:sz w:val="24"/>
        </w:rPr>
        <w:t xml:space="preserve"> and June respectively, represent</w:t>
      </w:r>
      <w:r>
        <w:rPr>
          <w:rFonts w:eastAsia="仿宋_GB2312"/>
          <w:sz w:val="24"/>
        </w:rPr>
        <w:t xml:space="preserve">ing </w:t>
      </w:r>
      <w:r>
        <w:rPr>
          <w:rFonts w:hint="eastAsia" w:eastAsia="仿宋_GB2312"/>
          <w:sz w:val="24"/>
        </w:rPr>
        <w:t>year-on-year acceleration</w:t>
      </w:r>
      <w:r>
        <w:rPr>
          <w:rFonts w:eastAsia="仿宋_GB2312"/>
          <w:sz w:val="24"/>
        </w:rPr>
        <w:t>s</w:t>
      </w:r>
      <w:r>
        <w:rPr>
          <w:rFonts w:hint="eastAsia" w:eastAsia="仿宋_GB2312"/>
          <w:sz w:val="24"/>
        </w:rPr>
        <w:t xml:space="preserve"> of RMB 367.2 billion, </w:t>
      </w:r>
      <w:r>
        <w:rPr>
          <w:rFonts w:eastAsia="仿宋_GB2312"/>
          <w:sz w:val="24"/>
        </w:rPr>
        <w:t xml:space="preserve">RMB </w:t>
      </w:r>
      <w:r>
        <w:rPr>
          <w:rFonts w:hint="eastAsia" w:eastAsia="仿宋_GB2312"/>
          <w:sz w:val="24"/>
        </w:rPr>
        <w:t>206.4 billion</w:t>
      </w:r>
      <w:r>
        <w:rPr>
          <w:rFonts w:eastAsia="仿宋_GB2312"/>
          <w:sz w:val="24"/>
        </w:rPr>
        <w:t>,</w:t>
      </w:r>
      <w:r>
        <w:rPr>
          <w:rFonts w:hint="eastAsia" w:eastAsia="仿宋_GB2312"/>
          <w:sz w:val="24"/>
        </w:rPr>
        <w:t xml:space="preserve"> and </w:t>
      </w:r>
      <w:r>
        <w:rPr>
          <w:rFonts w:eastAsia="仿宋_GB2312"/>
          <w:sz w:val="24"/>
        </w:rPr>
        <w:t xml:space="preserve">RMB </w:t>
      </w:r>
      <w:r>
        <w:rPr>
          <w:rFonts w:hint="eastAsia" w:eastAsia="仿宋_GB2312"/>
          <w:sz w:val="24"/>
        </w:rPr>
        <w:t xml:space="preserve">91.4 billion. </w:t>
      </w:r>
      <w:r>
        <w:rPr>
          <w:rFonts w:eastAsia="仿宋_GB2312"/>
          <w:sz w:val="24"/>
        </w:rPr>
        <w:t>Broken down by the type of institution</w:t>
      </w:r>
      <w:r>
        <w:rPr>
          <w:rFonts w:hint="eastAsia" w:eastAsia="仿宋_GB2312"/>
          <w:sz w:val="24"/>
        </w:rPr>
        <w:t>s</w:t>
      </w:r>
      <w:r>
        <w:rPr>
          <w:rFonts w:eastAsia="仿宋_GB2312"/>
          <w:sz w:val="24"/>
        </w:rPr>
        <w:t>, Chinese-funded small- and</w:t>
      </w:r>
      <w:r>
        <w:rPr>
          <w:rFonts w:hint="eastAsia" w:eastAsia="仿宋_GB2312"/>
          <w:sz w:val="24"/>
        </w:rPr>
        <w:t xml:space="preserve"> </w:t>
      </w:r>
      <w:r>
        <w:rPr>
          <w:rFonts w:eastAsia="仿宋_GB2312"/>
          <w:sz w:val="24"/>
        </w:rPr>
        <w:t>medium-sized banks</w:t>
      </w:r>
      <w:r>
        <w:rPr>
          <w:rFonts w:hint="eastAsia" w:eastAsia="仿宋_GB2312"/>
          <w:sz w:val="24"/>
        </w:rPr>
        <w:t xml:space="preserve"> and</w:t>
      </w:r>
      <w:r>
        <w:rPr>
          <w:rFonts w:eastAsia="仿宋_GB2312"/>
          <w:sz w:val="24"/>
        </w:rPr>
        <w:t xml:space="preserve"> small rural financial institutions saw the </w:t>
      </w:r>
      <w:r>
        <w:rPr>
          <w:rFonts w:hint="eastAsia" w:eastAsia="仿宋_GB2312"/>
          <w:sz w:val="24"/>
        </w:rPr>
        <w:t>strongest</w:t>
      </w:r>
      <w:r>
        <w:rPr>
          <w:rFonts w:eastAsia="仿宋_GB2312"/>
          <w:sz w:val="24"/>
        </w:rPr>
        <w:t xml:space="preserve"> acceleration in l</w:t>
      </w:r>
      <w:r>
        <w:rPr>
          <w:rFonts w:hint="eastAsia" w:eastAsia="仿宋_GB2312"/>
          <w:sz w:val="24"/>
        </w:rPr>
        <w:t xml:space="preserve">ending </w:t>
      </w:r>
      <w:r>
        <w:rPr>
          <w:rFonts w:eastAsia="仿宋_GB2312"/>
          <w:sz w:val="24"/>
        </w:rPr>
        <w:t>growth</w:t>
      </w:r>
      <w:r>
        <w:rPr>
          <w:rFonts w:hint="eastAsia" w:eastAsia="仿宋_GB2312"/>
          <w:sz w:val="24"/>
        </w:rPr>
        <w:t xml:space="preserve"> </w:t>
      </w:r>
      <w:r>
        <w:rPr>
          <w:rFonts w:eastAsia="仿宋_GB2312"/>
          <w:sz w:val="24"/>
        </w:rPr>
        <w:t>on a year-on-year basis.</w:t>
      </w:r>
    </w:p>
    <w:p>
      <w:pPr>
        <w:textAlignment w:val="center"/>
        <w:rPr>
          <w:rFonts w:eastAsia="仿宋_GB2312"/>
          <w:sz w:val="24"/>
        </w:rPr>
      </w:pPr>
    </w:p>
    <w:p>
      <w:pPr>
        <w:keepNext/>
        <w:jc w:val="center"/>
        <w:rPr>
          <w:rFonts w:eastAsia="仿宋_GB2312"/>
          <w:b/>
          <w:sz w:val="24"/>
        </w:rPr>
      </w:pPr>
      <w:bookmarkStart w:id="28" w:name="_Toc492909024"/>
      <w:r>
        <w:rPr>
          <w:b/>
        </w:rPr>
        <w:t xml:space="preserve">Table </w:t>
      </w:r>
      <w:r>
        <w:rPr>
          <w:b/>
        </w:rPr>
        <w:fldChar w:fldCharType="begin"/>
      </w:r>
      <w:r>
        <w:rPr>
          <w:b/>
        </w:rPr>
        <w:instrText xml:space="preserve"> SEQ Table \* ARABIC </w:instrText>
      </w:r>
      <w:r>
        <w:rPr>
          <w:b/>
        </w:rPr>
        <w:fldChar w:fldCharType="separate"/>
      </w:r>
      <w:r>
        <w:rPr>
          <w:b/>
        </w:rPr>
        <w:t>2</w:t>
      </w:r>
      <w:r>
        <w:rPr>
          <w:b/>
        </w:rPr>
        <w:fldChar w:fldCharType="end"/>
      </w:r>
      <w:r>
        <w:rPr>
          <w:b/>
          <w:sz w:val="24"/>
        </w:rPr>
        <w:t xml:space="preserve"> The Structure of RMB Loans during </w:t>
      </w:r>
      <w:r>
        <w:rPr>
          <w:rFonts w:hint="eastAsia"/>
          <w:b/>
          <w:sz w:val="24"/>
        </w:rPr>
        <w:t>the First Half of</w:t>
      </w:r>
      <w:r>
        <w:rPr>
          <w:b/>
          <w:sz w:val="24"/>
        </w:rPr>
        <w:t xml:space="preserve"> 2017</w:t>
      </w:r>
      <w:bookmarkEnd w:id="28"/>
    </w:p>
    <w:p>
      <w:pPr>
        <w:pStyle w:val="4"/>
        <w:keepNext/>
        <w:jc w:val="center"/>
        <w:rPr>
          <w:b/>
        </w:rPr>
      </w:pPr>
    </w:p>
    <w:p>
      <w:pPr>
        <w:jc w:val="right"/>
        <w:rPr>
          <w:rFonts w:eastAsia="仿宋_GB2312"/>
          <w:szCs w:val="21"/>
        </w:rPr>
      </w:pPr>
      <w:r>
        <w:rPr>
          <w:szCs w:val="21"/>
        </w:rPr>
        <w:t>RMB 100 million, %</w:t>
      </w:r>
    </w:p>
    <w:tbl>
      <w:tblPr>
        <w:tblStyle w:val="20"/>
        <w:tblW w:w="8115" w:type="dxa"/>
        <w:jc w:val="center"/>
        <w:tblInd w:w="0" w:type="dxa"/>
        <w:tblLayout w:type="fixed"/>
        <w:tblCellMar>
          <w:top w:w="0" w:type="dxa"/>
          <w:left w:w="0" w:type="dxa"/>
          <w:bottom w:w="0" w:type="dxa"/>
          <w:right w:w="0" w:type="dxa"/>
        </w:tblCellMar>
      </w:tblPr>
      <w:tblGrid>
        <w:gridCol w:w="2694"/>
        <w:gridCol w:w="1364"/>
        <w:gridCol w:w="1045"/>
        <w:gridCol w:w="1560"/>
        <w:gridCol w:w="1452"/>
      </w:tblGrid>
      <w:tr>
        <w:tblPrEx>
          <w:tblLayout w:type="fixed"/>
          <w:tblCellMar>
            <w:top w:w="0" w:type="dxa"/>
            <w:left w:w="0" w:type="dxa"/>
            <w:bottom w:w="0" w:type="dxa"/>
            <w:right w:w="0" w:type="dxa"/>
          </w:tblCellMar>
        </w:tblPrEx>
        <w:trPr>
          <w:trHeight w:val="315" w:hRule="atLeast"/>
          <w:jc w:val="center"/>
        </w:trPr>
        <w:tc>
          <w:tcPr>
            <w:tcW w:w="2694" w:type="dxa"/>
            <w:tcBorders>
              <w:top w:val="single" w:color="339966" w:sz="12" w:space="0"/>
              <w:left w:val="nil"/>
              <w:bottom w:val="single" w:color="339966" w:sz="12" w:space="0"/>
              <w:right w:val="single" w:color="339966" w:sz="4" w:space="0"/>
            </w:tcBorders>
            <w:shd w:val="clear" w:color="auto" w:fill="CCFFCC"/>
            <w:vAlign w:val="center"/>
          </w:tcPr>
          <w:p>
            <w:pPr>
              <w:rPr>
                <w:szCs w:val="21"/>
              </w:rPr>
            </w:pPr>
            <w:r>
              <w:rPr>
                <w:rFonts w:hint="eastAsia"/>
                <w:szCs w:val="21"/>
              </w:rPr>
              <w:t>　</w:t>
            </w:r>
          </w:p>
        </w:tc>
        <w:tc>
          <w:tcPr>
            <w:tcW w:w="1364" w:type="dxa"/>
            <w:tcBorders>
              <w:top w:val="single" w:color="339966" w:sz="12" w:space="0"/>
              <w:left w:val="nil"/>
              <w:bottom w:val="single" w:color="339966" w:sz="12" w:space="0"/>
              <w:right w:val="single" w:color="339966" w:sz="6" w:space="0"/>
            </w:tcBorders>
            <w:shd w:val="clear" w:color="auto" w:fill="CCFFCC"/>
            <w:vAlign w:val="center"/>
          </w:tcPr>
          <w:p>
            <w:pPr>
              <w:jc w:val="center"/>
              <w:rPr>
                <w:szCs w:val="21"/>
              </w:rPr>
            </w:pPr>
            <w:r>
              <w:rPr>
                <w:szCs w:val="21"/>
              </w:rPr>
              <w:t>Outstanding amount at end- September</w:t>
            </w:r>
          </w:p>
        </w:tc>
        <w:tc>
          <w:tcPr>
            <w:tcW w:w="1045" w:type="dxa"/>
            <w:tcBorders>
              <w:top w:val="single" w:color="339966" w:sz="12" w:space="0"/>
              <w:left w:val="single" w:color="339966" w:sz="6" w:space="0"/>
              <w:bottom w:val="single" w:color="339966" w:sz="12" w:space="0"/>
              <w:right w:val="single" w:color="339966" w:sz="6" w:space="0"/>
            </w:tcBorders>
            <w:shd w:val="clear" w:color="auto" w:fill="CCFFCC"/>
            <w:vAlign w:val="center"/>
          </w:tcPr>
          <w:p>
            <w:pPr>
              <w:jc w:val="center"/>
              <w:rPr>
                <w:szCs w:val="21"/>
              </w:rPr>
            </w:pPr>
            <w:r>
              <w:rPr>
                <w:szCs w:val="21"/>
              </w:rPr>
              <w:t>YOY growth</w:t>
            </w:r>
          </w:p>
        </w:tc>
        <w:tc>
          <w:tcPr>
            <w:tcW w:w="1560" w:type="dxa"/>
            <w:tcBorders>
              <w:top w:val="single" w:color="339966" w:sz="12" w:space="0"/>
              <w:left w:val="single" w:color="339966" w:sz="6" w:space="0"/>
              <w:bottom w:val="single" w:color="339966" w:sz="12" w:space="0"/>
              <w:right w:val="single" w:color="339966" w:sz="6" w:space="0"/>
            </w:tcBorders>
            <w:shd w:val="clear" w:color="auto" w:fill="CCFFCC"/>
            <w:vAlign w:val="center"/>
          </w:tcPr>
          <w:p>
            <w:pPr>
              <w:jc w:val="center"/>
              <w:rPr>
                <w:szCs w:val="21"/>
              </w:rPr>
            </w:pPr>
            <w:r>
              <w:rPr>
                <w:szCs w:val="21"/>
              </w:rPr>
              <w:t>Increase from the beginning of the year</w:t>
            </w:r>
          </w:p>
        </w:tc>
        <w:tc>
          <w:tcPr>
            <w:tcW w:w="1452" w:type="dxa"/>
            <w:tcBorders>
              <w:top w:val="single" w:color="339966" w:sz="12" w:space="0"/>
              <w:left w:val="single" w:color="339966" w:sz="6" w:space="0"/>
              <w:bottom w:val="single" w:color="339966" w:sz="12" w:space="0"/>
              <w:right w:val="nil"/>
            </w:tcBorders>
            <w:shd w:val="clear" w:color="auto" w:fill="CCFFCC"/>
            <w:vAlign w:val="center"/>
          </w:tcPr>
          <w:p>
            <w:pPr>
              <w:jc w:val="center"/>
              <w:rPr>
                <w:szCs w:val="21"/>
              </w:rPr>
            </w:pPr>
            <w:r>
              <w:rPr>
                <w:szCs w:val="21"/>
              </w:rPr>
              <w:t>Change in the increase from the same period of the last year</w:t>
            </w:r>
          </w:p>
        </w:tc>
      </w:tr>
      <w:tr>
        <w:tblPrEx>
          <w:tblLayout w:type="fixed"/>
          <w:tblCellMar>
            <w:top w:w="0" w:type="dxa"/>
            <w:left w:w="0" w:type="dxa"/>
            <w:bottom w:w="0" w:type="dxa"/>
            <w:right w:w="0" w:type="dxa"/>
          </w:tblCellMar>
        </w:tblPrEx>
        <w:trPr>
          <w:trHeight w:val="300" w:hRule="atLeast"/>
          <w:jc w:val="center"/>
        </w:trPr>
        <w:tc>
          <w:tcPr>
            <w:tcW w:w="2694" w:type="dxa"/>
            <w:tcBorders>
              <w:top w:val="nil"/>
              <w:left w:val="nil"/>
              <w:bottom w:val="nil"/>
              <w:right w:val="single" w:color="339966" w:sz="4" w:space="0"/>
            </w:tcBorders>
            <w:vAlign w:val="center"/>
          </w:tcPr>
          <w:p>
            <w:pPr>
              <w:rPr>
                <w:szCs w:val="21"/>
              </w:rPr>
            </w:pPr>
            <w:r>
              <w:rPr>
                <w:szCs w:val="21"/>
              </w:rPr>
              <w:t>RMB loans to</w:t>
            </w:r>
          </w:p>
        </w:tc>
        <w:tc>
          <w:tcPr>
            <w:tcW w:w="1364" w:type="dxa"/>
            <w:tcBorders>
              <w:top w:val="nil"/>
              <w:left w:val="nil"/>
              <w:bottom w:val="nil"/>
              <w:right w:val="single" w:color="339966" w:sz="6" w:space="0"/>
            </w:tcBorders>
            <w:vAlign w:val="center"/>
          </w:tcPr>
          <w:p>
            <w:pPr>
              <w:ind w:left="278"/>
              <w:jc w:val="right"/>
              <w:rPr>
                <w:szCs w:val="21"/>
              </w:rPr>
            </w:pPr>
            <w:r>
              <w:rPr>
                <w:szCs w:val="21"/>
              </w:rPr>
              <w:t>1</w:t>
            </w:r>
            <w:r>
              <w:rPr>
                <w:rFonts w:hint="eastAsia"/>
                <w:szCs w:val="21"/>
              </w:rPr>
              <w:t>,</w:t>
            </w:r>
            <w:r>
              <w:rPr>
                <w:szCs w:val="21"/>
              </w:rPr>
              <w:t>145</w:t>
            </w:r>
            <w:r>
              <w:rPr>
                <w:rFonts w:hint="eastAsia"/>
                <w:szCs w:val="21"/>
              </w:rPr>
              <w:t>,</w:t>
            </w:r>
            <w:r>
              <w:rPr>
                <w:szCs w:val="21"/>
              </w:rPr>
              <w:t>721</w:t>
            </w:r>
          </w:p>
        </w:tc>
        <w:tc>
          <w:tcPr>
            <w:tcW w:w="1045" w:type="dxa"/>
            <w:tcBorders>
              <w:top w:val="nil"/>
              <w:left w:val="single" w:color="339966" w:sz="6" w:space="0"/>
              <w:bottom w:val="nil"/>
              <w:right w:val="single" w:color="339966" w:sz="6" w:space="0"/>
            </w:tcBorders>
            <w:vAlign w:val="center"/>
          </w:tcPr>
          <w:p>
            <w:pPr>
              <w:ind w:left="441"/>
              <w:jc w:val="right"/>
              <w:rPr>
                <w:szCs w:val="21"/>
              </w:rPr>
            </w:pPr>
            <w:r>
              <w:rPr>
                <w:szCs w:val="21"/>
              </w:rPr>
              <w:t>12.9%</w:t>
            </w:r>
          </w:p>
        </w:tc>
        <w:tc>
          <w:tcPr>
            <w:tcW w:w="1560" w:type="dxa"/>
            <w:tcBorders>
              <w:top w:val="nil"/>
              <w:left w:val="single" w:color="339966" w:sz="6" w:space="0"/>
              <w:bottom w:val="nil"/>
              <w:right w:val="single" w:color="339966" w:sz="6" w:space="0"/>
            </w:tcBorders>
            <w:vAlign w:val="center"/>
          </w:tcPr>
          <w:p>
            <w:pPr>
              <w:ind w:left="441"/>
              <w:jc w:val="right"/>
              <w:rPr>
                <w:szCs w:val="21"/>
              </w:rPr>
            </w:pPr>
            <w:r>
              <w:rPr>
                <w:szCs w:val="21"/>
              </w:rPr>
              <w:t>79</w:t>
            </w:r>
            <w:r>
              <w:rPr>
                <w:rFonts w:hint="eastAsia"/>
                <w:szCs w:val="21"/>
              </w:rPr>
              <w:t>,</w:t>
            </w:r>
            <w:r>
              <w:rPr>
                <w:szCs w:val="21"/>
              </w:rPr>
              <w:t>678</w:t>
            </w:r>
          </w:p>
        </w:tc>
        <w:tc>
          <w:tcPr>
            <w:tcW w:w="1452" w:type="dxa"/>
            <w:tcBorders>
              <w:top w:val="nil"/>
              <w:left w:val="single" w:color="339966" w:sz="6" w:space="0"/>
              <w:bottom w:val="nil"/>
              <w:right w:val="nil"/>
            </w:tcBorders>
            <w:vAlign w:val="center"/>
          </w:tcPr>
          <w:p>
            <w:pPr>
              <w:ind w:left="441"/>
              <w:jc w:val="right"/>
              <w:rPr>
                <w:szCs w:val="21"/>
              </w:rPr>
            </w:pPr>
            <w:r>
              <w:rPr>
                <w:szCs w:val="21"/>
              </w:rPr>
              <w:t>4</w:t>
            </w:r>
            <w:r>
              <w:rPr>
                <w:rFonts w:hint="eastAsia"/>
                <w:szCs w:val="21"/>
              </w:rPr>
              <w:t>,</w:t>
            </w:r>
            <w:r>
              <w:rPr>
                <w:szCs w:val="21"/>
              </w:rPr>
              <w:t>362</w:t>
            </w:r>
          </w:p>
        </w:tc>
      </w:tr>
      <w:tr>
        <w:tblPrEx>
          <w:tblLayout w:type="fixed"/>
          <w:tblCellMar>
            <w:top w:w="0" w:type="dxa"/>
            <w:left w:w="0" w:type="dxa"/>
            <w:bottom w:w="0" w:type="dxa"/>
            <w:right w:w="0" w:type="dxa"/>
          </w:tblCellMar>
        </w:tblPrEx>
        <w:trPr>
          <w:trHeight w:val="285" w:hRule="atLeast"/>
          <w:jc w:val="center"/>
        </w:trPr>
        <w:tc>
          <w:tcPr>
            <w:tcW w:w="2694" w:type="dxa"/>
            <w:tcBorders>
              <w:top w:val="nil"/>
              <w:left w:val="nil"/>
              <w:bottom w:val="nil"/>
              <w:right w:val="single" w:color="339966" w:sz="4" w:space="0"/>
            </w:tcBorders>
            <w:shd w:val="clear" w:color="auto" w:fill="CCFFCC"/>
            <w:vAlign w:val="center"/>
          </w:tcPr>
          <w:p>
            <w:pPr>
              <w:ind w:left="441"/>
              <w:rPr>
                <w:szCs w:val="21"/>
              </w:rPr>
            </w:pPr>
            <w:r>
              <w:rPr>
                <w:szCs w:val="21"/>
              </w:rPr>
              <w:t>Households</w:t>
            </w:r>
          </w:p>
        </w:tc>
        <w:tc>
          <w:tcPr>
            <w:tcW w:w="1364" w:type="dxa"/>
            <w:tcBorders>
              <w:top w:val="nil"/>
              <w:left w:val="nil"/>
              <w:bottom w:val="nil"/>
              <w:right w:val="single" w:color="339966" w:sz="6" w:space="0"/>
            </w:tcBorders>
            <w:shd w:val="clear" w:color="auto" w:fill="CCFFCC"/>
            <w:vAlign w:val="center"/>
          </w:tcPr>
          <w:p>
            <w:pPr>
              <w:ind w:left="441"/>
              <w:jc w:val="right"/>
              <w:rPr>
                <w:szCs w:val="21"/>
              </w:rPr>
            </w:pPr>
            <w:r>
              <w:rPr>
                <w:szCs w:val="21"/>
              </w:rPr>
              <w:t>371</w:t>
            </w:r>
            <w:r>
              <w:rPr>
                <w:rFonts w:hint="eastAsia"/>
                <w:szCs w:val="21"/>
              </w:rPr>
              <w:t>,</w:t>
            </w:r>
            <w:r>
              <w:rPr>
                <w:szCs w:val="21"/>
              </w:rPr>
              <w:t>453</w:t>
            </w:r>
          </w:p>
        </w:tc>
        <w:tc>
          <w:tcPr>
            <w:tcW w:w="1045" w:type="dxa"/>
            <w:tcBorders>
              <w:top w:val="nil"/>
              <w:left w:val="single" w:color="339966" w:sz="6" w:space="0"/>
              <w:bottom w:val="nil"/>
              <w:right w:val="single" w:color="339966" w:sz="6" w:space="0"/>
            </w:tcBorders>
            <w:shd w:val="clear" w:color="auto" w:fill="CCFFCC"/>
            <w:vAlign w:val="center"/>
          </w:tcPr>
          <w:p>
            <w:pPr>
              <w:ind w:left="441"/>
              <w:jc w:val="right"/>
              <w:rPr>
                <w:szCs w:val="21"/>
              </w:rPr>
            </w:pPr>
            <w:r>
              <w:rPr>
                <w:szCs w:val="21"/>
              </w:rPr>
              <w:t>23.9%</w:t>
            </w:r>
          </w:p>
        </w:tc>
        <w:tc>
          <w:tcPr>
            <w:tcW w:w="1560" w:type="dxa"/>
            <w:tcBorders>
              <w:top w:val="nil"/>
              <w:left w:val="single" w:color="339966" w:sz="6" w:space="0"/>
              <w:bottom w:val="nil"/>
              <w:right w:val="single" w:color="339966" w:sz="6" w:space="0"/>
            </w:tcBorders>
            <w:shd w:val="clear" w:color="auto" w:fill="CCFFCC"/>
            <w:vAlign w:val="center"/>
          </w:tcPr>
          <w:p>
            <w:pPr>
              <w:ind w:left="441"/>
              <w:jc w:val="right"/>
              <w:rPr>
                <w:szCs w:val="21"/>
              </w:rPr>
            </w:pPr>
            <w:r>
              <w:rPr>
                <w:szCs w:val="21"/>
              </w:rPr>
              <w:t>37</w:t>
            </w:r>
            <w:r>
              <w:rPr>
                <w:rFonts w:hint="eastAsia"/>
                <w:szCs w:val="21"/>
              </w:rPr>
              <w:t>,</w:t>
            </w:r>
            <w:r>
              <w:rPr>
                <w:szCs w:val="21"/>
              </w:rPr>
              <w:t>749</w:t>
            </w:r>
          </w:p>
        </w:tc>
        <w:tc>
          <w:tcPr>
            <w:tcW w:w="1452" w:type="dxa"/>
            <w:tcBorders>
              <w:top w:val="nil"/>
              <w:left w:val="single" w:color="339966" w:sz="6" w:space="0"/>
              <w:bottom w:val="nil"/>
              <w:right w:val="nil"/>
            </w:tcBorders>
            <w:shd w:val="clear" w:color="auto" w:fill="CCFFCC"/>
            <w:vAlign w:val="center"/>
          </w:tcPr>
          <w:p>
            <w:pPr>
              <w:ind w:left="441"/>
              <w:jc w:val="right"/>
              <w:rPr>
                <w:szCs w:val="21"/>
              </w:rPr>
            </w:pPr>
            <w:r>
              <w:rPr>
                <w:szCs w:val="21"/>
              </w:rPr>
              <w:t>8</w:t>
            </w:r>
            <w:r>
              <w:rPr>
                <w:rFonts w:hint="eastAsia"/>
                <w:szCs w:val="21"/>
              </w:rPr>
              <w:t>,</w:t>
            </w:r>
            <w:r>
              <w:rPr>
                <w:szCs w:val="21"/>
              </w:rPr>
              <w:t>290</w:t>
            </w:r>
          </w:p>
        </w:tc>
      </w:tr>
      <w:tr>
        <w:tblPrEx>
          <w:tblLayout w:type="fixed"/>
          <w:tblCellMar>
            <w:top w:w="0" w:type="dxa"/>
            <w:left w:w="0" w:type="dxa"/>
            <w:bottom w:w="0" w:type="dxa"/>
            <w:right w:w="0" w:type="dxa"/>
          </w:tblCellMar>
        </w:tblPrEx>
        <w:trPr>
          <w:trHeight w:val="300" w:hRule="atLeast"/>
          <w:jc w:val="center"/>
        </w:trPr>
        <w:tc>
          <w:tcPr>
            <w:tcW w:w="2694" w:type="dxa"/>
            <w:tcBorders>
              <w:top w:val="nil"/>
              <w:left w:val="nil"/>
              <w:bottom w:val="nil"/>
              <w:right w:val="single" w:color="339966" w:sz="4" w:space="0"/>
            </w:tcBorders>
            <w:vAlign w:val="center"/>
          </w:tcPr>
          <w:p>
            <w:pPr>
              <w:ind w:left="441"/>
              <w:rPr>
                <w:szCs w:val="21"/>
              </w:rPr>
            </w:pPr>
            <w:r>
              <w:rPr>
                <w:szCs w:val="21"/>
              </w:rPr>
              <w:t>Non-financial enterprises,</w:t>
            </w:r>
          </w:p>
          <w:p>
            <w:pPr>
              <w:ind w:left="441"/>
              <w:rPr>
                <w:szCs w:val="21"/>
              </w:rPr>
            </w:pPr>
            <w:r>
              <w:rPr>
                <w:szCs w:val="21"/>
              </w:rPr>
              <w:t>government departments, and organizations</w:t>
            </w:r>
          </w:p>
        </w:tc>
        <w:tc>
          <w:tcPr>
            <w:tcW w:w="1364" w:type="dxa"/>
            <w:tcBorders>
              <w:top w:val="nil"/>
              <w:left w:val="nil"/>
              <w:bottom w:val="nil"/>
              <w:right w:val="single" w:color="339966" w:sz="6" w:space="0"/>
            </w:tcBorders>
            <w:vAlign w:val="center"/>
          </w:tcPr>
          <w:p>
            <w:pPr>
              <w:ind w:left="441"/>
              <w:jc w:val="right"/>
              <w:rPr>
                <w:szCs w:val="21"/>
              </w:rPr>
            </w:pPr>
            <w:r>
              <w:rPr>
                <w:szCs w:val="21"/>
              </w:rPr>
              <w:t>762</w:t>
            </w:r>
            <w:r>
              <w:rPr>
                <w:rFonts w:hint="eastAsia"/>
                <w:szCs w:val="21"/>
              </w:rPr>
              <w:t>,</w:t>
            </w:r>
            <w:r>
              <w:rPr>
                <w:szCs w:val="21"/>
              </w:rPr>
              <w:t>748</w:t>
            </w:r>
          </w:p>
        </w:tc>
        <w:tc>
          <w:tcPr>
            <w:tcW w:w="1045" w:type="dxa"/>
            <w:tcBorders>
              <w:top w:val="nil"/>
              <w:left w:val="single" w:color="339966" w:sz="6" w:space="0"/>
              <w:bottom w:val="nil"/>
              <w:right w:val="single" w:color="339966" w:sz="6" w:space="0"/>
            </w:tcBorders>
            <w:vAlign w:val="center"/>
          </w:tcPr>
          <w:p>
            <w:pPr>
              <w:ind w:left="441"/>
              <w:jc w:val="right"/>
              <w:rPr>
                <w:szCs w:val="21"/>
              </w:rPr>
            </w:pPr>
            <w:r>
              <w:rPr>
                <w:szCs w:val="21"/>
              </w:rPr>
              <w:t>8.5%</w:t>
            </w:r>
          </w:p>
        </w:tc>
        <w:tc>
          <w:tcPr>
            <w:tcW w:w="1560" w:type="dxa"/>
            <w:tcBorders>
              <w:top w:val="nil"/>
              <w:left w:val="single" w:color="339966" w:sz="6" w:space="0"/>
              <w:bottom w:val="nil"/>
              <w:right w:val="single" w:color="339966" w:sz="6" w:space="0"/>
            </w:tcBorders>
            <w:vAlign w:val="center"/>
          </w:tcPr>
          <w:p>
            <w:pPr>
              <w:ind w:left="441"/>
              <w:jc w:val="right"/>
              <w:rPr>
                <w:szCs w:val="21"/>
              </w:rPr>
            </w:pPr>
            <w:r>
              <w:rPr>
                <w:szCs w:val="21"/>
              </w:rPr>
              <w:t>44</w:t>
            </w:r>
            <w:r>
              <w:rPr>
                <w:rFonts w:hint="eastAsia"/>
                <w:szCs w:val="21"/>
              </w:rPr>
              <w:t>,</w:t>
            </w:r>
            <w:r>
              <w:rPr>
                <w:szCs w:val="21"/>
              </w:rPr>
              <w:t>323</w:t>
            </w:r>
          </w:p>
        </w:tc>
        <w:tc>
          <w:tcPr>
            <w:tcW w:w="1452" w:type="dxa"/>
            <w:tcBorders>
              <w:top w:val="nil"/>
              <w:left w:val="single" w:color="339966" w:sz="6" w:space="0"/>
              <w:bottom w:val="nil"/>
              <w:right w:val="nil"/>
            </w:tcBorders>
            <w:vAlign w:val="center"/>
          </w:tcPr>
          <w:p>
            <w:pPr>
              <w:ind w:left="441"/>
              <w:jc w:val="right"/>
              <w:rPr>
                <w:szCs w:val="21"/>
              </w:rPr>
            </w:pPr>
            <w:r>
              <w:rPr>
                <w:szCs w:val="21"/>
              </w:rPr>
              <w:t>-972</w:t>
            </w:r>
          </w:p>
        </w:tc>
      </w:tr>
      <w:tr>
        <w:tblPrEx>
          <w:tblLayout w:type="fixed"/>
          <w:tblCellMar>
            <w:top w:w="0" w:type="dxa"/>
            <w:left w:w="0" w:type="dxa"/>
            <w:bottom w:w="0" w:type="dxa"/>
            <w:right w:w="0" w:type="dxa"/>
          </w:tblCellMar>
        </w:tblPrEx>
        <w:trPr>
          <w:trHeight w:val="315" w:hRule="atLeast"/>
          <w:jc w:val="center"/>
        </w:trPr>
        <w:tc>
          <w:tcPr>
            <w:tcW w:w="2694" w:type="dxa"/>
            <w:tcBorders>
              <w:top w:val="nil"/>
              <w:left w:val="nil"/>
              <w:bottom w:val="nil"/>
              <w:right w:val="single" w:color="339966" w:sz="4" w:space="0"/>
            </w:tcBorders>
            <w:shd w:val="clear" w:color="auto" w:fill="CCFFCC"/>
            <w:vAlign w:val="center"/>
          </w:tcPr>
          <w:p>
            <w:pPr>
              <w:ind w:left="441"/>
              <w:rPr>
                <w:szCs w:val="21"/>
              </w:rPr>
            </w:pPr>
            <w:r>
              <w:rPr>
                <w:szCs w:val="21"/>
              </w:rPr>
              <w:t>Non-banking financial</w:t>
            </w:r>
          </w:p>
          <w:p>
            <w:pPr>
              <w:ind w:left="441"/>
              <w:rPr>
                <w:szCs w:val="21"/>
              </w:rPr>
            </w:pPr>
            <w:r>
              <w:rPr>
                <w:szCs w:val="21"/>
              </w:rPr>
              <w:t>institutions</w:t>
            </w:r>
          </w:p>
        </w:tc>
        <w:tc>
          <w:tcPr>
            <w:tcW w:w="1364" w:type="dxa"/>
            <w:tcBorders>
              <w:top w:val="nil"/>
              <w:left w:val="nil"/>
              <w:bottom w:val="nil"/>
              <w:right w:val="single" w:color="339966" w:sz="6" w:space="0"/>
            </w:tcBorders>
            <w:shd w:val="clear" w:color="auto" w:fill="CCFFCC"/>
            <w:vAlign w:val="center"/>
          </w:tcPr>
          <w:p>
            <w:pPr>
              <w:ind w:left="441"/>
              <w:jc w:val="right"/>
              <w:rPr>
                <w:szCs w:val="21"/>
              </w:rPr>
            </w:pPr>
            <w:r>
              <w:rPr>
                <w:szCs w:val="21"/>
              </w:rPr>
              <w:t>7</w:t>
            </w:r>
            <w:r>
              <w:rPr>
                <w:rFonts w:hint="eastAsia"/>
                <w:szCs w:val="21"/>
              </w:rPr>
              <w:t>,</w:t>
            </w:r>
            <w:r>
              <w:rPr>
                <w:szCs w:val="21"/>
              </w:rPr>
              <w:t>055</w:t>
            </w:r>
          </w:p>
        </w:tc>
        <w:tc>
          <w:tcPr>
            <w:tcW w:w="1045" w:type="dxa"/>
            <w:tcBorders>
              <w:top w:val="nil"/>
              <w:left w:val="single" w:color="339966" w:sz="6" w:space="0"/>
              <w:bottom w:val="nil"/>
              <w:right w:val="single" w:color="339966" w:sz="6" w:space="0"/>
            </w:tcBorders>
            <w:shd w:val="clear" w:color="auto" w:fill="CCFFCC"/>
            <w:vAlign w:val="center"/>
          </w:tcPr>
          <w:p>
            <w:pPr>
              <w:ind w:left="331"/>
              <w:jc w:val="right"/>
              <w:rPr>
                <w:szCs w:val="21"/>
              </w:rPr>
            </w:pPr>
            <w:r>
              <w:rPr>
                <w:szCs w:val="21"/>
              </w:rPr>
              <w:t>-19.7%</w:t>
            </w:r>
          </w:p>
        </w:tc>
        <w:tc>
          <w:tcPr>
            <w:tcW w:w="1560" w:type="dxa"/>
            <w:tcBorders>
              <w:top w:val="nil"/>
              <w:left w:val="single" w:color="339966" w:sz="6" w:space="0"/>
              <w:bottom w:val="nil"/>
              <w:right w:val="single" w:color="339966" w:sz="6" w:space="0"/>
            </w:tcBorders>
            <w:shd w:val="clear" w:color="auto" w:fill="CCFFCC"/>
            <w:vAlign w:val="center"/>
          </w:tcPr>
          <w:p>
            <w:pPr>
              <w:ind w:left="441"/>
              <w:jc w:val="right"/>
              <w:rPr>
                <w:szCs w:val="21"/>
              </w:rPr>
            </w:pPr>
            <w:r>
              <w:rPr>
                <w:szCs w:val="21"/>
              </w:rPr>
              <w:t>-2</w:t>
            </w:r>
            <w:r>
              <w:rPr>
                <w:rFonts w:hint="eastAsia"/>
                <w:szCs w:val="21"/>
              </w:rPr>
              <w:t>,</w:t>
            </w:r>
            <w:r>
              <w:rPr>
                <w:szCs w:val="21"/>
              </w:rPr>
              <w:t>487</w:t>
            </w:r>
          </w:p>
        </w:tc>
        <w:tc>
          <w:tcPr>
            <w:tcW w:w="1452" w:type="dxa"/>
            <w:tcBorders>
              <w:top w:val="nil"/>
              <w:left w:val="single" w:color="339966" w:sz="6" w:space="0"/>
              <w:bottom w:val="nil"/>
              <w:right w:val="nil"/>
            </w:tcBorders>
            <w:shd w:val="clear" w:color="auto" w:fill="CCFFCC"/>
            <w:vAlign w:val="center"/>
          </w:tcPr>
          <w:p>
            <w:pPr>
              <w:ind w:left="441"/>
              <w:jc w:val="right"/>
              <w:rPr>
                <w:szCs w:val="21"/>
              </w:rPr>
            </w:pPr>
            <w:r>
              <w:rPr>
                <w:szCs w:val="21"/>
              </w:rPr>
              <w:t>-2</w:t>
            </w:r>
            <w:r>
              <w:rPr>
                <w:rFonts w:hint="eastAsia"/>
                <w:szCs w:val="21"/>
              </w:rPr>
              <w:t>,</w:t>
            </w:r>
            <w:r>
              <w:rPr>
                <w:szCs w:val="21"/>
              </w:rPr>
              <w:t>733</w:t>
            </w:r>
          </w:p>
        </w:tc>
      </w:tr>
      <w:tr>
        <w:tblPrEx>
          <w:tblLayout w:type="fixed"/>
        </w:tblPrEx>
        <w:trPr>
          <w:trHeight w:val="315" w:hRule="atLeast"/>
          <w:jc w:val="center"/>
        </w:trPr>
        <w:tc>
          <w:tcPr>
            <w:tcW w:w="2694" w:type="dxa"/>
            <w:tcBorders>
              <w:top w:val="nil"/>
              <w:left w:val="nil"/>
              <w:bottom w:val="single" w:color="339966" w:sz="12" w:space="0"/>
              <w:right w:val="single" w:color="339966" w:sz="4" w:space="0"/>
            </w:tcBorders>
            <w:vAlign w:val="center"/>
          </w:tcPr>
          <w:p>
            <w:pPr>
              <w:ind w:left="441"/>
              <w:rPr>
                <w:szCs w:val="21"/>
              </w:rPr>
            </w:pPr>
            <w:r>
              <w:rPr>
                <w:szCs w:val="21"/>
              </w:rPr>
              <w:t>Overseas</w:t>
            </w:r>
          </w:p>
        </w:tc>
        <w:tc>
          <w:tcPr>
            <w:tcW w:w="1364" w:type="dxa"/>
            <w:tcBorders>
              <w:top w:val="nil"/>
              <w:left w:val="nil"/>
              <w:bottom w:val="single" w:color="339966" w:sz="12" w:space="0"/>
              <w:right w:val="single" w:color="339966" w:sz="6" w:space="0"/>
            </w:tcBorders>
            <w:vAlign w:val="center"/>
          </w:tcPr>
          <w:p>
            <w:pPr>
              <w:ind w:left="441"/>
              <w:jc w:val="right"/>
              <w:rPr>
                <w:szCs w:val="21"/>
              </w:rPr>
            </w:pPr>
            <w:r>
              <w:rPr>
                <w:szCs w:val="21"/>
              </w:rPr>
              <w:t>4</w:t>
            </w:r>
            <w:r>
              <w:rPr>
                <w:rFonts w:hint="eastAsia"/>
                <w:szCs w:val="21"/>
              </w:rPr>
              <w:t>,</w:t>
            </w:r>
            <w:r>
              <w:rPr>
                <w:szCs w:val="21"/>
              </w:rPr>
              <w:t>465</w:t>
            </w:r>
          </w:p>
        </w:tc>
        <w:tc>
          <w:tcPr>
            <w:tcW w:w="1045" w:type="dxa"/>
            <w:tcBorders>
              <w:top w:val="nil"/>
              <w:left w:val="single" w:color="339966" w:sz="6" w:space="0"/>
              <w:bottom w:val="single" w:color="339966" w:sz="12" w:space="0"/>
              <w:right w:val="single" w:color="339966" w:sz="6" w:space="0"/>
            </w:tcBorders>
            <w:vAlign w:val="center"/>
          </w:tcPr>
          <w:p>
            <w:pPr>
              <w:ind w:left="441"/>
              <w:jc w:val="right"/>
              <w:rPr>
                <w:szCs w:val="21"/>
              </w:rPr>
            </w:pPr>
            <w:r>
              <w:rPr>
                <w:szCs w:val="21"/>
              </w:rPr>
              <w:t>28.5%</w:t>
            </w:r>
          </w:p>
        </w:tc>
        <w:tc>
          <w:tcPr>
            <w:tcW w:w="1560" w:type="dxa"/>
            <w:tcBorders>
              <w:top w:val="nil"/>
              <w:left w:val="single" w:color="339966" w:sz="6" w:space="0"/>
              <w:bottom w:val="single" w:color="339966" w:sz="12" w:space="0"/>
              <w:right w:val="single" w:color="339966" w:sz="6" w:space="0"/>
            </w:tcBorders>
            <w:vAlign w:val="center"/>
          </w:tcPr>
          <w:p>
            <w:pPr>
              <w:ind w:left="441"/>
              <w:jc w:val="right"/>
              <w:rPr>
                <w:szCs w:val="21"/>
              </w:rPr>
            </w:pPr>
            <w:r>
              <w:rPr>
                <w:szCs w:val="21"/>
              </w:rPr>
              <w:t>92</w:t>
            </w:r>
          </w:p>
        </w:tc>
        <w:tc>
          <w:tcPr>
            <w:tcW w:w="1452" w:type="dxa"/>
            <w:tcBorders>
              <w:top w:val="nil"/>
              <w:left w:val="single" w:color="339966" w:sz="6" w:space="0"/>
              <w:bottom w:val="single" w:color="339966" w:sz="12" w:space="0"/>
              <w:right w:val="nil"/>
            </w:tcBorders>
            <w:vAlign w:val="center"/>
          </w:tcPr>
          <w:p>
            <w:pPr>
              <w:ind w:left="441"/>
              <w:jc w:val="right"/>
              <w:rPr>
                <w:szCs w:val="21"/>
              </w:rPr>
            </w:pPr>
            <w:r>
              <w:rPr>
                <w:szCs w:val="21"/>
              </w:rPr>
              <w:t>-224</w:t>
            </w:r>
          </w:p>
        </w:tc>
      </w:tr>
    </w:tbl>
    <w:p>
      <w:pPr>
        <w:pStyle w:val="33"/>
        <w:spacing w:line="240" w:lineRule="auto"/>
        <w:ind w:firstLine="0" w:firstLineChars="0"/>
        <w:rPr>
          <w:rFonts w:ascii="Times New Roman" w:hAnsi="Times New Roman" w:eastAsia="楷体_GB2312"/>
          <w:sz w:val="21"/>
          <w:szCs w:val="21"/>
        </w:rPr>
      </w:pPr>
      <w:r>
        <w:rPr>
          <w:rFonts w:ascii="Times New Roman" w:hAnsi="Times New Roman" w:eastAsia="楷体_GB2312"/>
          <w:sz w:val="21"/>
          <w:szCs w:val="21"/>
        </w:rPr>
        <w:t xml:space="preserve">Source: People’s Bank of China </w:t>
      </w:r>
    </w:p>
    <w:p>
      <w:pPr>
        <w:pStyle w:val="33"/>
        <w:spacing w:line="240" w:lineRule="auto"/>
        <w:ind w:firstLine="0" w:firstLineChars="0"/>
        <w:rPr>
          <w:rFonts w:ascii="Times New Roman" w:hAnsi="Times New Roman" w:eastAsia="楷体_GB2312"/>
          <w:sz w:val="21"/>
          <w:szCs w:val="21"/>
        </w:rPr>
      </w:pPr>
    </w:p>
    <w:p>
      <w:pPr>
        <w:keepNext/>
        <w:jc w:val="center"/>
        <w:rPr>
          <w:b/>
          <w:sz w:val="24"/>
        </w:rPr>
      </w:pPr>
      <w:bookmarkStart w:id="29" w:name="_Toc477878107"/>
      <w:bookmarkStart w:id="30" w:name="_Toc492909025"/>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3</w:t>
      </w:r>
      <w:r>
        <w:rPr>
          <w:b/>
          <w:sz w:val="24"/>
        </w:rPr>
        <w:fldChar w:fldCharType="end"/>
      </w:r>
      <w:r>
        <w:rPr>
          <w:b/>
          <w:sz w:val="24"/>
        </w:rPr>
        <w:t xml:space="preserve"> New RMB Loans by Financial Institutions during </w:t>
      </w:r>
      <w:r>
        <w:rPr>
          <w:rFonts w:hint="eastAsia" w:eastAsia="仿宋_GB2312"/>
          <w:b/>
          <w:sz w:val="24"/>
        </w:rPr>
        <w:t>the First Half of</w:t>
      </w:r>
      <w:r>
        <w:rPr>
          <w:b/>
          <w:sz w:val="24"/>
        </w:rPr>
        <w:t xml:space="preserve"> 201</w:t>
      </w:r>
      <w:bookmarkEnd w:id="29"/>
      <w:r>
        <w:rPr>
          <w:b/>
          <w:sz w:val="24"/>
        </w:rPr>
        <w:t>7</w:t>
      </w:r>
      <w:bookmarkEnd w:id="30"/>
    </w:p>
    <w:p>
      <w:pPr>
        <w:jc w:val="right"/>
        <w:rPr>
          <w:rFonts w:eastAsia="仿宋_GB2312"/>
          <w:szCs w:val="21"/>
        </w:rPr>
      </w:pPr>
      <w:r>
        <w:rPr>
          <w:szCs w:val="21"/>
        </w:rPr>
        <w:t>RMB 100 million</w:t>
      </w:r>
    </w:p>
    <w:tbl>
      <w:tblPr>
        <w:tblStyle w:val="20"/>
        <w:tblW w:w="8306" w:type="dxa"/>
        <w:jc w:val="center"/>
        <w:tblInd w:w="0" w:type="dxa"/>
        <w:tblLayout w:type="fixed"/>
        <w:tblCellMar>
          <w:top w:w="0" w:type="dxa"/>
          <w:left w:w="0" w:type="dxa"/>
          <w:bottom w:w="0" w:type="dxa"/>
          <w:right w:w="0" w:type="dxa"/>
        </w:tblCellMar>
      </w:tblPr>
      <w:tblGrid>
        <w:gridCol w:w="3035"/>
        <w:gridCol w:w="2724"/>
        <w:gridCol w:w="2547"/>
      </w:tblGrid>
      <w:tr>
        <w:tblPrEx>
          <w:tblLayout w:type="fixed"/>
          <w:tblCellMar>
            <w:top w:w="0" w:type="dxa"/>
            <w:left w:w="0" w:type="dxa"/>
            <w:bottom w:w="0" w:type="dxa"/>
            <w:right w:w="0" w:type="dxa"/>
          </w:tblCellMar>
        </w:tblPrEx>
        <w:trPr>
          <w:cantSplit/>
          <w:trHeight w:val="327" w:hRule="exact"/>
          <w:jc w:val="center"/>
        </w:trPr>
        <w:tc>
          <w:tcPr>
            <w:tcW w:w="3035" w:type="dxa"/>
            <w:tcBorders>
              <w:top w:val="single" w:color="339966" w:sz="4" w:space="0"/>
              <w:left w:val="nil"/>
              <w:bottom w:val="single" w:color="339966" w:sz="12" w:space="0"/>
              <w:right w:val="nil"/>
            </w:tcBorders>
            <w:shd w:val="clear" w:color="auto" w:fill="CCFFCC"/>
            <w:vAlign w:val="center"/>
          </w:tcPr>
          <w:p>
            <w:pPr>
              <w:rPr>
                <w:szCs w:val="21"/>
              </w:rPr>
            </w:pPr>
          </w:p>
        </w:tc>
        <w:tc>
          <w:tcPr>
            <w:tcW w:w="2724" w:type="dxa"/>
            <w:tcBorders>
              <w:top w:val="single" w:color="339966" w:sz="4" w:space="0"/>
              <w:left w:val="single" w:color="339966" w:sz="4" w:space="0"/>
              <w:bottom w:val="single" w:color="339966" w:sz="12" w:space="0"/>
              <w:right w:val="single" w:color="339966" w:sz="4" w:space="0"/>
            </w:tcBorders>
            <w:shd w:val="clear" w:color="auto" w:fill="CCFFCC"/>
            <w:vAlign w:val="bottom"/>
          </w:tcPr>
          <w:p>
            <w:pPr>
              <w:jc w:val="center"/>
              <w:rPr>
                <w:szCs w:val="21"/>
              </w:rPr>
            </w:pPr>
            <w:r>
              <w:rPr>
                <w:szCs w:val="21"/>
              </w:rPr>
              <w:t>New loans</w:t>
            </w:r>
          </w:p>
        </w:tc>
        <w:tc>
          <w:tcPr>
            <w:tcW w:w="2547" w:type="dxa"/>
            <w:tcBorders>
              <w:top w:val="single" w:color="339966" w:sz="4" w:space="0"/>
              <w:left w:val="nil"/>
              <w:bottom w:val="single" w:color="339966" w:sz="12" w:space="0"/>
              <w:right w:val="nil"/>
            </w:tcBorders>
            <w:shd w:val="clear" w:color="auto" w:fill="CCFFCC"/>
            <w:vAlign w:val="bottom"/>
          </w:tcPr>
          <w:p>
            <w:pPr>
              <w:jc w:val="center"/>
              <w:rPr>
                <w:szCs w:val="21"/>
              </w:rPr>
            </w:pPr>
            <w:r>
              <w:rPr>
                <w:szCs w:val="21"/>
              </w:rPr>
              <w:t xml:space="preserve">YOY acceleration </w:t>
            </w:r>
          </w:p>
        </w:tc>
      </w:tr>
      <w:tr>
        <w:tblPrEx>
          <w:tblLayout w:type="fixed"/>
          <w:tblCellMar>
            <w:top w:w="0" w:type="dxa"/>
            <w:left w:w="0" w:type="dxa"/>
            <w:bottom w:w="0" w:type="dxa"/>
            <w:right w:w="0" w:type="dxa"/>
          </w:tblCellMar>
        </w:tblPrEx>
        <w:trPr>
          <w:trHeight w:val="612" w:hRule="exact"/>
          <w:jc w:val="center"/>
        </w:trPr>
        <w:tc>
          <w:tcPr>
            <w:tcW w:w="3035" w:type="dxa"/>
            <w:tcBorders>
              <w:top w:val="single" w:color="339966" w:sz="12" w:space="0"/>
              <w:left w:val="nil"/>
              <w:bottom w:val="nil"/>
              <w:right w:val="nil"/>
            </w:tcBorders>
            <w:vAlign w:val="center"/>
          </w:tcPr>
          <w:p>
            <w:pPr>
              <w:adjustRightInd w:val="0"/>
              <w:snapToGrid w:val="0"/>
              <w:rPr>
                <w:szCs w:val="21"/>
              </w:rPr>
            </w:pPr>
            <w:r>
              <w:rPr>
                <w:szCs w:val="21"/>
              </w:rPr>
              <w:t xml:space="preserve">Chinese-funded large-sized </w:t>
            </w:r>
          </w:p>
          <w:p>
            <w:pPr>
              <w:adjustRightInd w:val="0"/>
              <w:snapToGrid w:val="0"/>
              <w:rPr>
                <w:szCs w:val="21"/>
                <w:vertAlign w:val="superscript"/>
              </w:rPr>
            </w:pPr>
            <w:r>
              <w:rPr>
                <w:szCs w:val="21"/>
              </w:rPr>
              <w:t>banks</w:t>
            </w:r>
            <w:r>
              <w:rPr>
                <w:szCs w:val="21"/>
                <w:vertAlign w:val="superscript"/>
              </w:rPr>
              <w:t xml:space="preserve"> 1</w:t>
            </w:r>
          </w:p>
        </w:tc>
        <w:tc>
          <w:tcPr>
            <w:tcW w:w="2724" w:type="dxa"/>
            <w:tcBorders>
              <w:top w:val="single" w:color="339966" w:sz="12" w:space="0"/>
              <w:left w:val="single" w:color="339966" w:sz="4" w:space="0"/>
              <w:bottom w:val="nil"/>
              <w:right w:val="nil"/>
            </w:tcBorders>
            <w:vAlign w:val="center"/>
          </w:tcPr>
          <w:p>
            <w:pPr>
              <w:ind w:left="441"/>
              <w:jc w:val="right"/>
              <w:rPr>
                <w:szCs w:val="21"/>
              </w:rPr>
            </w:pPr>
            <w:r>
              <w:rPr>
                <w:szCs w:val="21"/>
              </w:rPr>
              <w:t>31</w:t>
            </w:r>
            <w:r>
              <w:rPr>
                <w:rFonts w:hint="eastAsia"/>
                <w:szCs w:val="21"/>
              </w:rPr>
              <w:t>,</w:t>
            </w:r>
            <w:r>
              <w:rPr>
                <w:szCs w:val="21"/>
              </w:rPr>
              <w:t>604</w:t>
            </w:r>
          </w:p>
        </w:tc>
        <w:tc>
          <w:tcPr>
            <w:tcW w:w="2547" w:type="dxa"/>
            <w:tcBorders>
              <w:top w:val="single" w:color="339966" w:sz="12" w:space="0"/>
              <w:left w:val="nil"/>
              <w:bottom w:val="nil"/>
              <w:right w:val="nil"/>
            </w:tcBorders>
            <w:vAlign w:val="center"/>
          </w:tcPr>
          <w:p>
            <w:pPr>
              <w:ind w:left="441"/>
              <w:jc w:val="right"/>
              <w:rPr>
                <w:szCs w:val="21"/>
              </w:rPr>
            </w:pPr>
            <w:r>
              <w:rPr>
                <w:szCs w:val="21"/>
              </w:rPr>
              <w:t>187</w:t>
            </w:r>
          </w:p>
        </w:tc>
      </w:tr>
      <w:tr>
        <w:tblPrEx>
          <w:tblLayout w:type="fixed"/>
          <w:tblCellMar>
            <w:top w:w="0" w:type="dxa"/>
            <w:left w:w="0" w:type="dxa"/>
            <w:bottom w:w="0" w:type="dxa"/>
            <w:right w:w="0" w:type="dxa"/>
          </w:tblCellMar>
        </w:tblPrEx>
        <w:trPr>
          <w:trHeight w:val="580" w:hRule="exact"/>
          <w:jc w:val="center"/>
        </w:trPr>
        <w:tc>
          <w:tcPr>
            <w:tcW w:w="3035" w:type="dxa"/>
            <w:shd w:val="clear" w:color="auto" w:fill="CCFFCC"/>
            <w:vAlign w:val="center"/>
          </w:tcPr>
          <w:p>
            <w:pPr>
              <w:adjustRightInd w:val="0"/>
              <w:snapToGrid w:val="0"/>
              <w:rPr>
                <w:szCs w:val="21"/>
              </w:rPr>
            </w:pPr>
            <w:r>
              <w:rPr>
                <w:szCs w:val="21"/>
              </w:rPr>
              <w:t>Chinese-funded small- and</w:t>
            </w:r>
          </w:p>
          <w:p>
            <w:pPr>
              <w:adjustRightInd w:val="0"/>
              <w:snapToGrid w:val="0"/>
              <w:rPr>
                <w:szCs w:val="21"/>
                <w:vertAlign w:val="superscript"/>
              </w:rPr>
            </w:pPr>
            <w:r>
              <w:rPr>
                <w:szCs w:val="21"/>
              </w:rPr>
              <w:t>medium-sized banks</w:t>
            </w:r>
            <w:r>
              <w:rPr>
                <w:szCs w:val="21"/>
                <w:vertAlign w:val="superscript"/>
              </w:rPr>
              <w:t>2</w:t>
            </w:r>
          </w:p>
        </w:tc>
        <w:tc>
          <w:tcPr>
            <w:tcW w:w="2724" w:type="dxa"/>
            <w:tcBorders>
              <w:top w:val="nil"/>
              <w:left w:val="single" w:color="339966" w:sz="4" w:space="0"/>
              <w:bottom w:val="nil"/>
              <w:right w:val="nil"/>
            </w:tcBorders>
            <w:shd w:val="clear" w:color="auto" w:fill="CCFFCC"/>
            <w:vAlign w:val="center"/>
          </w:tcPr>
          <w:p>
            <w:pPr>
              <w:ind w:left="441"/>
              <w:jc w:val="right"/>
              <w:rPr>
                <w:szCs w:val="21"/>
              </w:rPr>
            </w:pPr>
            <w:r>
              <w:rPr>
                <w:szCs w:val="21"/>
              </w:rPr>
              <w:t>42</w:t>
            </w:r>
            <w:r>
              <w:rPr>
                <w:rFonts w:hint="eastAsia"/>
                <w:szCs w:val="21"/>
              </w:rPr>
              <w:t>,</w:t>
            </w:r>
            <w:r>
              <w:rPr>
                <w:szCs w:val="21"/>
              </w:rPr>
              <w:t>149</w:t>
            </w:r>
          </w:p>
        </w:tc>
        <w:tc>
          <w:tcPr>
            <w:tcW w:w="2547" w:type="dxa"/>
            <w:shd w:val="clear" w:color="auto" w:fill="CCFFCC"/>
            <w:vAlign w:val="center"/>
          </w:tcPr>
          <w:p>
            <w:pPr>
              <w:ind w:left="441"/>
              <w:jc w:val="right"/>
              <w:rPr>
                <w:szCs w:val="21"/>
              </w:rPr>
            </w:pPr>
            <w:r>
              <w:rPr>
                <w:szCs w:val="21"/>
              </w:rPr>
              <w:t>1</w:t>
            </w:r>
            <w:r>
              <w:rPr>
                <w:rFonts w:hint="eastAsia"/>
                <w:szCs w:val="21"/>
              </w:rPr>
              <w:t>,</w:t>
            </w:r>
            <w:r>
              <w:rPr>
                <w:szCs w:val="21"/>
              </w:rPr>
              <w:t>177</w:t>
            </w:r>
          </w:p>
        </w:tc>
      </w:tr>
      <w:tr>
        <w:tblPrEx>
          <w:tblLayout w:type="fixed"/>
          <w:tblCellMar>
            <w:top w:w="0" w:type="dxa"/>
            <w:left w:w="0" w:type="dxa"/>
            <w:bottom w:w="0" w:type="dxa"/>
            <w:right w:w="0" w:type="dxa"/>
          </w:tblCellMar>
        </w:tblPrEx>
        <w:trPr>
          <w:trHeight w:val="634" w:hRule="exact"/>
          <w:jc w:val="center"/>
        </w:trPr>
        <w:tc>
          <w:tcPr>
            <w:tcW w:w="3035" w:type="dxa"/>
            <w:vAlign w:val="center"/>
          </w:tcPr>
          <w:p>
            <w:pPr>
              <w:adjustRightInd w:val="0"/>
              <w:snapToGrid w:val="0"/>
              <w:rPr>
                <w:szCs w:val="21"/>
              </w:rPr>
            </w:pPr>
            <w:r>
              <w:rPr>
                <w:szCs w:val="21"/>
              </w:rPr>
              <w:t xml:space="preserve">Small-sized rural financial </w:t>
            </w:r>
          </w:p>
          <w:p>
            <w:pPr>
              <w:adjustRightInd w:val="0"/>
              <w:snapToGrid w:val="0"/>
              <w:rPr>
                <w:szCs w:val="21"/>
              </w:rPr>
            </w:pPr>
            <w:r>
              <w:rPr>
                <w:szCs w:val="21"/>
              </w:rPr>
              <w:t>institutions</w:t>
            </w:r>
            <w:r>
              <w:rPr>
                <w:szCs w:val="21"/>
                <w:vertAlign w:val="superscript"/>
              </w:rPr>
              <w:t>3</w:t>
            </w:r>
          </w:p>
        </w:tc>
        <w:tc>
          <w:tcPr>
            <w:tcW w:w="2724" w:type="dxa"/>
            <w:tcBorders>
              <w:top w:val="nil"/>
              <w:left w:val="single" w:color="339966" w:sz="4" w:space="0"/>
              <w:bottom w:val="nil"/>
              <w:right w:val="nil"/>
            </w:tcBorders>
            <w:vAlign w:val="center"/>
          </w:tcPr>
          <w:p>
            <w:pPr>
              <w:ind w:left="441"/>
              <w:jc w:val="right"/>
              <w:rPr>
                <w:szCs w:val="21"/>
              </w:rPr>
            </w:pPr>
            <w:r>
              <w:rPr>
                <w:szCs w:val="21"/>
              </w:rPr>
              <w:t>10</w:t>
            </w:r>
            <w:r>
              <w:rPr>
                <w:rFonts w:hint="eastAsia"/>
                <w:szCs w:val="21"/>
              </w:rPr>
              <w:t>,</w:t>
            </w:r>
            <w:r>
              <w:rPr>
                <w:szCs w:val="21"/>
              </w:rPr>
              <w:t>468</w:t>
            </w:r>
          </w:p>
        </w:tc>
        <w:tc>
          <w:tcPr>
            <w:tcW w:w="2547" w:type="dxa"/>
            <w:vAlign w:val="center"/>
          </w:tcPr>
          <w:p>
            <w:pPr>
              <w:ind w:left="441"/>
              <w:jc w:val="right"/>
              <w:rPr>
                <w:szCs w:val="21"/>
              </w:rPr>
            </w:pPr>
            <w:r>
              <w:rPr>
                <w:szCs w:val="21"/>
              </w:rPr>
              <w:t>1</w:t>
            </w:r>
            <w:r>
              <w:rPr>
                <w:rFonts w:hint="eastAsia"/>
                <w:szCs w:val="21"/>
              </w:rPr>
              <w:t>,</w:t>
            </w:r>
            <w:r>
              <w:rPr>
                <w:szCs w:val="21"/>
              </w:rPr>
              <w:t>698</w:t>
            </w:r>
          </w:p>
        </w:tc>
      </w:tr>
      <w:tr>
        <w:tblPrEx>
          <w:tblLayout w:type="fixed"/>
          <w:tblCellMar>
            <w:top w:w="0" w:type="dxa"/>
            <w:left w:w="0" w:type="dxa"/>
            <w:bottom w:w="0" w:type="dxa"/>
            <w:right w:w="0" w:type="dxa"/>
          </w:tblCellMar>
        </w:tblPrEx>
        <w:trPr>
          <w:trHeight w:val="631" w:hRule="exact"/>
          <w:jc w:val="center"/>
        </w:trPr>
        <w:tc>
          <w:tcPr>
            <w:tcW w:w="3035" w:type="dxa"/>
            <w:tcBorders>
              <w:top w:val="nil"/>
              <w:left w:val="nil"/>
              <w:bottom w:val="single" w:color="339966" w:sz="12" w:space="0"/>
              <w:right w:val="nil"/>
            </w:tcBorders>
            <w:shd w:val="clear" w:color="auto" w:fill="CCFFCC"/>
            <w:vAlign w:val="center"/>
          </w:tcPr>
          <w:p>
            <w:pPr>
              <w:adjustRightInd w:val="0"/>
              <w:snapToGrid w:val="0"/>
              <w:rPr>
                <w:szCs w:val="21"/>
              </w:rPr>
            </w:pPr>
            <w:r>
              <w:rPr>
                <w:szCs w:val="21"/>
              </w:rPr>
              <w:t xml:space="preserve">Foreign-funded </w:t>
            </w:r>
          </w:p>
          <w:p>
            <w:pPr>
              <w:adjustRightInd w:val="0"/>
              <w:snapToGrid w:val="0"/>
              <w:rPr>
                <w:szCs w:val="21"/>
              </w:rPr>
            </w:pPr>
            <w:r>
              <w:rPr>
                <w:szCs w:val="21"/>
              </w:rPr>
              <w:t xml:space="preserve">financial institutions </w:t>
            </w:r>
          </w:p>
        </w:tc>
        <w:tc>
          <w:tcPr>
            <w:tcW w:w="2724" w:type="dxa"/>
            <w:tcBorders>
              <w:top w:val="nil"/>
              <w:left w:val="single" w:color="339966" w:sz="4" w:space="0"/>
              <w:bottom w:val="single" w:color="339966" w:sz="12" w:space="0"/>
              <w:right w:val="nil"/>
            </w:tcBorders>
            <w:shd w:val="clear" w:color="auto" w:fill="CCFFCC"/>
            <w:vAlign w:val="center"/>
          </w:tcPr>
          <w:p>
            <w:pPr>
              <w:ind w:left="441"/>
              <w:jc w:val="right"/>
              <w:rPr>
                <w:szCs w:val="21"/>
              </w:rPr>
            </w:pPr>
            <w:r>
              <w:rPr>
                <w:szCs w:val="21"/>
              </w:rPr>
              <w:t>1</w:t>
            </w:r>
            <w:r>
              <w:rPr>
                <w:rFonts w:hint="eastAsia"/>
                <w:szCs w:val="21"/>
              </w:rPr>
              <w:t>,</w:t>
            </w:r>
            <w:r>
              <w:rPr>
                <w:szCs w:val="21"/>
              </w:rPr>
              <w:t>001</w:t>
            </w:r>
          </w:p>
        </w:tc>
        <w:tc>
          <w:tcPr>
            <w:tcW w:w="2547" w:type="dxa"/>
            <w:tcBorders>
              <w:top w:val="nil"/>
              <w:left w:val="nil"/>
              <w:bottom w:val="single" w:color="339966" w:sz="12" w:space="0"/>
              <w:right w:val="nil"/>
            </w:tcBorders>
            <w:shd w:val="clear" w:color="auto" w:fill="CCFFCC"/>
            <w:vAlign w:val="center"/>
          </w:tcPr>
          <w:p>
            <w:pPr>
              <w:ind w:left="441"/>
              <w:jc w:val="right"/>
              <w:rPr>
                <w:szCs w:val="21"/>
              </w:rPr>
            </w:pPr>
            <w:r>
              <w:rPr>
                <w:szCs w:val="21"/>
              </w:rPr>
              <w:t>473</w:t>
            </w:r>
          </w:p>
        </w:tc>
      </w:tr>
    </w:tbl>
    <w:p>
      <w:pPr>
        <w:pStyle w:val="34"/>
        <w:widowControl w:val="0"/>
        <w:autoSpaceDE w:val="0"/>
        <w:autoSpaceDN w:val="0"/>
        <w:adjustRightInd w:val="0"/>
        <w:spacing w:before="0" w:beforeAutospacing="0" w:after="0" w:afterAutospacing="0"/>
        <w:jc w:val="both"/>
        <w:rPr>
          <w:rFonts w:ascii="Times New Roman" w:hAnsi="Times New Roman" w:eastAsia="楷体_GB2312" w:cs="Times New Roman"/>
          <w:sz w:val="21"/>
          <w:szCs w:val="21"/>
        </w:rPr>
      </w:pPr>
      <w:r>
        <w:rPr>
          <w:rFonts w:ascii="Times New Roman" w:hAnsi="Times New Roman" w:eastAsia="楷体_GB2312" w:cs="Times New Roman"/>
          <w:sz w:val="21"/>
          <w:szCs w:val="21"/>
        </w:rPr>
        <w:t xml:space="preserve">Notes: 1. Chinese-funded large-sized banks refer to banks with assets (both in domestic and foreign currencies) of RMB 2 trillion or more (according to the amount of total assets in both domestic and foreign currencies at end-2008). </w:t>
      </w:r>
    </w:p>
    <w:p>
      <w:pPr>
        <w:pStyle w:val="34"/>
        <w:widowControl w:val="0"/>
        <w:autoSpaceDE w:val="0"/>
        <w:autoSpaceDN w:val="0"/>
        <w:adjustRightInd w:val="0"/>
        <w:spacing w:before="0" w:beforeAutospacing="0" w:after="0" w:afterAutospacing="0"/>
        <w:jc w:val="both"/>
        <w:rPr>
          <w:rFonts w:ascii="Times New Roman" w:hAnsi="Times New Roman" w:eastAsia="楷体_GB2312" w:cs="Times New Roman"/>
          <w:sz w:val="21"/>
          <w:szCs w:val="21"/>
        </w:rPr>
      </w:pPr>
      <w:r>
        <w:rPr>
          <w:rFonts w:ascii="Times New Roman" w:hAnsi="Times New Roman" w:eastAsia="楷体_GB2312" w:cs="Times New Roman"/>
          <w:sz w:val="21"/>
          <w:szCs w:val="21"/>
        </w:rPr>
        <w:t xml:space="preserve">2. Chinese-funded small- and medium-sized banks refer to banks with total assets (both in domestic and foreign currencies) of less than RMB 2 trillion (according to the amount of total assets in both domestic and foreign currencies at end-2008). </w:t>
      </w:r>
    </w:p>
    <w:p>
      <w:pPr>
        <w:pStyle w:val="34"/>
        <w:widowControl w:val="0"/>
        <w:autoSpaceDE w:val="0"/>
        <w:autoSpaceDN w:val="0"/>
        <w:adjustRightInd w:val="0"/>
        <w:spacing w:before="0" w:beforeAutospacing="0" w:after="0" w:afterAutospacing="0"/>
        <w:jc w:val="both"/>
        <w:rPr>
          <w:rFonts w:ascii="Times New Roman" w:hAnsi="Times New Roman" w:eastAsia="楷体_GB2312" w:cs="Times New Roman"/>
          <w:sz w:val="21"/>
          <w:szCs w:val="21"/>
        </w:rPr>
      </w:pPr>
      <w:r>
        <w:rPr>
          <w:rFonts w:ascii="Times New Roman" w:hAnsi="Times New Roman" w:eastAsia="楷体_GB2312" w:cs="Times New Roman"/>
          <w:sz w:val="21"/>
          <w:szCs w:val="21"/>
        </w:rPr>
        <w:t xml:space="preserve">3. Small-sized rural financial institutions include rural commercial banks, rural cooperative banks, and rural credit cooperatives. </w:t>
      </w:r>
    </w:p>
    <w:p>
      <w:pPr>
        <w:pStyle w:val="33"/>
        <w:spacing w:line="240" w:lineRule="auto"/>
        <w:ind w:firstLine="0" w:firstLineChars="0"/>
        <w:rPr>
          <w:rFonts w:ascii="Times New Roman" w:hAnsi="Times New Roman" w:eastAsia="楷体_GB2312"/>
          <w:sz w:val="21"/>
          <w:szCs w:val="21"/>
        </w:rPr>
      </w:pPr>
      <w:r>
        <w:rPr>
          <w:rFonts w:ascii="Times New Roman" w:hAnsi="Times New Roman" w:eastAsia="楷体_GB2312"/>
          <w:sz w:val="21"/>
          <w:szCs w:val="21"/>
        </w:rPr>
        <w:t>Source: People’s Bank of China</w:t>
      </w:r>
    </w:p>
    <w:p>
      <w:pPr>
        <w:pStyle w:val="33"/>
        <w:spacing w:line="240" w:lineRule="auto"/>
        <w:ind w:firstLine="0" w:firstLineChars="0"/>
        <w:rPr>
          <w:rFonts w:ascii="Times New Roman" w:hAnsi="Times New Roman" w:eastAsia="楷体_GB2312"/>
          <w:szCs w:val="24"/>
        </w:rPr>
      </w:pPr>
    </w:p>
    <w:p>
      <w:pPr>
        <w:pStyle w:val="33"/>
        <w:spacing w:line="240" w:lineRule="auto"/>
        <w:ind w:firstLine="0" w:firstLineChars="0"/>
        <w:rPr>
          <w:rFonts w:ascii="Times New Roman" w:hAnsi="Times New Roman" w:eastAsia="楷体_GB2312"/>
          <w:szCs w:val="24"/>
        </w:rPr>
      </w:pPr>
      <w:r>
        <w:rPr>
          <w:rFonts w:ascii="Times New Roman" w:hAnsi="Times New Roman" w:eastAsia="楷体_GB2312"/>
          <w:szCs w:val="24"/>
        </w:rPr>
        <w:t>Loans in foreign currencies increased considerably. As of end-</w:t>
      </w:r>
      <w:r>
        <w:rPr>
          <w:rFonts w:hint="eastAsia" w:ascii="Times New Roman" w:hAnsi="Times New Roman" w:eastAsia="楷体_GB2312"/>
          <w:szCs w:val="24"/>
        </w:rPr>
        <w:t>June</w:t>
      </w:r>
      <w:r>
        <w:rPr>
          <w:rFonts w:ascii="Times New Roman" w:hAnsi="Times New Roman" w:eastAsia="楷体_GB2312"/>
          <w:szCs w:val="24"/>
        </w:rPr>
        <w:t>, outstanding loans in foreign currencies of all financial institutions stood at USD 83</w:t>
      </w:r>
      <w:r>
        <w:rPr>
          <w:rFonts w:hint="eastAsia" w:ascii="Times New Roman" w:hAnsi="Times New Roman" w:eastAsia="楷体_GB2312"/>
          <w:szCs w:val="24"/>
        </w:rPr>
        <w:t>2</w:t>
      </w:r>
      <w:r>
        <w:rPr>
          <w:rFonts w:ascii="Times New Roman" w:hAnsi="Times New Roman" w:eastAsia="楷体_GB2312"/>
          <w:szCs w:val="24"/>
        </w:rPr>
        <w:t>.</w:t>
      </w:r>
      <w:r>
        <w:rPr>
          <w:rFonts w:hint="eastAsia" w:ascii="Times New Roman" w:hAnsi="Times New Roman" w:eastAsia="楷体_GB2312"/>
          <w:szCs w:val="24"/>
        </w:rPr>
        <w:t>7</w:t>
      </w:r>
      <w:r>
        <w:rPr>
          <w:rFonts w:ascii="Times New Roman" w:hAnsi="Times New Roman" w:eastAsia="楷体_GB2312"/>
          <w:szCs w:val="24"/>
        </w:rPr>
        <w:t xml:space="preserve"> billion, representing an increase of USD </w:t>
      </w:r>
      <w:r>
        <w:rPr>
          <w:rFonts w:hint="eastAsia" w:ascii="Times New Roman" w:hAnsi="Times New Roman" w:eastAsia="楷体_GB2312"/>
          <w:szCs w:val="24"/>
        </w:rPr>
        <w:t>46.9</w:t>
      </w:r>
      <w:r>
        <w:rPr>
          <w:rFonts w:ascii="Times New Roman" w:hAnsi="Times New Roman" w:eastAsia="楷体_GB2312"/>
          <w:szCs w:val="24"/>
        </w:rPr>
        <w:t xml:space="preserve"> billion from the beginning of the year and an acceleration of USD </w:t>
      </w:r>
      <w:r>
        <w:rPr>
          <w:rFonts w:hint="eastAsia" w:ascii="Times New Roman" w:hAnsi="Times New Roman" w:eastAsia="楷体_GB2312"/>
          <w:szCs w:val="24"/>
        </w:rPr>
        <w:t>9</w:t>
      </w:r>
      <w:r>
        <w:rPr>
          <w:rFonts w:ascii="Times New Roman" w:hAnsi="Times New Roman" w:eastAsia="楷体_GB2312"/>
          <w:szCs w:val="24"/>
        </w:rPr>
        <w:t>2.</w:t>
      </w:r>
      <w:r>
        <w:rPr>
          <w:rFonts w:hint="eastAsia" w:ascii="Times New Roman" w:hAnsi="Times New Roman" w:eastAsia="楷体_GB2312"/>
          <w:szCs w:val="24"/>
        </w:rPr>
        <w:t>1</w:t>
      </w:r>
      <w:r>
        <w:rPr>
          <w:rFonts w:ascii="Times New Roman" w:hAnsi="Times New Roman" w:eastAsia="楷体_GB2312"/>
          <w:szCs w:val="24"/>
        </w:rPr>
        <w:t xml:space="preserve"> billion year on year. In terms of the use of loans, short-term loans by non-financial enterprises and government departments and organizations increased by USD </w:t>
      </w:r>
      <w:r>
        <w:rPr>
          <w:rFonts w:hint="eastAsia" w:ascii="Times New Roman" w:hAnsi="Times New Roman" w:eastAsia="楷体_GB2312"/>
          <w:szCs w:val="24"/>
        </w:rPr>
        <w:t>7.0</w:t>
      </w:r>
      <w:r>
        <w:rPr>
          <w:rFonts w:ascii="Times New Roman" w:hAnsi="Times New Roman" w:eastAsia="楷体_GB2312"/>
          <w:szCs w:val="24"/>
        </w:rPr>
        <w:t xml:space="preserve"> billion from the beginning of the year, an acceleration of USD </w:t>
      </w:r>
      <w:r>
        <w:rPr>
          <w:rFonts w:hint="eastAsia" w:ascii="Times New Roman" w:hAnsi="Times New Roman" w:eastAsia="楷体_GB2312"/>
          <w:szCs w:val="24"/>
        </w:rPr>
        <w:t>65.0</w:t>
      </w:r>
      <w:r>
        <w:rPr>
          <w:rFonts w:ascii="Times New Roman" w:hAnsi="Times New Roman" w:eastAsia="楷体_GB2312"/>
          <w:szCs w:val="24"/>
        </w:rPr>
        <w:t xml:space="preserve"> billion; external loans increased by USD 39.</w:t>
      </w:r>
      <w:r>
        <w:rPr>
          <w:rFonts w:hint="eastAsia" w:ascii="Times New Roman" w:hAnsi="Times New Roman" w:eastAsia="楷体_GB2312"/>
          <w:szCs w:val="24"/>
        </w:rPr>
        <w:t>8</w:t>
      </w:r>
      <w:r>
        <w:rPr>
          <w:rFonts w:ascii="Times New Roman" w:hAnsi="Times New Roman" w:eastAsia="楷体_GB2312"/>
          <w:szCs w:val="24"/>
        </w:rPr>
        <w:t xml:space="preserve"> billion from the beginning of the year, an acceleration of USD 26.</w:t>
      </w:r>
      <w:r>
        <w:rPr>
          <w:rFonts w:hint="eastAsia" w:ascii="Times New Roman" w:hAnsi="Times New Roman" w:eastAsia="楷体_GB2312"/>
          <w:szCs w:val="24"/>
        </w:rPr>
        <w:t>7</w:t>
      </w:r>
      <w:r>
        <w:rPr>
          <w:rFonts w:ascii="Times New Roman" w:hAnsi="Times New Roman" w:eastAsia="楷体_GB2312"/>
          <w:szCs w:val="24"/>
        </w:rPr>
        <w:t xml:space="preserve"> billion.</w:t>
      </w:r>
    </w:p>
    <w:p/>
    <w:p>
      <w:pPr>
        <w:keepNext/>
        <w:widowControl/>
        <w:spacing w:after="240" w:line="264" w:lineRule="auto"/>
        <w:outlineLvl w:val="1"/>
        <w:rPr>
          <w:rFonts w:cs="Arial"/>
          <w:b/>
          <w:bCs/>
          <w:iCs/>
          <w:kern w:val="0"/>
          <w:sz w:val="24"/>
          <w:szCs w:val="28"/>
          <w:lang w:eastAsia="zh-TW"/>
        </w:rPr>
      </w:pPr>
      <w:bookmarkStart w:id="31" w:name="_Toc492904370"/>
      <w:r>
        <w:rPr>
          <w:rFonts w:eastAsia="黑体" w:cs="Arial"/>
          <w:b/>
          <w:bCs/>
          <w:iCs/>
          <w:kern w:val="0"/>
          <w:sz w:val="24"/>
          <w:szCs w:val="28"/>
          <w:lang w:eastAsia="zh-TW"/>
        </w:rPr>
        <w:t xml:space="preserve">IV. All-system Financing Aggregates </w:t>
      </w:r>
      <w:r>
        <w:rPr>
          <w:rFonts w:cs="Arial"/>
          <w:b/>
          <w:bCs/>
          <w:iCs/>
          <w:kern w:val="0"/>
          <w:sz w:val="24"/>
          <w:szCs w:val="28"/>
          <w:lang w:eastAsia="zh-TW"/>
        </w:rPr>
        <w:t>Grew at a Reasonable Pace</w:t>
      </w:r>
      <w:bookmarkEnd w:id="31"/>
    </w:p>
    <w:p>
      <w:pPr>
        <w:rPr>
          <w:sz w:val="24"/>
        </w:rPr>
      </w:pPr>
      <w:bookmarkStart w:id="32" w:name="_Toc448847810"/>
      <w:bookmarkStart w:id="33" w:name="_Toc426729151"/>
      <w:bookmarkStart w:id="34" w:name="_Toc472524612"/>
      <w:r>
        <w:rPr>
          <w:sz w:val="24"/>
        </w:rPr>
        <w:t xml:space="preserve">According to preliminary statistics, at the end of </w:t>
      </w:r>
      <w:r>
        <w:rPr>
          <w:rFonts w:hint="eastAsia"/>
          <w:sz w:val="24"/>
        </w:rPr>
        <w:t>June</w:t>
      </w:r>
      <w:r>
        <w:rPr>
          <w:sz w:val="24"/>
        </w:rPr>
        <w:t xml:space="preserve"> stocks of all-system financing aggregates reached RMB 166.92 trillion, up 12.8 percent year on year and representing an acceleration of 0.4 percentage point from the same period of the last year. During the first half of 2017, incremental all-system financing aggregates reached RMB 11.17 trillion, up RMB 1.36 trillion</w:t>
      </w:r>
      <w:r>
        <w:rPr>
          <w:rFonts w:hint="eastAsia"/>
          <w:sz w:val="24"/>
        </w:rPr>
        <w:t xml:space="preserve"> year on year</w:t>
      </w:r>
      <w:r>
        <w:rPr>
          <w:sz w:val="24"/>
        </w:rPr>
        <w:t>.</w:t>
      </w:r>
      <w:r>
        <w:t xml:space="preserve"> </w:t>
      </w:r>
      <w:r>
        <w:rPr>
          <w:sz w:val="24"/>
        </w:rPr>
        <w:t xml:space="preserve">Incremental all-system financing aggregates was characterized by the following three features. First, growth of RMB loans to the real economy registered a year-on-year acceleration. During the first half of 2017, RMB loans to the real economy increased by RMB 8.21 trillion, an acceleration of RMB 728.8 billion from the same period of </w:t>
      </w:r>
      <w:r>
        <w:rPr>
          <w:rFonts w:hint="eastAsia"/>
          <w:sz w:val="24"/>
        </w:rPr>
        <w:t xml:space="preserve">the </w:t>
      </w:r>
      <w:r>
        <w:rPr>
          <w:sz w:val="24"/>
        </w:rPr>
        <w:t>last year, accounting for 73.5 percent of incremental all-system financing aggregates. Second, growth of trust loans and undiscounted bankers’ acceptance bills registered a significant year-on-year acceleration, whereas growth of entrusted loans registered a considerable year-on-year deceleration. During the first half of 2017, trust loans increased by RMB 1.31 trillion, representing an acceleration of RMB 1.03 trillion from the same period of the last year; undiscounted bankers’ acceptance bills increased by RMB 569.6 billion, representing an acceleration of RMB 1.85 trillion; and entrusted loans increased by RMB 598.8 billion, representing a deceleration of RMB 447.7 billion. Third, the decline in corporate bond financing posted a significant year-on-year acceleration and stock financing registered a year-on-year decrease. During the first half of 2017, corporate bond financing decreased by RMB 370.8 billion, about RMB 2.14 trillion</w:t>
      </w:r>
      <w:r>
        <w:rPr>
          <w:rFonts w:hint="eastAsia"/>
          <w:sz w:val="24"/>
        </w:rPr>
        <w:t xml:space="preserve"> </w:t>
      </w:r>
      <w:r>
        <w:rPr>
          <w:sz w:val="24"/>
        </w:rPr>
        <w:t>more than that during the</w:t>
      </w:r>
      <w:r>
        <w:rPr>
          <w:rFonts w:hint="eastAsia"/>
          <w:sz w:val="24"/>
        </w:rPr>
        <w:t xml:space="preserve"> same period of the last year</w:t>
      </w:r>
      <w:r>
        <w:rPr>
          <w:sz w:val="24"/>
        </w:rPr>
        <w:t>, and non-financial corporate stock financing recorded RMB 470.2 billion, which was a decrease of RMB 132.1 billion from the same period of</w:t>
      </w:r>
      <w:r>
        <w:rPr>
          <w:rFonts w:hint="eastAsia"/>
          <w:sz w:val="24"/>
        </w:rPr>
        <w:t xml:space="preserve"> the</w:t>
      </w:r>
      <w:r>
        <w:rPr>
          <w:sz w:val="24"/>
        </w:rPr>
        <w:t xml:space="preserve"> last year.</w:t>
      </w:r>
    </w:p>
    <w:p>
      <w:pPr>
        <w:rPr>
          <w:sz w:val="24"/>
        </w:rPr>
      </w:pPr>
    </w:p>
    <w:p>
      <w:pPr>
        <w:keepNext/>
        <w:jc w:val="center"/>
        <w:rPr>
          <w:b/>
          <w:sz w:val="24"/>
        </w:rPr>
      </w:pPr>
      <w:bookmarkStart w:id="35" w:name="_Toc477878108"/>
      <w:bookmarkStart w:id="36" w:name="_Toc492909026"/>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4</w:t>
      </w:r>
      <w:r>
        <w:rPr>
          <w:b/>
          <w:sz w:val="24"/>
        </w:rPr>
        <w:fldChar w:fldCharType="end"/>
      </w:r>
      <w:r>
        <w:rPr>
          <w:b/>
          <w:sz w:val="24"/>
        </w:rPr>
        <w:t xml:space="preserve"> Stocks of All-System Financing Aggregates at </w:t>
      </w:r>
      <w:bookmarkEnd w:id="35"/>
      <w:r>
        <w:rPr>
          <w:b/>
          <w:sz w:val="24"/>
        </w:rPr>
        <w:t>end-June, 2017</w:t>
      </w:r>
      <w:bookmarkEnd w:id="36"/>
    </w:p>
    <w:p>
      <w:pPr>
        <w:jc w:val="right"/>
        <w:rPr>
          <w:rFonts w:eastAsia="仿宋_GB2312"/>
          <w:szCs w:val="21"/>
        </w:rPr>
      </w:pPr>
      <w:bookmarkStart w:id="37" w:name="_Toc464812275"/>
      <w:bookmarkStart w:id="38" w:name="_Toc411351836"/>
      <w:bookmarkStart w:id="39" w:name="_Toc423005526"/>
      <w:r>
        <w:rPr>
          <w:szCs w:val="21"/>
        </w:rPr>
        <w:t>Unit: RMB 100 million, %</w:t>
      </w:r>
    </w:p>
    <w:bookmarkEnd w:id="37"/>
    <w:tbl>
      <w:tblPr>
        <w:tblStyle w:val="20"/>
        <w:tblW w:w="8442" w:type="dxa"/>
        <w:jc w:val="center"/>
        <w:tblInd w:w="0" w:type="dxa"/>
        <w:tblLayout w:type="fixed"/>
        <w:tblCellMar>
          <w:top w:w="0" w:type="dxa"/>
          <w:left w:w="0" w:type="dxa"/>
          <w:bottom w:w="0" w:type="dxa"/>
          <w:right w:w="0" w:type="dxa"/>
        </w:tblCellMar>
      </w:tblPr>
      <w:tblGrid>
        <w:gridCol w:w="1134"/>
        <w:gridCol w:w="993"/>
        <w:gridCol w:w="918"/>
        <w:gridCol w:w="992"/>
        <w:gridCol w:w="709"/>
        <w:gridCol w:w="499"/>
        <w:gridCol w:w="1276"/>
        <w:gridCol w:w="918"/>
        <w:gridCol w:w="1003"/>
      </w:tblGrid>
      <w:tr>
        <w:tblPrEx>
          <w:tblLayout w:type="fixed"/>
        </w:tblPrEx>
        <w:trPr>
          <w:cantSplit/>
          <w:trHeight w:val="285" w:hRule="atLeast"/>
          <w:jc w:val="center"/>
        </w:trPr>
        <w:tc>
          <w:tcPr>
            <w:tcW w:w="1134" w:type="dxa"/>
            <w:vMerge w:val="restart"/>
            <w:tcBorders>
              <w:top w:val="single" w:color="008000" w:sz="6" w:space="0"/>
              <w:left w:val="nil"/>
              <w:right w:val="single" w:color="008000" w:sz="4" w:space="0"/>
            </w:tcBorders>
            <w:shd w:val="clear" w:color="auto" w:fill="CCFFCC"/>
            <w:tcMar>
              <w:top w:w="20" w:type="dxa"/>
              <w:left w:w="20" w:type="dxa"/>
              <w:bottom w:w="0" w:type="dxa"/>
              <w:right w:w="20" w:type="dxa"/>
            </w:tcMar>
            <w:vAlign w:val="center"/>
          </w:tcPr>
          <w:p>
            <w:pPr>
              <w:widowControl/>
              <w:jc w:val="left"/>
            </w:pPr>
          </w:p>
        </w:tc>
        <w:tc>
          <w:tcPr>
            <w:tcW w:w="993" w:type="dxa"/>
            <w:vMerge w:val="restart"/>
            <w:tcBorders>
              <w:top w:val="single" w:color="008000" w:sz="6" w:space="0"/>
              <w:left w:val="single" w:color="008000" w:sz="4" w:space="0"/>
              <w:right w:val="single" w:color="008000" w:sz="4" w:space="0"/>
            </w:tcBorders>
            <w:shd w:val="clear" w:color="auto" w:fill="CCFFCC"/>
            <w:tcMar>
              <w:top w:w="20" w:type="dxa"/>
              <w:left w:w="20" w:type="dxa"/>
              <w:bottom w:w="0" w:type="dxa"/>
              <w:right w:w="20" w:type="dxa"/>
            </w:tcMar>
            <w:vAlign w:val="center"/>
          </w:tcPr>
          <w:p>
            <w:pPr>
              <w:jc w:val="center"/>
            </w:pPr>
            <w:r>
              <w:t>All-system financing aggregates</w:t>
            </w:r>
            <w:r>
              <w:rPr>
                <w:szCs w:val="16"/>
                <w:vertAlign w:val="superscript"/>
              </w:rPr>
              <w:t xml:space="preserve"> </w:t>
            </w:r>
            <w:r>
              <w:rPr>
                <w:szCs w:val="16"/>
                <w:vertAlign w:val="superscript"/>
              </w:rPr>
              <w:fldChar w:fldCharType="begin"/>
            </w:r>
            <w:r>
              <w:rPr>
                <w:szCs w:val="16"/>
                <w:vertAlign w:val="superscript"/>
              </w:rPr>
              <w:instrText xml:space="preserve"> </w:instrText>
            </w:r>
            <w:r>
              <w:rPr>
                <w:rFonts w:hint="eastAsia"/>
                <w:szCs w:val="16"/>
                <w:vertAlign w:val="superscript"/>
              </w:rPr>
              <w:instrText xml:space="preserve">= 1 \* GB3</w:instrText>
            </w:r>
            <w:r>
              <w:rPr>
                <w:szCs w:val="16"/>
                <w:vertAlign w:val="superscript"/>
              </w:rPr>
              <w:instrText xml:space="preserve"> </w:instrText>
            </w:r>
            <w:r>
              <w:rPr>
                <w:szCs w:val="16"/>
                <w:vertAlign w:val="superscript"/>
              </w:rPr>
              <w:fldChar w:fldCharType="separate"/>
            </w:r>
            <w:r>
              <w:rPr>
                <w:rFonts w:hint="eastAsia"/>
                <w:szCs w:val="16"/>
                <w:vertAlign w:val="superscript"/>
              </w:rPr>
              <w:t>①</w:t>
            </w:r>
            <w:r>
              <w:rPr>
                <w:szCs w:val="16"/>
                <w:vertAlign w:val="superscript"/>
              </w:rPr>
              <w:fldChar w:fldCharType="end"/>
            </w:r>
          </w:p>
        </w:tc>
        <w:tc>
          <w:tcPr>
            <w:tcW w:w="6315" w:type="dxa"/>
            <w:gridSpan w:val="7"/>
            <w:tcBorders>
              <w:top w:val="single" w:color="008000" w:sz="6" w:space="0"/>
              <w:left w:val="single" w:color="008000" w:sz="4" w:space="0"/>
              <w:bottom w:val="single" w:color="008000" w:sz="4" w:space="0"/>
            </w:tcBorders>
            <w:shd w:val="clear" w:color="auto" w:fill="CCFFCC"/>
            <w:tcMar>
              <w:top w:w="20" w:type="dxa"/>
              <w:left w:w="20" w:type="dxa"/>
              <w:bottom w:w="0" w:type="dxa"/>
              <w:right w:w="20" w:type="dxa"/>
            </w:tcMar>
            <w:vAlign w:val="center"/>
          </w:tcPr>
          <w:p>
            <w:r>
              <w:t>Of which:</w:t>
            </w:r>
          </w:p>
        </w:tc>
      </w:tr>
      <w:tr>
        <w:tblPrEx>
          <w:tblLayout w:type="fixed"/>
          <w:tblCellMar>
            <w:top w:w="0" w:type="dxa"/>
            <w:left w:w="0" w:type="dxa"/>
            <w:bottom w:w="0" w:type="dxa"/>
            <w:right w:w="0" w:type="dxa"/>
          </w:tblCellMar>
        </w:tblPrEx>
        <w:trPr>
          <w:cantSplit/>
          <w:trHeight w:val="720" w:hRule="atLeast"/>
          <w:jc w:val="center"/>
        </w:trPr>
        <w:tc>
          <w:tcPr>
            <w:tcW w:w="1134" w:type="dxa"/>
            <w:vMerge w:val="continue"/>
            <w:tcBorders>
              <w:left w:val="nil"/>
              <w:bottom w:val="single" w:color="008000" w:sz="6" w:space="0"/>
              <w:right w:val="single" w:color="008000" w:sz="4" w:space="0"/>
            </w:tcBorders>
            <w:shd w:val="clear" w:color="auto" w:fill="CCFFCC"/>
            <w:vAlign w:val="center"/>
          </w:tcPr>
          <w:p>
            <w:pPr>
              <w:jc w:val="center"/>
              <w:rPr>
                <w:b/>
                <w:bCs/>
              </w:rPr>
            </w:pPr>
          </w:p>
        </w:tc>
        <w:tc>
          <w:tcPr>
            <w:tcW w:w="993" w:type="dxa"/>
            <w:vMerge w:val="continue"/>
            <w:tcBorders>
              <w:left w:val="single" w:color="008000" w:sz="4" w:space="0"/>
              <w:bottom w:val="single" w:color="008000" w:sz="6" w:space="0"/>
              <w:right w:val="single" w:color="008000" w:sz="4" w:space="0"/>
            </w:tcBorders>
            <w:shd w:val="clear" w:color="auto" w:fill="CCFFCC"/>
            <w:vAlign w:val="center"/>
          </w:tcPr>
          <w:p>
            <w:pPr>
              <w:jc w:val="center"/>
              <w:rPr>
                <w:b/>
                <w:bCs/>
              </w:rPr>
            </w:pPr>
          </w:p>
        </w:tc>
        <w:tc>
          <w:tcPr>
            <w:tcW w:w="918"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pPr>
            <w:r>
              <w:t xml:space="preserve">RMB loans </w:t>
            </w:r>
          </w:p>
        </w:tc>
        <w:tc>
          <w:tcPr>
            <w:tcW w:w="992"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Cs w:val="21"/>
              </w:rPr>
            </w:pPr>
            <w:r>
              <w:rPr>
                <w:szCs w:val="21"/>
              </w:rPr>
              <w:t>Foreign- currency denominated (RMB equivalent)</w:t>
            </w:r>
          </w:p>
        </w:tc>
        <w:tc>
          <w:tcPr>
            <w:tcW w:w="709"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Cs w:val="21"/>
              </w:rPr>
            </w:pPr>
            <w:r>
              <w:rPr>
                <w:szCs w:val="21"/>
              </w:rPr>
              <w:t>Entrusted loans</w:t>
            </w:r>
          </w:p>
        </w:tc>
        <w:tc>
          <w:tcPr>
            <w:tcW w:w="499"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Cs w:val="21"/>
              </w:rPr>
            </w:pPr>
            <w:r>
              <w:rPr>
                <w:szCs w:val="21"/>
              </w:rPr>
              <w:t xml:space="preserve">Trust loans </w:t>
            </w:r>
          </w:p>
        </w:tc>
        <w:tc>
          <w:tcPr>
            <w:tcW w:w="1276"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Cs w:val="21"/>
              </w:rPr>
            </w:pPr>
            <w:r>
              <w:rPr>
                <w:szCs w:val="21"/>
              </w:rPr>
              <w:t xml:space="preserve">Undiscounted bankers’ acceptances </w:t>
            </w:r>
          </w:p>
        </w:tc>
        <w:tc>
          <w:tcPr>
            <w:tcW w:w="918"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Cs w:val="21"/>
              </w:rPr>
            </w:pPr>
            <w:r>
              <w:rPr>
                <w:szCs w:val="21"/>
              </w:rPr>
              <w:t>Enterprise bonds</w:t>
            </w:r>
          </w:p>
        </w:tc>
        <w:tc>
          <w:tcPr>
            <w:tcW w:w="1003" w:type="dxa"/>
            <w:tcBorders>
              <w:top w:val="single" w:color="008000" w:sz="4" w:space="0"/>
              <w:left w:val="single" w:color="008000" w:sz="4" w:space="0"/>
              <w:bottom w:val="single" w:color="008000" w:sz="6" w:space="0"/>
              <w:right w:val="nil"/>
            </w:tcBorders>
            <w:shd w:val="clear" w:color="auto" w:fill="CCFFCC"/>
            <w:tcMar>
              <w:top w:w="20" w:type="dxa"/>
              <w:left w:w="20" w:type="dxa"/>
              <w:bottom w:w="0" w:type="dxa"/>
              <w:right w:w="20" w:type="dxa"/>
            </w:tcMar>
            <w:vAlign w:val="center"/>
          </w:tcPr>
          <w:p>
            <w:pPr>
              <w:jc w:val="center"/>
              <w:rPr>
                <w:szCs w:val="21"/>
              </w:rPr>
            </w:pPr>
            <w:r>
              <w:rPr>
                <w:szCs w:val="21"/>
              </w:rPr>
              <w:t>Financing by domestic institutions via domestic stock markets</w:t>
            </w:r>
          </w:p>
        </w:tc>
      </w:tr>
      <w:tr>
        <w:tblPrEx>
          <w:tblLayout w:type="fixed"/>
          <w:tblCellMar>
            <w:top w:w="0" w:type="dxa"/>
            <w:left w:w="0" w:type="dxa"/>
            <w:bottom w:w="0" w:type="dxa"/>
            <w:right w:w="0" w:type="dxa"/>
          </w:tblCellMar>
        </w:tblPrEx>
        <w:trPr>
          <w:trHeight w:val="375" w:hRule="atLeast"/>
          <w:jc w:val="center"/>
        </w:trPr>
        <w:tc>
          <w:tcPr>
            <w:tcW w:w="1134" w:type="dxa"/>
            <w:tcBorders>
              <w:top w:val="single" w:color="C0C0C0" w:sz="4" w:space="0"/>
              <w:left w:val="nil"/>
              <w:bottom w:val="single" w:color="C0C0C0" w:sz="4" w:space="0"/>
              <w:right w:val="single" w:color="008000" w:sz="4" w:space="0"/>
            </w:tcBorders>
            <w:shd w:val="clear" w:color="auto" w:fill="FFFFFF"/>
            <w:tcMar>
              <w:top w:w="20" w:type="dxa"/>
              <w:left w:w="20" w:type="dxa"/>
              <w:bottom w:w="0" w:type="dxa"/>
              <w:right w:w="20" w:type="dxa"/>
            </w:tcMar>
            <w:vAlign w:val="center"/>
          </w:tcPr>
          <w:p>
            <w:r>
              <w:t>End-June</w:t>
            </w:r>
            <w:r>
              <w:rPr>
                <w:szCs w:val="16"/>
                <w:vertAlign w:val="superscript"/>
              </w:rPr>
              <w:fldChar w:fldCharType="begin"/>
            </w:r>
            <w:r>
              <w:rPr>
                <w:szCs w:val="16"/>
                <w:vertAlign w:val="superscript"/>
              </w:rPr>
              <w:instrText xml:space="preserve"> </w:instrText>
            </w:r>
            <w:r>
              <w:rPr>
                <w:rFonts w:hint="eastAsia"/>
                <w:szCs w:val="16"/>
                <w:vertAlign w:val="superscript"/>
              </w:rPr>
              <w:instrText xml:space="preserve">= 2 \* GB3</w:instrText>
            </w:r>
            <w:r>
              <w:rPr>
                <w:szCs w:val="16"/>
                <w:vertAlign w:val="superscript"/>
              </w:rPr>
              <w:instrText xml:space="preserve"> </w:instrText>
            </w:r>
            <w:r>
              <w:rPr>
                <w:szCs w:val="16"/>
                <w:vertAlign w:val="superscript"/>
              </w:rPr>
              <w:fldChar w:fldCharType="separate"/>
            </w:r>
            <w:r>
              <w:rPr>
                <w:rFonts w:hint="eastAsia"/>
                <w:szCs w:val="16"/>
                <w:vertAlign w:val="superscript"/>
              </w:rPr>
              <w:t>②</w:t>
            </w:r>
            <w:r>
              <w:rPr>
                <w:szCs w:val="16"/>
                <w:vertAlign w:val="superscript"/>
              </w:rPr>
              <w:fldChar w:fldCharType="end"/>
            </w:r>
            <w:r>
              <w:t xml:space="preserve"> </w:t>
            </w:r>
          </w:p>
        </w:tc>
        <w:tc>
          <w:tcPr>
            <w:tcW w:w="993"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166.92 </w:t>
            </w:r>
          </w:p>
        </w:tc>
        <w:tc>
          <w:tcPr>
            <w:tcW w:w="918"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113.40 </w:t>
            </w:r>
          </w:p>
        </w:tc>
        <w:tc>
          <w:tcPr>
            <w:tcW w:w="992"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2.62 </w:t>
            </w:r>
          </w:p>
        </w:tc>
        <w:tc>
          <w:tcPr>
            <w:tcW w:w="709"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13.79 </w:t>
            </w:r>
          </w:p>
        </w:tc>
        <w:tc>
          <w:tcPr>
            <w:tcW w:w="499"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7.59 </w:t>
            </w:r>
          </w:p>
        </w:tc>
        <w:tc>
          <w:tcPr>
            <w:tcW w:w="1276"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4.47 </w:t>
            </w:r>
          </w:p>
        </w:tc>
        <w:tc>
          <w:tcPr>
            <w:tcW w:w="918"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17.67 </w:t>
            </w:r>
          </w:p>
        </w:tc>
        <w:tc>
          <w:tcPr>
            <w:tcW w:w="1003" w:type="dxa"/>
            <w:tcBorders>
              <w:top w:val="single" w:color="C0C0C0" w:sz="4" w:space="0"/>
              <w:left w:val="single" w:color="008000" w:sz="4" w:space="0"/>
              <w:bottom w:val="single" w:color="C0C0C0" w:sz="4" w:space="0"/>
              <w:right w:val="nil"/>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6.24 </w:t>
            </w:r>
          </w:p>
        </w:tc>
      </w:tr>
      <w:tr>
        <w:tblPrEx>
          <w:tblLayout w:type="fixed"/>
          <w:tblCellMar>
            <w:top w:w="0" w:type="dxa"/>
            <w:left w:w="0" w:type="dxa"/>
            <w:bottom w:w="0" w:type="dxa"/>
            <w:right w:w="0" w:type="dxa"/>
          </w:tblCellMar>
        </w:tblPrEx>
        <w:trPr>
          <w:trHeight w:val="375" w:hRule="atLeast"/>
          <w:jc w:val="center"/>
        </w:trPr>
        <w:tc>
          <w:tcPr>
            <w:tcW w:w="1134" w:type="dxa"/>
            <w:tcBorders>
              <w:top w:val="single" w:color="C0C0C0" w:sz="4" w:space="0"/>
              <w:left w:val="nil"/>
              <w:bottom w:val="single" w:color="008000" w:sz="6" w:space="0"/>
              <w:right w:val="single" w:color="008000" w:sz="4" w:space="0"/>
            </w:tcBorders>
            <w:shd w:val="clear" w:color="auto" w:fill="CCFFCC"/>
            <w:tcMar>
              <w:top w:w="20" w:type="dxa"/>
              <w:left w:w="20" w:type="dxa"/>
              <w:bottom w:w="0" w:type="dxa"/>
              <w:right w:w="20" w:type="dxa"/>
            </w:tcMar>
            <w:vAlign w:val="center"/>
          </w:tcPr>
          <w:p>
            <w:r>
              <w:t>YOY change</w:t>
            </w:r>
          </w:p>
        </w:tc>
        <w:tc>
          <w:tcPr>
            <w:tcW w:w="993"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pPr>
              <w:jc w:val="right"/>
            </w:pPr>
            <w:r>
              <w:t xml:space="preserve">12.8 </w:t>
            </w:r>
          </w:p>
        </w:tc>
        <w:tc>
          <w:tcPr>
            <w:tcW w:w="918"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pPr>
              <w:jc w:val="right"/>
            </w:pPr>
            <w:r>
              <w:t xml:space="preserve">13.1 </w:t>
            </w:r>
          </w:p>
        </w:tc>
        <w:tc>
          <w:tcPr>
            <w:tcW w:w="992"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pPr>
              <w:jc w:val="right"/>
            </w:pPr>
            <w:r>
              <w:t xml:space="preserve">-3.0 </w:t>
            </w:r>
          </w:p>
        </w:tc>
        <w:tc>
          <w:tcPr>
            <w:tcW w:w="709"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pPr>
              <w:jc w:val="right"/>
            </w:pPr>
            <w:r>
              <w:t xml:space="preserve">14.4 </w:t>
            </w:r>
          </w:p>
        </w:tc>
        <w:tc>
          <w:tcPr>
            <w:tcW w:w="499"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pPr>
              <w:jc w:val="right"/>
            </w:pPr>
            <w:r>
              <w:t xml:space="preserve">32.3 </w:t>
            </w:r>
          </w:p>
        </w:tc>
        <w:tc>
          <w:tcPr>
            <w:tcW w:w="1276"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pPr>
              <w:jc w:val="right"/>
            </w:pPr>
            <w:r>
              <w:t xml:space="preserve">-2.3 </w:t>
            </w:r>
          </w:p>
        </w:tc>
        <w:tc>
          <w:tcPr>
            <w:tcW w:w="918"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tcPr>
          <w:p>
            <w:pPr>
              <w:jc w:val="right"/>
            </w:pPr>
            <w:r>
              <w:t xml:space="preserve">7.1 </w:t>
            </w:r>
          </w:p>
        </w:tc>
        <w:tc>
          <w:tcPr>
            <w:tcW w:w="1003" w:type="dxa"/>
            <w:tcBorders>
              <w:top w:val="single" w:color="C0C0C0" w:sz="4" w:space="0"/>
              <w:left w:val="single" w:color="008000" w:sz="4" w:space="0"/>
              <w:bottom w:val="single" w:color="008000" w:sz="6" w:space="0"/>
              <w:right w:val="nil"/>
            </w:tcBorders>
            <w:shd w:val="clear" w:color="auto" w:fill="CCFFCC"/>
            <w:tcMar>
              <w:top w:w="20" w:type="dxa"/>
              <w:left w:w="20" w:type="dxa"/>
              <w:bottom w:w="0" w:type="dxa"/>
              <w:right w:w="20" w:type="dxa"/>
            </w:tcMar>
          </w:tcPr>
          <w:p>
            <w:pPr>
              <w:jc w:val="right"/>
            </w:pPr>
            <w:r>
              <w:t>21.7</w:t>
            </w:r>
          </w:p>
        </w:tc>
      </w:tr>
    </w:tbl>
    <w:p>
      <w:pPr>
        <w:autoSpaceDE w:val="0"/>
        <w:autoSpaceDN w:val="0"/>
        <w:adjustRightInd w:val="0"/>
        <w:rPr>
          <w:rFonts w:eastAsia="楷体_GB2312"/>
          <w:kern w:val="0"/>
          <w:szCs w:val="21"/>
        </w:rPr>
      </w:pPr>
      <w:r>
        <w:rPr>
          <w:rFonts w:eastAsia="楷体_GB2312"/>
          <w:kern w:val="0"/>
          <w:szCs w:val="21"/>
        </w:rPr>
        <w:t xml:space="preserve">Notes: 1. Stocks of all-system financing aggregates refer to the total outstanding volume of financing provided by the financial system to the real economy </w:t>
      </w:r>
      <w:r>
        <w:rPr>
          <w:kern w:val="0"/>
          <w:szCs w:val="21"/>
        </w:rPr>
        <w:t xml:space="preserve">(the non-financial corporate sectors and the household sectors in the domestic market) </w:t>
      </w:r>
      <w:r>
        <w:rPr>
          <w:rFonts w:eastAsia="楷体_GB2312"/>
          <w:kern w:val="0"/>
          <w:szCs w:val="21"/>
        </w:rPr>
        <w:t xml:space="preserve">at the end of a certain period of time. 2. Data for the current period are preliminary. Stocks are based on the book value or the face value. The year-on-year change is annualized and based on comparable data. </w:t>
      </w:r>
    </w:p>
    <w:p>
      <w:pPr>
        <w:autoSpaceDE w:val="0"/>
        <w:autoSpaceDN w:val="0"/>
        <w:adjustRightInd w:val="0"/>
        <w:rPr>
          <w:rFonts w:eastAsia="楷体_GB2312"/>
          <w:kern w:val="0"/>
          <w:szCs w:val="21"/>
        </w:rPr>
      </w:pPr>
      <w:r>
        <w:rPr>
          <w:rFonts w:eastAsia="楷体_GB2312"/>
          <w:kern w:val="0"/>
          <w:szCs w:val="21"/>
        </w:rPr>
        <w:t>Sources: People’s Bank of China, National Development and Reform Commission, China Securities Regulatory Commission, China Insurance Regulatory Commission, China Central Depository and Clearing Co., Ltd., and National Association of Financial Market Institutional Investors.</w:t>
      </w:r>
      <w:bookmarkEnd w:id="38"/>
      <w:bookmarkEnd w:id="39"/>
    </w:p>
    <w:p>
      <w:pPr>
        <w:rPr>
          <w:sz w:val="24"/>
        </w:rPr>
      </w:pPr>
    </w:p>
    <w:bookmarkEnd w:id="32"/>
    <w:bookmarkEnd w:id="33"/>
    <w:bookmarkEnd w:id="34"/>
    <w:p>
      <w:pPr>
        <w:keepNext/>
        <w:jc w:val="center"/>
        <w:rPr>
          <w:b/>
          <w:sz w:val="24"/>
        </w:rPr>
      </w:pPr>
      <w:bookmarkStart w:id="40" w:name="_Toc477878109"/>
      <w:bookmarkStart w:id="41" w:name="_Toc492909027"/>
      <w:bookmarkStart w:id="42" w:name="_Toc490242554"/>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5</w:t>
      </w:r>
      <w:r>
        <w:rPr>
          <w:b/>
          <w:sz w:val="24"/>
        </w:rPr>
        <w:fldChar w:fldCharType="end"/>
      </w:r>
      <w:r>
        <w:rPr>
          <w:b/>
          <w:sz w:val="24"/>
        </w:rPr>
        <w:t xml:space="preserve"> Increments in All-system Financing Aggregates during the First Half of 201</w:t>
      </w:r>
      <w:bookmarkEnd w:id="40"/>
      <w:r>
        <w:rPr>
          <w:b/>
          <w:sz w:val="24"/>
        </w:rPr>
        <w:t>7</w:t>
      </w:r>
      <w:bookmarkEnd w:id="41"/>
    </w:p>
    <w:p>
      <w:pPr>
        <w:jc w:val="right"/>
        <w:rPr>
          <w:rFonts w:eastAsia="仿宋_GB2312"/>
          <w:szCs w:val="21"/>
        </w:rPr>
      </w:pPr>
      <w:r>
        <w:rPr>
          <w:szCs w:val="21"/>
        </w:rPr>
        <w:t>Unit: RMB 100 million, %</w:t>
      </w:r>
    </w:p>
    <w:tbl>
      <w:tblPr>
        <w:tblStyle w:val="20"/>
        <w:tblW w:w="8442" w:type="dxa"/>
        <w:jc w:val="center"/>
        <w:tblInd w:w="0" w:type="dxa"/>
        <w:tblLayout w:type="fixed"/>
        <w:tblCellMar>
          <w:top w:w="0" w:type="dxa"/>
          <w:left w:w="0" w:type="dxa"/>
          <w:bottom w:w="0" w:type="dxa"/>
          <w:right w:w="0" w:type="dxa"/>
        </w:tblCellMar>
      </w:tblPr>
      <w:tblGrid>
        <w:gridCol w:w="1061"/>
        <w:gridCol w:w="992"/>
        <w:gridCol w:w="850"/>
        <w:gridCol w:w="1134"/>
        <w:gridCol w:w="851"/>
        <w:gridCol w:w="567"/>
        <w:gridCol w:w="1134"/>
        <w:gridCol w:w="925"/>
        <w:gridCol w:w="928"/>
      </w:tblGrid>
      <w:tr>
        <w:tblPrEx>
          <w:tblLayout w:type="fixed"/>
          <w:tblCellMar>
            <w:top w:w="0" w:type="dxa"/>
            <w:left w:w="0" w:type="dxa"/>
            <w:bottom w:w="0" w:type="dxa"/>
            <w:right w:w="0" w:type="dxa"/>
          </w:tblCellMar>
        </w:tblPrEx>
        <w:trPr>
          <w:cantSplit/>
          <w:trHeight w:val="285" w:hRule="atLeast"/>
          <w:jc w:val="center"/>
        </w:trPr>
        <w:tc>
          <w:tcPr>
            <w:tcW w:w="1061" w:type="dxa"/>
            <w:vMerge w:val="restart"/>
            <w:tcBorders>
              <w:top w:val="single" w:color="008000" w:sz="6" w:space="0"/>
              <w:left w:val="nil"/>
              <w:right w:val="single" w:color="008000" w:sz="4" w:space="0"/>
            </w:tcBorders>
            <w:shd w:val="clear" w:color="auto" w:fill="CCFFCC"/>
            <w:tcMar>
              <w:top w:w="20" w:type="dxa"/>
              <w:left w:w="20" w:type="dxa"/>
              <w:bottom w:w="0" w:type="dxa"/>
              <w:right w:w="20" w:type="dxa"/>
            </w:tcMar>
            <w:vAlign w:val="center"/>
          </w:tcPr>
          <w:p/>
        </w:tc>
        <w:tc>
          <w:tcPr>
            <w:tcW w:w="992" w:type="dxa"/>
            <w:vMerge w:val="restart"/>
            <w:tcBorders>
              <w:top w:val="single" w:color="008000" w:sz="6" w:space="0"/>
              <w:left w:val="single" w:color="008000" w:sz="4" w:space="0"/>
              <w:right w:val="single" w:color="008000" w:sz="4" w:space="0"/>
            </w:tcBorders>
            <w:shd w:val="clear" w:color="auto" w:fill="CCFFCC"/>
            <w:tcMar>
              <w:top w:w="20" w:type="dxa"/>
              <w:left w:w="20" w:type="dxa"/>
              <w:bottom w:w="0" w:type="dxa"/>
              <w:right w:w="20" w:type="dxa"/>
            </w:tcMar>
            <w:vAlign w:val="center"/>
          </w:tcPr>
          <w:p>
            <w:pPr>
              <w:jc w:val="center"/>
              <w:rPr>
                <w:sz w:val="18"/>
              </w:rPr>
            </w:pPr>
            <w:r>
              <w:rPr>
                <w:sz w:val="18"/>
              </w:rPr>
              <w:t>Incremental all-system financing aggregates</w:t>
            </w:r>
            <w:r>
              <w:rPr>
                <w:sz w:val="18"/>
                <w:szCs w:val="16"/>
                <w:vertAlign w:val="superscript"/>
              </w:rPr>
              <w:t xml:space="preserve"> </w:t>
            </w:r>
            <w:r>
              <w:rPr>
                <w:sz w:val="18"/>
                <w:szCs w:val="16"/>
                <w:vertAlign w:val="superscript"/>
              </w:rPr>
              <w:fldChar w:fldCharType="begin"/>
            </w:r>
            <w:r>
              <w:rPr>
                <w:sz w:val="18"/>
                <w:szCs w:val="16"/>
                <w:vertAlign w:val="superscript"/>
              </w:rPr>
              <w:instrText xml:space="preserve"> = 1 \* GB3 </w:instrText>
            </w:r>
            <w:r>
              <w:rPr>
                <w:sz w:val="18"/>
                <w:szCs w:val="16"/>
                <w:vertAlign w:val="superscript"/>
              </w:rPr>
              <w:fldChar w:fldCharType="separate"/>
            </w:r>
            <w:r>
              <w:rPr>
                <w:rFonts w:hint="eastAsia" w:ascii="宋体" w:hAnsi="宋体" w:cs="宋体"/>
                <w:sz w:val="18"/>
                <w:szCs w:val="16"/>
                <w:vertAlign w:val="superscript"/>
              </w:rPr>
              <w:t>①</w:t>
            </w:r>
            <w:r>
              <w:rPr>
                <w:sz w:val="18"/>
                <w:szCs w:val="16"/>
                <w:vertAlign w:val="superscript"/>
              </w:rPr>
              <w:fldChar w:fldCharType="end"/>
            </w:r>
          </w:p>
        </w:tc>
        <w:tc>
          <w:tcPr>
            <w:tcW w:w="6389" w:type="dxa"/>
            <w:gridSpan w:val="7"/>
            <w:tcBorders>
              <w:top w:val="single" w:color="008000" w:sz="6" w:space="0"/>
              <w:left w:val="single" w:color="008000" w:sz="4" w:space="0"/>
              <w:bottom w:val="single" w:color="008000" w:sz="4" w:space="0"/>
            </w:tcBorders>
            <w:shd w:val="clear" w:color="auto" w:fill="CCFFCC"/>
            <w:tcMar>
              <w:top w:w="20" w:type="dxa"/>
              <w:left w:w="20" w:type="dxa"/>
              <w:bottom w:w="0" w:type="dxa"/>
              <w:right w:w="20" w:type="dxa"/>
            </w:tcMar>
            <w:vAlign w:val="center"/>
          </w:tcPr>
          <w:p>
            <w:r>
              <w:t>Of which:</w:t>
            </w:r>
          </w:p>
        </w:tc>
      </w:tr>
      <w:tr>
        <w:tblPrEx>
          <w:tblLayout w:type="fixed"/>
        </w:tblPrEx>
        <w:trPr>
          <w:cantSplit/>
          <w:trHeight w:val="720" w:hRule="atLeast"/>
          <w:jc w:val="center"/>
        </w:trPr>
        <w:tc>
          <w:tcPr>
            <w:tcW w:w="1061" w:type="dxa"/>
            <w:vMerge w:val="continue"/>
            <w:tcBorders>
              <w:left w:val="nil"/>
              <w:bottom w:val="single" w:color="008000" w:sz="6" w:space="0"/>
              <w:right w:val="single" w:color="008000" w:sz="4" w:space="0"/>
            </w:tcBorders>
            <w:shd w:val="clear" w:color="auto" w:fill="CCFFCC"/>
            <w:vAlign w:val="center"/>
          </w:tcPr>
          <w:p>
            <w:pPr>
              <w:jc w:val="center"/>
              <w:rPr>
                <w:b/>
                <w:bCs/>
              </w:rPr>
            </w:pPr>
          </w:p>
        </w:tc>
        <w:tc>
          <w:tcPr>
            <w:tcW w:w="992" w:type="dxa"/>
            <w:vMerge w:val="continue"/>
            <w:tcBorders>
              <w:left w:val="single" w:color="008000" w:sz="4" w:space="0"/>
              <w:bottom w:val="single" w:color="008000" w:sz="6" w:space="0"/>
              <w:right w:val="single" w:color="008000" w:sz="4" w:space="0"/>
            </w:tcBorders>
            <w:shd w:val="clear" w:color="auto" w:fill="CCFFCC"/>
            <w:vAlign w:val="center"/>
          </w:tcPr>
          <w:p>
            <w:pPr>
              <w:jc w:val="center"/>
              <w:rPr>
                <w:b/>
                <w:bCs/>
              </w:rPr>
            </w:pPr>
          </w:p>
        </w:tc>
        <w:tc>
          <w:tcPr>
            <w:tcW w:w="850"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 w:val="18"/>
              </w:rPr>
            </w:pPr>
            <w:r>
              <w:rPr>
                <w:sz w:val="18"/>
              </w:rPr>
              <w:t xml:space="preserve">RMB loans </w:t>
            </w:r>
          </w:p>
        </w:tc>
        <w:tc>
          <w:tcPr>
            <w:tcW w:w="1134"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 w:val="18"/>
                <w:szCs w:val="21"/>
              </w:rPr>
            </w:pPr>
            <w:r>
              <w:rPr>
                <w:sz w:val="18"/>
                <w:szCs w:val="21"/>
              </w:rPr>
              <w:t>Foreign- currency</w:t>
            </w:r>
          </w:p>
          <w:p>
            <w:pPr>
              <w:jc w:val="center"/>
              <w:rPr>
                <w:sz w:val="18"/>
                <w:szCs w:val="21"/>
              </w:rPr>
            </w:pPr>
            <w:r>
              <w:rPr>
                <w:sz w:val="18"/>
                <w:szCs w:val="21"/>
              </w:rPr>
              <w:t>denominated (RMB equivalent)</w:t>
            </w:r>
          </w:p>
        </w:tc>
        <w:tc>
          <w:tcPr>
            <w:tcW w:w="851"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 w:val="18"/>
                <w:szCs w:val="21"/>
              </w:rPr>
            </w:pPr>
            <w:r>
              <w:rPr>
                <w:sz w:val="18"/>
                <w:szCs w:val="21"/>
              </w:rPr>
              <w:t>Entrusted loans</w:t>
            </w:r>
          </w:p>
        </w:tc>
        <w:tc>
          <w:tcPr>
            <w:tcW w:w="567"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 w:val="18"/>
                <w:szCs w:val="21"/>
              </w:rPr>
            </w:pPr>
            <w:r>
              <w:rPr>
                <w:sz w:val="18"/>
                <w:szCs w:val="21"/>
              </w:rPr>
              <w:t xml:space="preserve">Trust loans </w:t>
            </w:r>
          </w:p>
        </w:tc>
        <w:tc>
          <w:tcPr>
            <w:tcW w:w="1134"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 w:val="18"/>
                <w:szCs w:val="21"/>
              </w:rPr>
            </w:pPr>
            <w:r>
              <w:rPr>
                <w:sz w:val="18"/>
                <w:szCs w:val="21"/>
              </w:rPr>
              <w:t xml:space="preserve">Undiscounted bankers’ acceptances </w:t>
            </w:r>
          </w:p>
        </w:tc>
        <w:tc>
          <w:tcPr>
            <w:tcW w:w="925" w:type="dxa"/>
            <w:tcBorders>
              <w:top w:val="single" w:color="00800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center"/>
              <w:rPr>
                <w:sz w:val="18"/>
                <w:szCs w:val="21"/>
              </w:rPr>
            </w:pPr>
            <w:r>
              <w:rPr>
                <w:sz w:val="18"/>
                <w:szCs w:val="21"/>
              </w:rPr>
              <w:t>Enterprise bonds</w:t>
            </w:r>
          </w:p>
        </w:tc>
        <w:tc>
          <w:tcPr>
            <w:tcW w:w="928" w:type="dxa"/>
            <w:tcBorders>
              <w:top w:val="single" w:color="008000" w:sz="4" w:space="0"/>
              <w:left w:val="single" w:color="008000" w:sz="4" w:space="0"/>
              <w:bottom w:val="single" w:color="008000" w:sz="6" w:space="0"/>
              <w:right w:val="nil"/>
            </w:tcBorders>
            <w:shd w:val="clear" w:color="auto" w:fill="CCFFCC"/>
            <w:tcMar>
              <w:top w:w="20" w:type="dxa"/>
              <w:left w:w="20" w:type="dxa"/>
              <w:bottom w:w="0" w:type="dxa"/>
              <w:right w:w="20" w:type="dxa"/>
            </w:tcMar>
            <w:vAlign w:val="center"/>
          </w:tcPr>
          <w:p>
            <w:pPr>
              <w:jc w:val="center"/>
              <w:rPr>
                <w:sz w:val="18"/>
                <w:szCs w:val="21"/>
              </w:rPr>
            </w:pPr>
            <w:r>
              <w:rPr>
                <w:sz w:val="18"/>
                <w:szCs w:val="21"/>
              </w:rPr>
              <w:t>Financing by domestic institutions via domestic stock markets</w:t>
            </w:r>
          </w:p>
        </w:tc>
      </w:tr>
      <w:tr>
        <w:tblPrEx>
          <w:tblLayout w:type="fixed"/>
          <w:tblCellMar>
            <w:top w:w="0" w:type="dxa"/>
            <w:left w:w="0" w:type="dxa"/>
            <w:bottom w:w="0" w:type="dxa"/>
            <w:right w:w="0" w:type="dxa"/>
          </w:tblCellMar>
        </w:tblPrEx>
        <w:trPr>
          <w:trHeight w:val="375" w:hRule="atLeast"/>
          <w:jc w:val="center"/>
        </w:trPr>
        <w:tc>
          <w:tcPr>
            <w:tcW w:w="1061" w:type="dxa"/>
            <w:tcBorders>
              <w:top w:val="single" w:color="C0C0C0" w:sz="4" w:space="0"/>
              <w:left w:val="nil"/>
              <w:bottom w:val="single" w:color="C0C0C0" w:sz="4" w:space="0"/>
              <w:right w:val="single" w:color="008000" w:sz="4" w:space="0"/>
            </w:tcBorders>
            <w:shd w:val="clear" w:color="auto" w:fill="FFFFFF"/>
            <w:tcMar>
              <w:top w:w="20" w:type="dxa"/>
              <w:left w:w="20" w:type="dxa"/>
              <w:bottom w:w="0" w:type="dxa"/>
              <w:right w:w="20" w:type="dxa"/>
            </w:tcMar>
            <w:vAlign w:val="center"/>
          </w:tcPr>
          <w:p>
            <w:r>
              <w:t xml:space="preserve">First half of 2017 </w:t>
            </w:r>
            <w:r>
              <w:rPr>
                <w:rFonts w:hint="eastAsia" w:ascii="宋体" w:hAnsi="宋体" w:cs="宋体"/>
                <w:szCs w:val="16"/>
                <w:vertAlign w:val="superscript"/>
              </w:rPr>
              <w:t>②</w:t>
            </w:r>
            <w:r>
              <w:t xml:space="preserve"> </w:t>
            </w:r>
          </w:p>
        </w:tc>
        <w:tc>
          <w:tcPr>
            <w:tcW w:w="992"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111684 </w:t>
            </w:r>
          </w:p>
        </w:tc>
        <w:tc>
          <w:tcPr>
            <w:tcW w:w="850"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82097 </w:t>
            </w:r>
          </w:p>
        </w:tc>
        <w:tc>
          <w:tcPr>
            <w:tcW w:w="1134"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473 </w:t>
            </w:r>
          </w:p>
        </w:tc>
        <w:tc>
          <w:tcPr>
            <w:tcW w:w="851"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5988 </w:t>
            </w:r>
          </w:p>
        </w:tc>
        <w:tc>
          <w:tcPr>
            <w:tcW w:w="567"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13115 </w:t>
            </w:r>
          </w:p>
        </w:tc>
        <w:tc>
          <w:tcPr>
            <w:tcW w:w="1134"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5696 </w:t>
            </w:r>
          </w:p>
        </w:tc>
        <w:tc>
          <w:tcPr>
            <w:tcW w:w="925" w:type="dxa"/>
            <w:tcBorders>
              <w:top w:val="single" w:color="C0C0C0" w:sz="4" w:space="0"/>
              <w:left w:val="single" w:color="008000" w:sz="4" w:space="0"/>
              <w:bottom w:val="single" w:color="C0C0C0" w:sz="4" w:space="0"/>
              <w:right w:val="single" w:color="008000" w:sz="4" w:space="0"/>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-3708 </w:t>
            </w:r>
          </w:p>
        </w:tc>
        <w:tc>
          <w:tcPr>
            <w:tcW w:w="928" w:type="dxa"/>
            <w:tcBorders>
              <w:top w:val="single" w:color="C0C0C0" w:sz="4" w:space="0"/>
              <w:left w:val="single" w:color="008000" w:sz="4" w:space="0"/>
              <w:bottom w:val="single" w:color="C0C0C0" w:sz="4" w:space="0"/>
              <w:right w:val="nil"/>
            </w:tcBorders>
            <w:shd w:val="clear" w:color="auto" w:fill="FFFFFF"/>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4702 </w:t>
            </w:r>
          </w:p>
        </w:tc>
      </w:tr>
      <w:tr>
        <w:tblPrEx>
          <w:tblLayout w:type="fixed"/>
          <w:tblCellMar>
            <w:top w:w="0" w:type="dxa"/>
            <w:left w:w="0" w:type="dxa"/>
            <w:bottom w:w="0" w:type="dxa"/>
            <w:right w:w="0" w:type="dxa"/>
          </w:tblCellMar>
        </w:tblPrEx>
        <w:trPr>
          <w:trHeight w:val="375" w:hRule="atLeast"/>
          <w:jc w:val="center"/>
        </w:trPr>
        <w:tc>
          <w:tcPr>
            <w:tcW w:w="1061" w:type="dxa"/>
            <w:tcBorders>
              <w:top w:val="single" w:color="C0C0C0" w:sz="4" w:space="0"/>
              <w:left w:val="nil"/>
              <w:bottom w:val="single" w:color="008000" w:sz="6" w:space="0"/>
              <w:right w:val="single" w:color="008000" w:sz="4" w:space="0"/>
            </w:tcBorders>
            <w:shd w:val="clear" w:color="auto" w:fill="CCFFCC"/>
            <w:tcMar>
              <w:top w:w="20" w:type="dxa"/>
              <w:left w:w="20" w:type="dxa"/>
              <w:bottom w:w="0" w:type="dxa"/>
              <w:right w:w="20" w:type="dxa"/>
            </w:tcMar>
            <w:vAlign w:val="center"/>
          </w:tcPr>
          <w:p>
            <w:r>
              <w:t>YOY change</w:t>
            </w:r>
          </w:p>
        </w:tc>
        <w:tc>
          <w:tcPr>
            <w:tcW w:w="992"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right"/>
              <w:rPr>
                <w:rFonts w:ascii="宋体" w:hAnsi="宋体" w:cs="宋体"/>
                <w:sz w:val="20"/>
              </w:rPr>
            </w:pPr>
            <w:r>
              <w:rPr>
                <w:rFonts w:hint="eastAsia" w:ascii="宋体" w:hAnsi="宋体" w:cs="Arial Unicode MS"/>
              </w:rPr>
              <w:t xml:space="preserve">13625 </w:t>
            </w:r>
          </w:p>
        </w:tc>
        <w:tc>
          <w:tcPr>
            <w:tcW w:w="850"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7288 </w:t>
            </w:r>
          </w:p>
        </w:tc>
        <w:tc>
          <w:tcPr>
            <w:tcW w:w="1134"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4260 </w:t>
            </w:r>
          </w:p>
        </w:tc>
        <w:tc>
          <w:tcPr>
            <w:tcW w:w="851"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-4477 </w:t>
            </w:r>
          </w:p>
        </w:tc>
        <w:tc>
          <w:tcPr>
            <w:tcW w:w="567"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10323 </w:t>
            </w:r>
          </w:p>
        </w:tc>
        <w:tc>
          <w:tcPr>
            <w:tcW w:w="1134"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18464 </w:t>
            </w:r>
          </w:p>
        </w:tc>
        <w:tc>
          <w:tcPr>
            <w:tcW w:w="925" w:type="dxa"/>
            <w:tcBorders>
              <w:top w:val="single" w:color="C0C0C0" w:sz="4" w:space="0"/>
              <w:left w:val="single" w:color="008000" w:sz="4" w:space="0"/>
              <w:bottom w:val="single" w:color="008000" w:sz="6" w:space="0"/>
              <w:right w:val="single" w:color="008000" w:sz="4" w:space="0"/>
            </w:tcBorders>
            <w:shd w:val="clear" w:color="auto" w:fill="CCFFCC"/>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-21381 </w:t>
            </w:r>
          </w:p>
        </w:tc>
        <w:tc>
          <w:tcPr>
            <w:tcW w:w="928" w:type="dxa"/>
            <w:tcBorders>
              <w:top w:val="single" w:color="C0C0C0" w:sz="4" w:space="0"/>
              <w:left w:val="single" w:color="008000" w:sz="4" w:space="0"/>
              <w:bottom w:val="single" w:color="008000" w:sz="6" w:space="0"/>
              <w:right w:val="nil"/>
            </w:tcBorders>
            <w:shd w:val="clear" w:color="auto" w:fill="CCFFCC"/>
            <w:tcMar>
              <w:top w:w="20" w:type="dxa"/>
              <w:left w:w="20" w:type="dxa"/>
              <w:bottom w:w="0" w:type="dxa"/>
              <w:right w:w="20" w:type="dxa"/>
            </w:tcMar>
            <w:vAlign w:val="center"/>
          </w:tcPr>
          <w:p>
            <w:pPr>
              <w:jc w:val="right"/>
              <w:rPr>
                <w:rFonts w:ascii="宋体" w:hAnsi="宋体" w:cs="Arial Unicode MS"/>
              </w:rPr>
            </w:pPr>
            <w:r>
              <w:rPr>
                <w:rFonts w:hint="eastAsia" w:ascii="宋体" w:hAnsi="宋体" w:cs="Arial Unicode MS"/>
              </w:rPr>
              <w:t xml:space="preserve">-1321 </w:t>
            </w:r>
          </w:p>
        </w:tc>
      </w:tr>
    </w:tbl>
    <w:p>
      <w:pPr>
        <w:autoSpaceDE w:val="0"/>
        <w:autoSpaceDN w:val="0"/>
        <w:adjustRightInd w:val="0"/>
        <w:rPr>
          <w:rFonts w:eastAsia="楷体_GB2312"/>
          <w:kern w:val="0"/>
          <w:szCs w:val="21"/>
        </w:rPr>
      </w:pPr>
      <w:r>
        <w:rPr>
          <w:rFonts w:eastAsia="楷体_GB2312"/>
          <w:kern w:val="0"/>
          <w:szCs w:val="21"/>
        </w:rPr>
        <w:t xml:space="preserve">Notes: </w:t>
      </w:r>
      <w:r>
        <w:rPr>
          <w:rFonts w:ascii="宋体" w:hAnsi="宋体" w:cs="宋体"/>
          <w:kern w:val="0"/>
          <w:szCs w:val="21"/>
        </w:rPr>
        <w:t>①</w:t>
      </w:r>
      <w:r>
        <w:rPr>
          <w:rFonts w:eastAsia="楷体_GB2312"/>
          <w:kern w:val="0"/>
          <w:szCs w:val="21"/>
        </w:rPr>
        <w:t xml:space="preserve"> An increment in the all-system financing aggregates refers to the total volume of financing provided by the financial system to the real economy </w:t>
      </w:r>
      <w:r>
        <w:rPr>
          <w:kern w:val="0"/>
          <w:szCs w:val="21"/>
        </w:rPr>
        <w:t xml:space="preserve">(the non-financial corporate sector and the household sector of the domestic market) </w:t>
      </w:r>
      <w:r>
        <w:rPr>
          <w:rFonts w:eastAsia="楷体_GB2312"/>
          <w:kern w:val="0"/>
          <w:szCs w:val="21"/>
        </w:rPr>
        <w:t xml:space="preserve">during a certain period of time. </w:t>
      </w:r>
      <w:r>
        <w:rPr>
          <w:rFonts w:ascii="宋体" w:hAnsi="宋体" w:cs="宋体"/>
          <w:kern w:val="0"/>
          <w:szCs w:val="21"/>
        </w:rPr>
        <w:t>②</w:t>
      </w:r>
      <w:r>
        <w:rPr>
          <w:rFonts w:eastAsia="楷体_GB2312"/>
          <w:kern w:val="0"/>
          <w:szCs w:val="21"/>
        </w:rPr>
        <w:t xml:space="preserve"> Data for the current period are preliminary.</w:t>
      </w:r>
    </w:p>
    <w:p>
      <w:pPr>
        <w:autoSpaceDE w:val="0"/>
        <w:autoSpaceDN w:val="0"/>
        <w:adjustRightInd w:val="0"/>
        <w:rPr>
          <w:rFonts w:eastAsia="Arial Unicode MS"/>
          <w:kern w:val="0"/>
          <w:szCs w:val="21"/>
        </w:rPr>
      </w:pPr>
      <w:r>
        <w:rPr>
          <w:rFonts w:eastAsia="楷体_GB2312"/>
          <w:kern w:val="0"/>
          <w:szCs w:val="21"/>
        </w:rPr>
        <w:t>Sources: People’s Bank of China, National Development and Reform Commission, China Securities Regulatory Commission, China Insurance Regulatory Commission, China Central Depository and Clearing Co., Ltd., and National Association of Financial Market Institutional Investors, and so forth.</w:t>
      </w:r>
      <w:r>
        <w:rPr>
          <w:rFonts w:eastAsia="Arial Unicode MS"/>
          <w:kern w:val="0"/>
          <w:szCs w:val="21"/>
        </w:rPr>
        <w:t xml:space="preserve"> </w:t>
      </w:r>
    </w:p>
    <w:p>
      <w:pPr>
        <w:spacing w:beforeLines="50" w:afterLines="50"/>
        <w:jc w:val="center"/>
        <w:rPr>
          <w:rFonts w:ascii="黑体" w:eastAsia="黑体"/>
          <w:bCs/>
          <w:sz w:val="24"/>
        </w:rPr>
      </w:pPr>
    </w:p>
    <w:bookmarkEnd w:id="42"/>
    <w:p>
      <w:pPr>
        <w:keepNext/>
        <w:widowControl/>
        <w:spacing w:after="240" w:line="264" w:lineRule="auto"/>
        <w:outlineLvl w:val="1"/>
        <w:rPr>
          <w:rFonts w:eastAsia="黑体" w:cs="Arial"/>
          <w:b/>
          <w:bCs/>
          <w:iCs/>
          <w:kern w:val="0"/>
          <w:sz w:val="24"/>
          <w:szCs w:val="28"/>
          <w:lang w:eastAsia="zh-TW"/>
        </w:rPr>
      </w:pPr>
      <w:bookmarkStart w:id="43" w:name="_Toc423005887"/>
      <w:bookmarkStart w:id="44" w:name="_Toc411351812"/>
      <w:bookmarkStart w:id="45" w:name="_Toc472330062"/>
      <w:bookmarkStart w:id="46" w:name="_Toc477878078"/>
      <w:bookmarkStart w:id="47" w:name="_Toc464655676"/>
      <w:bookmarkStart w:id="48" w:name="_Toc492904371"/>
      <w:r>
        <w:rPr>
          <w:rFonts w:eastAsia="黑体" w:cs="Arial"/>
          <w:b/>
          <w:bCs/>
          <w:iCs/>
          <w:kern w:val="0"/>
          <w:sz w:val="24"/>
          <w:szCs w:val="28"/>
          <w:lang w:eastAsia="zh-TW"/>
        </w:rPr>
        <w:t xml:space="preserve">V. Interest Rates </w:t>
      </w:r>
      <w:bookmarkEnd w:id="43"/>
      <w:bookmarkEnd w:id="44"/>
      <w:r>
        <w:rPr>
          <w:rFonts w:eastAsia="黑体" w:cs="Arial"/>
          <w:b/>
          <w:bCs/>
          <w:iCs/>
          <w:kern w:val="0"/>
          <w:sz w:val="24"/>
          <w:szCs w:val="28"/>
          <w:lang w:eastAsia="zh-TW"/>
        </w:rPr>
        <w:t>of Deposits and Loans Increased</w:t>
      </w:r>
      <w:bookmarkEnd w:id="45"/>
      <w:bookmarkEnd w:id="46"/>
      <w:bookmarkEnd w:id="47"/>
      <w:r>
        <w:rPr>
          <w:rFonts w:eastAsia="黑体" w:cs="Arial"/>
          <w:b/>
          <w:bCs/>
          <w:iCs/>
          <w:kern w:val="0"/>
          <w:sz w:val="24"/>
          <w:szCs w:val="28"/>
          <w:lang w:eastAsia="zh-TW"/>
        </w:rPr>
        <w:t xml:space="preserve"> Slightly</w:t>
      </w:r>
      <w:bookmarkEnd w:id="48"/>
    </w:p>
    <w:p>
      <w:pPr>
        <w:rPr>
          <w:rFonts w:eastAsia="仿宋_GB2312"/>
          <w:sz w:val="24"/>
        </w:rPr>
      </w:pPr>
      <w:r>
        <w:rPr>
          <w:rFonts w:eastAsia="仿宋_GB2312"/>
          <w:sz w:val="24"/>
        </w:rPr>
        <w:t>In June, the weighted average interest rate of loans offered to non-financial enterprises and other sectors was 5.67 percent, an increase of 0.41, 0.14, and 0.4 percentage point compared with June 2016, March of this year, and December of last year, respectively. In particular, the weighted average interest rate of ordinary loans posted 5.71 percent, up 0.08 percentage point from March; the weighted average bill financing rate posted 5.39 percent, up 0.62 percentage point from March. The</w:t>
      </w:r>
      <w:r>
        <w:rPr>
          <w:rFonts w:hint="eastAsia" w:eastAsia="仿宋_GB2312"/>
          <w:sz w:val="24"/>
        </w:rPr>
        <w:t xml:space="preserve"> interest</w:t>
      </w:r>
      <w:r>
        <w:rPr>
          <w:rFonts w:eastAsia="仿宋_GB2312"/>
          <w:sz w:val="24"/>
        </w:rPr>
        <w:t xml:space="preserve"> rate of home mortgage loans </w:t>
      </w:r>
      <w:r>
        <w:rPr>
          <w:rFonts w:hint="eastAsia" w:eastAsia="仿宋_GB2312"/>
          <w:sz w:val="24"/>
        </w:rPr>
        <w:t>edged up</w:t>
      </w:r>
      <w:r>
        <w:rPr>
          <w:rFonts w:eastAsia="仿宋_GB2312"/>
          <w:sz w:val="24"/>
        </w:rPr>
        <w:t>, with its weighted average interest rate posting 4.69 percent in June, up 0.14 percentage point from March.</w:t>
      </w:r>
    </w:p>
    <w:p>
      <w:pPr>
        <w:rPr>
          <w:rFonts w:eastAsia="仿宋_GB2312"/>
          <w:sz w:val="24"/>
        </w:rPr>
      </w:pPr>
    </w:p>
    <w:p>
      <w:pPr>
        <w:jc w:val="center"/>
        <w:rPr>
          <w:b/>
          <w:sz w:val="24"/>
        </w:rPr>
      </w:pPr>
      <w:bookmarkStart w:id="49" w:name="_Toc477878110"/>
    </w:p>
    <w:p>
      <w:pPr>
        <w:jc w:val="center"/>
        <w:rPr>
          <w:b/>
          <w:sz w:val="24"/>
        </w:rPr>
      </w:pPr>
    </w:p>
    <w:p>
      <w:pPr>
        <w:jc w:val="center"/>
        <w:rPr>
          <w:b/>
          <w:sz w:val="24"/>
        </w:rPr>
      </w:pPr>
      <w:bookmarkStart w:id="50" w:name="_Toc492909028"/>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6</w:t>
      </w:r>
      <w:r>
        <w:rPr>
          <w:b/>
          <w:sz w:val="24"/>
        </w:rPr>
        <w:fldChar w:fldCharType="end"/>
      </w:r>
      <w:r>
        <w:rPr>
          <w:b/>
          <w:sz w:val="24"/>
        </w:rPr>
        <w:t xml:space="preserve"> Shares of Loans with Rates at, above, or below the Benchmark Rate, January through June 201</w:t>
      </w:r>
      <w:bookmarkEnd w:id="49"/>
      <w:r>
        <w:rPr>
          <w:b/>
          <w:sz w:val="24"/>
        </w:rPr>
        <w:t>7</w:t>
      </w:r>
      <w:bookmarkEnd w:id="50"/>
    </w:p>
    <w:p>
      <w:pPr>
        <w:jc w:val="right"/>
        <w:rPr>
          <w:rFonts w:eastAsia="仿宋_GB2312"/>
          <w:szCs w:val="21"/>
        </w:rPr>
      </w:pPr>
      <w:r>
        <w:rPr>
          <w:szCs w:val="21"/>
        </w:rPr>
        <w:t>Unit: %</w:t>
      </w:r>
    </w:p>
    <w:p>
      <w:pPr>
        <w:rPr>
          <w:rFonts w:eastAsia="楷体_GB2312"/>
          <w:szCs w:val="21"/>
        </w:rPr>
      </w:pPr>
    </w:p>
    <w:tbl>
      <w:tblPr>
        <w:tblStyle w:val="20"/>
        <w:tblpPr w:leftFromText="180" w:rightFromText="180" w:vertAnchor="text" w:horzAnchor="margin" w:tblpY="-34"/>
        <w:tblW w:w="8672" w:type="dxa"/>
        <w:tblInd w:w="0" w:type="dxa"/>
        <w:tblLayout w:type="fixed"/>
        <w:tblCellMar>
          <w:top w:w="0" w:type="dxa"/>
          <w:left w:w="0" w:type="dxa"/>
          <w:bottom w:w="0" w:type="dxa"/>
          <w:right w:w="0" w:type="dxa"/>
        </w:tblCellMar>
      </w:tblPr>
      <w:tblGrid>
        <w:gridCol w:w="1008"/>
        <w:gridCol w:w="785"/>
        <w:gridCol w:w="1057"/>
        <w:gridCol w:w="709"/>
        <w:gridCol w:w="992"/>
        <w:gridCol w:w="890"/>
        <w:gridCol w:w="1080"/>
        <w:gridCol w:w="1251"/>
        <w:gridCol w:w="900"/>
      </w:tblGrid>
      <w:tr>
        <w:tblPrEx>
          <w:tblLayout w:type="fixed"/>
          <w:tblCellMar>
            <w:top w:w="0" w:type="dxa"/>
            <w:left w:w="0" w:type="dxa"/>
            <w:bottom w:w="0" w:type="dxa"/>
            <w:right w:w="0" w:type="dxa"/>
          </w:tblCellMar>
        </w:tblPrEx>
        <w:trPr>
          <w:cantSplit/>
          <w:trHeight w:val="300" w:hRule="atLeast"/>
        </w:trPr>
        <w:tc>
          <w:tcPr>
            <w:tcW w:w="1008" w:type="dxa"/>
            <w:vMerge w:val="restart"/>
            <w:tcBorders>
              <w:top w:val="single" w:color="339966" w:sz="12" w:space="0"/>
              <w:left w:val="nil"/>
              <w:bottom w:val="single" w:color="339966" w:sz="12" w:space="0"/>
              <w:right w:val="single" w:color="339966" w:sz="4" w:space="0"/>
            </w:tcBorders>
            <w:shd w:val="clear" w:color="auto" w:fill="CCFFCC"/>
            <w:tcMar>
              <w:top w:w="15" w:type="dxa"/>
              <w:left w:w="15" w:type="dxa"/>
              <w:bottom w:w="0" w:type="dxa"/>
              <w:right w:w="15" w:type="dxa"/>
            </w:tcMar>
            <w:vAlign w:val="center"/>
          </w:tcPr>
          <w:p>
            <w:pPr>
              <w:jc w:val="center"/>
              <w:rPr>
                <w:szCs w:val="21"/>
              </w:rPr>
            </w:pPr>
            <w:r>
              <w:rPr>
                <w:szCs w:val="21"/>
              </w:rPr>
              <w:t xml:space="preserve">Month </w:t>
            </w:r>
          </w:p>
        </w:tc>
        <w:tc>
          <w:tcPr>
            <w:tcW w:w="785" w:type="dxa"/>
            <w:vMerge w:val="restart"/>
            <w:tcBorders>
              <w:top w:val="single" w:color="339966" w:sz="12" w:space="0"/>
              <w:left w:val="nil"/>
              <w:right w:val="nil"/>
            </w:tcBorders>
            <w:shd w:val="clear" w:color="auto" w:fill="CCFFCC"/>
            <w:tcMar>
              <w:top w:w="15" w:type="dxa"/>
              <w:left w:w="15" w:type="dxa"/>
              <w:bottom w:w="0" w:type="dxa"/>
              <w:right w:w="15" w:type="dxa"/>
            </w:tcMar>
            <w:vAlign w:val="center"/>
          </w:tcPr>
          <w:p>
            <w:pPr>
              <w:jc w:val="center"/>
              <w:rPr>
                <w:color w:val="000000"/>
                <w:szCs w:val="21"/>
              </w:rPr>
            </w:pPr>
            <w:r>
              <w:rPr>
                <w:color w:val="000000"/>
                <w:szCs w:val="21"/>
              </w:rPr>
              <w:t xml:space="preserve">Lower than the benchmark </w:t>
            </w:r>
          </w:p>
        </w:tc>
        <w:tc>
          <w:tcPr>
            <w:tcW w:w="1057" w:type="dxa"/>
            <w:vMerge w:val="restart"/>
            <w:tcBorders>
              <w:top w:val="single" w:color="339966" w:sz="12" w:space="0"/>
              <w:left w:val="single" w:color="339966" w:sz="4" w:space="0"/>
              <w:right w:val="single" w:color="339966" w:sz="4" w:space="0"/>
            </w:tcBorders>
            <w:shd w:val="clear" w:color="auto" w:fill="CCFFCC"/>
            <w:tcMar>
              <w:top w:w="15" w:type="dxa"/>
              <w:left w:w="15" w:type="dxa"/>
              <w:bottom w:w="0" w:type="dxa"/>
              <w:right w:w="15" w:type="dxa"/>
            </w:tcMar>
            <w:vAlign w:val="center"/>
          </w:tcPr>
          <w:p>
            <w:pPr>
              <w:jc w:val="center"/>
              <w:rPr>
                <w:color w:val="000000"/>
                <w:szCs w:val="21"/>
              </w:rPr>
            </w:pPr>
            <w:r>
              <w:rPr>
                <w:color w:val="000000"/>
                <w:szCs w:val="21"/>
              </w:rPr>
              <w:t xml:space="preserve">At the benchmark </w:t>
            </w:r>
          </w:p>
        </w:tc>
        <w:tc>
          <w:tcPr>
            <w:tcW w:w="5822" w:type="dxa"/>
            <w:gridSpan w:val="6"/>
            <w:tcBorders>
              <w:top w:val="single" w:color="339966" w:sz="12" w:space="0"/>
              <w:left w:val="nil"/>
              <w:bottom w:val="single" w:color="339966" w:sz="4" w:space="0"/>
              <w:right w:val="nil"/>
            </w:tcBorders>
            <w:shd w:val="clear" w:color="auto" w:fill="CCFFCC"/>
            <w:tcMar>
              <w:top w:w="15" w:type="dxa"/>
              <w:left w:w="15" w:type="dxa"/>
              <w:bottom w:w="0" w:type="dxa"/>
              <w:right w:w="15" w:type="dxa"/>
            </w:tcMar>
            <w:vAlign w:val="center"/>
          </w:tcPr>
          <w:p>
            <w:pPr>
              <w:jc w:val="center"/>
              <w:rPr>
                <w:rFonts w:ascii="宋体" w:hAnsi="宋体" w:cs="Arial Unicode MS"/>
                <w:color w:val="000000"/>
              </w:rPr>
            </w:pPr>
            <w:r>
              <w:rPr>
                <w:color w:val="000000"/>
                <w:szCs w:val="21"/>
              </w:rPr>
              <w:t>Higher than the benchmark</w:t>
            </w:r>
          </w:p>
        </w:tc>
      </w:tr>
      <w:tr>
        <w:tblPrEx>
          <w:tblLayout w:type="fixed"/>
          <w:tblCellMar>
            <w:top w:w="0" w:type="dxa"/>
            <w:left w:w="0" w:type="dxa"/>
            <w:bottom w:w="0" w:type="dxa"/>
            <w:right w:w="0" w:type="dxa"/>
          </w:tblCellMar>
        </w:tblPrEx>
        <w:trPr>
          <w:cantSplit/>
          <w:trHeight w:val="359" w:hRule="atLeast"/>
        </w:trPr>
        <w:tc>
          <w:tcPr>
            <w:tcW w:w="1008" w:type="dxa"/>
            <w:vMerge w:val="continue"/>
            <w:tcBorders>
              <w:top w:val="single" w:color="339966" w:sz="12" w:space="0"/>
              <w:left w:val="nil"/>
              <w:bottom w:val="single" w:color="339966" w:sz="4" w:space="0"/>
              <w:right w:val="single" w:color="339966" w:sz="4" w:space="0"/>
            </w:tcBorders>
            <w:shd w:val="clear" w:color="auto" w:fill="auto"/>
            <w:vAlign w:val="center"/>
          </w:tcPr>
          <w:p>
            <w:pPr>
              <w:widowControl/>
              <w:jc w:val="center"/>
              <w:rPr>
                <w:rFonts w:ascii="宋体" w:hAnsi="宋体" w:cs="Arial Unicode MS"/>
              </w:rPr>
            </w:pPr>
          </w:p>
        </w:tc>
        <w:tc>
          <w:tcPr>
            <w:tcW w:w="785" w:type="dxa"/>
            <w:vMerge w:val="continue"/>
            <w:tcBorders>
              <w:left w:val="nil"/>
              <w:bottom w:val="single" w:color="339966" w:sz="4" w:space="0"/>
              <w:right w:val="nil"/>
            </w:tcBorders>
            <w:shd w:val="clear" w:color="auto" w:fill="CCFFCC"/>
            <w:tcMar>
              <w:top w:w="15" w:type="dxa"/>
              <w:left w:w="15" w:type="dxa"/>
              <w:bottom w:w="0" w:type="dxa"/>
              <w:right w:w="15" w:type="dxa"/>
            </w:tcMar>
            <w:vAlign w:val="center"/>
          </w:tcPr>
          <w:p>
            <w:pPr>
              <w:jc w:val="center"/>
              <w:rPr>
                <w:rFonts w:ascii="宋体" w:hAnsi="宋体" w:cs="Arial Unicode MS"/>
                <w:szCs w:val="18"/>
              </w:rPr>
            </w:pPr>
          </w:p>
        </w:tc>
        <w:tc>
          <w:tcPr>
            <w:tcW w:w="1057" w:type="dxa"/>
            <w:vMerge w:val="continue"/>
            <w:tcBorders>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jc w:val="center"/>
              <w:rPr>
                <w:rFonts w:ascii="宋体" w:hAnsi="宋体" w:cs="Arial Unicode MS"/>
                <w:szCs w:val="18"/>
              </w:rPr>
            </w:pPr>
          </w:p>
        </w:tc>
        <w:tc>
          <w:tcPr>
            <w:tcW w:w="709"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szCs w:val="18"/>
              </w:rPr>
            </w:pPr>
            <w:r>
              <w:rPr>
                <w:szCs w:val="21"/>
              </w:rPr>
              <w:t>Sub-total</w:t>
            </w:r>
          </w:p>
        </w:tc>
        <w:tc>
          <w:tcPr>
            <w:tcW w:w="992"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szCs w:val="18"/>
              </w:rPr>
            </w:pPr>
            <w:r>
              <w:rPr>
                <w:szCs w:val="18"/>
              </w:rPr>
              <w:t>(1,1.1]</w:t>
            </w:r>
          </w:p>
        </w:tc>
        <w:tc>
          <w:tcPr>
            <w:tcW w:w="890"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szCs w:val="18"/>
              </w:rPr>
            </w:pPr>
            <w:r>
              <w:rPr>
                <w:szCs w:val="18"/>
              </w:rPr>
              <w:t>(1.1,1.3]</w:t>
            </w:r>
          </w:p>
        </w:tc>
        <w:tc>
          <w:tcPr>
            <w:tcW w:w="1080"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szCs w:val="18"/>
              </w:rPr>
            </w:pPr>
            <w:r>
              <w:rPr>
                <w:szCs w:val="18"/>
              </w:rPr>
              <w:t>(1.3,1.5]</w:t>
            </w:r>
          </w:p>
        </w:tc>
        <w:tc>
          <w:tcPr>
            <w:tcW w:w="1251" w:type="dxa"/>
            <w:tcBorders>
              <w:top w:val="nil"/>
              <w:left w:val="nil"/>
              <w:bottom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szCs w:val="18"/>
              </w:rPr>
            </w:pPr>
            <w:r>
              <w:rPr>
                <w:szCs w:val="18"/>
              </w:rPr>
              <w:t>(1.5,2.0]</w:t>
            </w:r>
          </w:p>
        </w:tc>
        <w:tc>
          <w:tcPr>
            <w:tcW w:w="900" w:type="dxa"/>
            <w:tcBorders>
              <w:top w:val="nil"/>
              <w:left w:val="nil"/>
              <w:bottom w:val="single" w:color="339966" w:sz="4" w:space="0"/>
              <w:right w:val="nil"/>
            </w:tcBorders>
            <w:shd w:val="clear" w:color="auto" w:fill="CCFFCC"/>
            <w:tcMar>
              <w:top w:w="15" w:type="dxa"/>
              <w:left w:w="15" w:type="dxa"/>
              <w:bottom w:w="0" w:type="dxa"/>
              <w:right w:w="15" w:type="dxa"/>
            </w:tcMar>
            <w:vAlign w:val="bottom"/>
          </w:tcPr>
          <w:p>
            <w:pPr>
              <w:jc w:val="center"/>
              <w:rPr>
                <w:szCs w:val="18"/>
              </w:rPr>
            </w:pPr>
            <w:r>
              <w:rPr>
                <w:szCs w:val="18"/>
              </w:rPr>
              <w:t>More than 2.0</w:t>
            </w:r>
          </w:p>
        </w:tc>
      </w:tr>
      <w:tr>
        <w:tblPrEx>
          <w:tblLayout w:type="fixed"/>
          <w:tblCellMar>
            <w:top w:w="0" w:type="dxa"/>
            <w:left w:w="0" w:type="dxa"/>
            <w:bottom w:w="0" w:type="dxa"/>
            <w:right w:w="0" w:type="dxa"/>
          </w:tblCellMar>
        </w:tblPrEx>
        <w:trPr>
          <w:trHeight w:val="285" w:hRule="atLeast"/>
        </w:trPr>
        <w:tc>
          <w:tcPr>
            <w:tcW w:w="1008" w:type="dxa"/>
            <w:tcBorders>
              <w:top w:val="single" w:color="339966" w:sz="4" w:space="0"/>
              <w:left w:val="nil"/>
              <w:bottom w:val="nil"/>
              <w:right w:val="single" w:color="339966" w:sz="4" w:space="0"/>
            </w:tcBorders>
            <w:shd w:val="clear" w:color="auto" w:fill="auto"/>
            <w:tcMar>
              <w:top w:w="15" w:type="dxa"/>
              <w:left w:w="15" w:type="dxa"/>
              <w:bottom w:w="0" w:type="dxa"/>
              <w:right w:w="15" w:type="dxa"/>
            </w:tcMar>
            <w:vAlign w:val="center"/>
          </w:tcPr>
          <w:p>
            <w:pPr>
              <w:jc w:val="center"/>
            </w:pPr>
            <w:r>
              <w:t>January</w:t>
            </w:r>
          </w:p>
        </w:tc>
        <w:tc>
          <w:tcPr>
            <w:tcW w:w="785" w:type="dxa"/>
            <w:tcBorders>
              <w:top w:val="single" w:color="339966" w:sz="4" w:space="0"/>
              <w:left w:val="single" w:color="339966" w:sz="4" w:space="0"/>
              <w:bottom w:val="nil"/>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23.87 </w:t>
            </w:r>
          </w:p>
        </w:tc>
        <w:tc>
          <w:tcPr>
            <w:tcW w:w="1057" w:type="dxa"/>
            <w:tcBorders>
              <w:top w:val="single" w:color="339966" w:sz="4" w:space="0"/>
              <w:left w:val="single" w:color="339966" w:sz="4" w:space="0"/>
              <w:bottom w:val="nil"/>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19.41 </w:t>
            </w:r>
          </w:p>
        </w:tc>
        <w:tc>
          <w:tcPr>
            <w:tcW w:w="709" w:type="dxa"/>
            <w:tcBorders>
              <w:top w:val="single" w:color="339966" w:sz="4" w:space="0"/>
              <w:left w:val="single" w:color="339966" w:sz="4" w:space="0"/>
              <w:bottom w:val="nil"/>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56.72 </w:t>
            </w:r>
          </w:p>
        </w:tc>
        <w:tc>
          <w:tcPr>
            <w:tcW w:w="992" w:type="dxa"/>
            <w:tcBorders>
              <w:top w:val="single" w:color="339966" w:sz="4" w:space="0"/>
              <w:left w:val="single" w:color="339966" w:sz="4" w:space="0"/>
              <w:bottom w:val="nil"/>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14.53 </w:t>
            </w:r>
          </w:p>
        </w:tc>
        <w:tc>
          <w:tcPr>
            <w:tcW w:w="890" w:type="dxa"/>
            <w:tcBorders>
              <w:top w:val="single" w:color="339966" w:sz="4" w:space="0"/>
              <w:left w:val="single" w:color="339966" w:sz="4" w:space="0"/>
              <w:bottom w:val="nil"/>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16.04 </w:t>
            </w:r>
          </w:p>
        </w:tc>
        <w:tc>
          <w:tcPr>
            <w:tcW w:w="1080" w:type="dxa"/>
            <w:tcBorders>
              <w:top w:val="single" w:color="339966" w:sz="4" w:space="0"/>
              <w:left w:val="single" w:color="339966" w:sz="4" w:space="0"/>
              <w:bottom w:val="nil"/>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9.24 </w:t>
            </w:r>
          </w:p>
        </w:tc>
        <w:tc>
          <w:tcPr>
            <w:tcW w:w="1251" w:type="dxa"/>
            <w:tcBorders>
              <w:top w:val="single" w:color="339966" w:sz="4" w:space="0"/>
              <w:left w:val="single" w:color="339966" w:sz="4" w:space="0"/>
              <w:bottom w:val="nil"/>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10.43 </w:t>
            </w:r>
          </w:p>
        </w:tc>
        <w:tc>
          <w:tcPr>
            <w:tcW w:w="900" w:type="dxa"/>
            <w:tcBorders>
              <w:top w:val="single" w:color="339966" w:sz="4" w:space="0"/>
              <w:left w:val="single" w:color="339966" w:sz="4" w:space="0"/>
              <w:bottom w:val="nil"/>
              <w:right w:val="nil"/>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6.48 </w:t>
            </w:r>
          </w:p>
        </w:tc>
      </w:tr>
      <w:tr>
        <w:tblPrEx>
          <w:tblLayout w:type="fixed"/>
        </w:tblPrEx>
        <w:trPr>
          <w:trHeight w:val="285" w:hRule="atLeast"/>
        </w:trPr>
        <w:tc>
          <w:tcPr>
            <w:tcW w:w="1008" w:type="dxa"/>
            <w:tcBorders>
              <w:left w:val="nil"/>
              <w:right w:val="single" w:color="339966" w:sz="4" w:space="0"/>
            </w:tcBorders>
            <w:shd w:val="clear" w:color="auto" w:fill="CCFFCC"/>
            <w:tcMar>
              <w:top w:w="15" w:type="dxa"/>
              <w:left w:w="15" w:type="dxa"/>
              <w:bottom w:w="0" w:type="dxa"/>
              <w:right w:w="15" w:type="dxa"/>
            </w:tcMar>
            <w:vAlign w:val="center"/>
          </w:tcPr>
          <w:p>
            <w:pPr>
              <w:jc w:val="center"/>
            </w:pPr>
            <w:r>
              <w:t>February</w:t>
            </w:r>
          </w:p>
        </w:tc>
        <w:tc>
          <w:tcPr>
            <w:tcW w:w="785"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27.64 </w:t>
            </w:r>
          </w:p>
        </w:tc>
        <w:tc>
          <w:tcPr>
            <w:tcW w:w="1057"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18.55 </w:t>
            </w:r>
          </w:p>
        </w:tc>
        <w:tc>
          <w:tcPr>
            <w:tcW w:w="709"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53.81 </w:t>
            </w:r>
          </w:p>
        </w:tc>
        <w:tc>
          <w:tcPr>
            <w:tcW w:w="992"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15.12 </w:t>
            </w:r>
          </w:p>
        </w:tc>
        <w:tc>
          <w:tcPr>
            <w:tcW w:w="890"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15.14 </w:t>
            </w:r>
          </w:p>
        </w:tc>
        <w:tc>
          <w:tcPr>
            <w:tcW w:w="1080"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8.17 </w:t>
            </w:r>
          </w:p>
        </w:tc>
        <w:tc>
          <w:tcPr>
            <w:tcW w:w="1251"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9.12 </w:t>
            </w:r>
          </w:p>
        </w:tc>
        <w:tc>
          <w:tcPr>
            <w:tcW w:w="900" w:type="dxa"/>
            <w:tcBorders>
              <w:left w:val="single" w:color="339966" w:sz="4" w:space="0"/>
              <w:right w:val="nil"/>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6.27 </w:t>
            </w:r>
          </w:p>
        </w:tc>
      </w:tr>
      <w:tr>
        <w:tblPrEx>
          <w:tblLayout w:type="fixed"/>
          <w:tblCellMar>
            <w:top w:w="0" w:type="dxa"/>
            <w:left w:w="0" w:type="dxa"/>
            <w:bottom w:w="0" w:type="dxa"/>
            <w:right w:w="0" w:type="dxa"/>
          </w:tblCellMar>
        </w:tblPrEx>
        <w:trPr>
          <w:trHeight w:val="285" w:hRule="atLeast"/>
        </w:trPr>
        <w:tc>
          <w:tcPr>
            <w:tcW w:w="1008" w:type="dxa"/>
            <w:tcBorders>
              <w:left w:val="nil"/>
              <w:right w:val="single" w:color="339966" w:sz="4" w:space="0"/>
            </w:tcBorders>
            <w:shd w:val="clear" w:color="auto" w:fill="auto"/>
            <w:tcMar>
              <w:top w:w="15" w:type="dxa"/>
              <w:left w:w="15" w:type="dxa"/>
              <w:bottom w:w="0" w:type="dxa"/>
              <w:right w:w="15" w:type="dxa"/>
            </w:tcMar>
            <w:vAlign w:val="center"/>
          </w:tcPr>
          <w:p>
            <w:pPr>
              <w:jc w:val="center"/>
            </w:pPr>
            <w:r>
              <w:t>March</w:t>
            </w:r>
          </w:p>
        </w:tc>
        <w:tc>
          <w:tcPr>
            <w:tcW w:w="785" w:type="dxa"/>
            <w:tcBorders>
              <w:left w:val="single" w:color="339966" w:sz="4" w:space="0"/>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23.30 </w:t>
            </w:r>
          </w:p>
        </w:tc>
        <w:tc>
          <w:tcPr>
            <w:tcW w:w="1057" w:type="dxa"/>
            <w:tcBorders>
              <w:left w:val="single" w:color="339966" w:sz="4" w:space="0"/>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18.13 </w:t>
            </w:r>
          </w:p>
        </w:tc>
        <w:tc>
          <w:tcPr>
            <w:tcW w:w="709" w:type="dxa"/>
            <w:tcBorders>
              <w:left w:val="single" w:color="339966" w:sz="4" w:space="0"/>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58.57 </w:t>
            </w:r>
          </w:p>
        </w:tc>
        <w:tc>
          <w:tcPr>
            <w:tcW w:w="992" w:type="dxa"/>
            <w:tcBorders>
              <w:left w:val="single" w:color="339966" w:sz="4" w:space="0"/>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14.19 </w:t>
            </w:r>
          </w:p>
        </w:tc>
        <w:tc>
          <w:tcPr>
            <w:tcW w:w="890" w:type="dxa"/>
            <w:tcBorders>
              <w:left w:val="single" w:color="339966" w:sz="4" w:space="0"/>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16.17 </w:t>
            </w:r>
          </w:p>
        </w:tc>
        <w:tc>
          <w:tcPr>
            <w:tcW w:w="1080" w:type="dxa"/>
            <w:tcBorders>
              <w:left w:val="single" w:color="339966" w:sz="4" w:space="0"/>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9.83 </w:t>
            </w:r>
          </w:p>
        </w:tc>
        <w:tc>
          <w:tcPr>
            <w:tcW w:w="1251" w:type="dxa"/>
            <w:tcBorders>
              <w:left w:val="single" w:color="339966" w:sz="4" w:space="0"/>
              <w:right w:val="single" w:color="339966" w:sz="4" w:space="0"/>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10.76 </w:t>
            </w:r>
          </w:p>
        </w:tc>
        <w:tc>
          <w:tcPr>
            <w:tcW w:w="900" w:type="dxa"/>
            <w:tcBorders>
              <w:left w:val="single" w:color="339966" w:sz="4" w:space="0"/>
              <w:right w:val="nil"/>
            </w:tcBorders>
            <w:shd w:val="clear" w:color="auto" w:fill="FFFFFF"/>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7.62 </w:t>
            </w:r>
          </w:p>
        </w:tc>
      </w:tr>
      <w:tr>
        <w:tblPrEx>
          <w:tblLayout w:type="fixed"/>
        </w:tblPrEx>
        <w:trPr>
          <w:trHeight w:val="285" w:hRule="atLeast"/>
        </w:trPr>
        <w:tc>
          <w:tcPr>
            <w:tcW w:w="1008" w:type="dxa"/>
            <w:tcBorders>
              <w:left w:val="nil"/>
              <w:right w:val="single" w:color="339966" w:sz="4" w:space="0"/>
            </w:tcBorders>
            <w:shd w:val="clear" w:color="auto" w:fill="CCFFCC"/>
            <w:tcMar>
              <w:top w:w="15" w:type="dxa"/>
              <w:left w:w="15" w:type="dxa"/>
              <w:bottom w:w="0" w:type="dxa"/>
              <w:right w:w="15" w:type="dxa"/>
            </w:tcMar>
            <w:vAlign w:val="center"/>
          </w:tcPr>
          <w:p>
            <w:pPr>
              <w:jc w:val="center"/>
            </w:pPr>
            <w:r>
              <w:t>April</w:t>
            </w:r>
          </w:p>
        </w:tc>
        <w:tc>
          <w:tcPr>
            <w:tcW w:w="785"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21.41 </w:t>
            </w:r>
          </w:p>
        </w:tc>
        <w:tc>
          <w:tcPr>
            <w:tcW w:w="1057"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17.71 </w:t>
            </w:r>
          </w:p>
        </w:tc>
        <w:tc>
          <w:tcPr>
            <w:tcW w:w="709"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60.88 </w:t>
            </w:r>
          </w:p>
        </w:tc>
        <w:tc>
          <w:tcPr>
            <w:tcW w:w="992"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15.23 </w:t>
            </w:r>
          </w:p>
        </w:tc>
        <w:tc>
          <w:tcPr>
            <w:tcW w:w="890"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17.60 </w:t>
            </w:r>
          </w:p>
        </w:tc>
        <w:tc>
          <w:tcPr>
            <w:tcW w:w="1080"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9.75 </w:t>
            </w:r>
          </w:p>
        </w:tc>
        <w:tc>
          <w:tcPr>
            <w:tcW w:w="1251" w:type="dxa"/>
            <w:tcBorders>
              <w:left w:val="single" w:color="339966" w:sz="4"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10.83 </w:t>
            </w:r>
          </w:p>
        </w:tc>
        <w:tc>
          <w:tcPr>
            <w:tcW w:w="900" w:type="dxa"/>
            <w:tcBorders>
              <w:left w:val="single" w:color="339966" w:sz="4" w:space="0"/>
              <w:right w:val="nil"/>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7.46 </w:t>
            </w:r>
          </w:p>
        </w:tc>
      </w:tr>
      <w:tr>
        <w:tblPrEx>
          <w:tblLayout w:type="fixed"/>
          <w:tblCellMar>
            <w:top w:w="0" w:type="dxa"/>
            <w:left w:w="0" w:type="dxa"/>
            <w:bottom w:w="0" w:type="dxa"/>
            <w:right w:w="0" w:type="dxa"/>
          </w:tblCellMar>
        </w:tblPrEx>
        <w:trPr>
          <w:trHeight w:val="285" w:hRule="atLeast"/>
        </w:trPr>
        <w:tc>
          <w:tcPr>
            <w:tcW w:w="1008" w:type="dxa"/>
            <w:tcBorders>
              <w:left w:val="nil"/>
              <w:bottom w:val="nil"/>
              <w:right w:val="single" w:color="339966" w:sz="4" w:space="0"/>
            </w:tcBorders>
            <w:tcMar>
              <w:top w:w="15" w:type="dxa"/>
              <w:left w:w="15" w:type="dxa"/>
              <w:bottom w:w="0" w:type="dxa"/>
              <w:right w:w="15" w:type="dxa"/>
            </w:tcMar>
            <w:vAlign w:val="center"/>
          </w:tcPr>
          <w:p>
            <w:pPr>
              <w:jc w:val="center"/>
            </w:pPr>
            <w:r>
              <w:t>May</w:t>
            </w:r>
          </w:p>
        </w:tc>
        <w:tc>
          <w:tcPr>
            <w:tcW w:w="785" w:type="dxa"/>
            <w:tcBorders>
              <w:left w:val="single" w:color="339966" w:sz="4" w:space="0"/>
              <w:bottom w:val="nil"/>
              <w:right w:val="single" w:color="339966" w:sz="4" w:space="0"/>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20.70 </w:t>
            </w:r>
          </w:p>
        </w:tc>
        <w:tc>
          <w:tcPr>
            <w:tcW w:w="1057" w:type="dxa"/>
            <w:tcBorders>
              <w:left w:val="single" w:color="339966" w:sz="4" w:space="0"/>
              <w:bottom w:val="nil"/>
              <w:right w:val="single" w:color="339966" w:sz="4" w:space="0"/>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18.11 </w:t>
            </w:r>
          </w:p>
        </w:tc>
        <w:tc>
          <w:tcPr>
            <w:tcW w:w="709" w:type="dxa"/>
            <w:tcBorders>
              <w:left w:val="single" w:color="339966" w:sz="4" w:space="0"/>
              <w:bottom w:val="nil"/>
              <w:right w:val="single" w:color="339966" w:sz="4" w:space="0"/>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61.19 </w:t>
            </w:r>
          </w:p>
        </w:tc>
        <w:tc>
          <w:tcPr>
            <w:tcW w:w="992" w:type="dxa"/>
            <w:tcBorders>
              <w:left w:val="single" w:color="339966" w:sz="4" w:space="0"/>
              <w:bottom w:val="nil"/>
              <w:right w:val="single" w:color="339966" w:sz="4" w:space="0"/>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14.76 </w:t>
            </w:r>
          </w:p>
        </w:tc>
        <w:tc>
          <w:tcPr>
            <w:tcW w:w="890" w:type="dxa"/>
            <w:tcBorders>
              <w:left w:val="single" w:color="339966" w:sz="4" w:space="0"/>
              <w:bottom w:val="nil"/>
              <w:right w:val="single" w:color="339966" w:sz="4" w:space="0"/>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17.68 </w:t>
            </w:r>
          </w:p>
        </w:tc>
        <w:tc>
          <w:tcPr>
            <w:tcW w:w="1080" w:type="dxa"/>
            <w:tcBorders>
              <w:left w:val="single" w:color="339966" w:sz="4" w:space="0"/>
              <w:bottom w:val="nil"/>
              <w:right w:val="single" w:color="339966" w:sz="4" w:space="0"/>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10.27 </w:t>
            </w:r>
          </w:p>
        </w:tc>
        <w:tc>
          <w:tcPr>
            <w:tcW w:w="1251" w:type="dxa"/>
            <w:tcBorders>
              <w:left w:val="single" w:color="339966" w:sz="4" w:space="0"/>
              <w:bottom w:val="nil"/>
              <w:right w:val="single" w:color="339966" w:sz="4" w:space="0"/>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11.11 </w:t>
            </w:r>
          </w:p>
        </w:tc>
        <w:tc>
          <w:tcPr>
            <w:tcW w:w="900" w:type="dxa"/>
            <w:tcBorders>
              <w:left w:val="single" w:color="339966" w:sz="4" w:space="0"/>
              <w:bottom w:val="nil"/>
              <w:right w:val="nil"/>
            </w:tcBorders>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7.37 </w:t>
            </w:r>
          </w:p>
        </w:tc>
      </w:tr>
      <w:tr>
        <w:tblPrEx>
          <w:tblLayout w:type="fixed"/>
        </w:tblPrEx>
        <w:trPr>
          <w:trHeight w:val="285" w:hRule="atLeast"/>
        </w:trPr>
        <w:tc>
          <w:tcPr>
            <w:tcW w:w="1008" w:type="dxa"/>
            <w:tcBorders>
              <w:top w:val="nil"/>
              <w:left w:val="nil"/>
              <w:bottom w:val="single" w:color="339966" w:sz="12" w:space="0"/>
              <w:right w:val="single" w:color="339966" w:sz="4" w:space="0"/>
            </w:tcBorders>
            <w:shd w:val="clear" w:color="auto" w:fill="CCFFCC"/>
            <w:tcMar>
              <w:top w:w="15" w:type="dxa"/>
              <w:left w:w="15" w:type="dxa"/>
              <w:bottom w:w="0" w:type="dxa"/>
              <w:right w:w="15" w:type="dxa"/>
            </w:tcMar>
            <w:vAlign w:val="center"/>
          </w:tcPr>
          <w:p>
            <w:pPr>
              <w:jc w:val="center"/>
            </w:pPr>
            <w:r>
              <w:t>June</w:t>
            </w:r>
          </w:p>
        </w:tc>
        <w:tc>
          <w:tcPr>
            <w:tcW w:w="785" w:type="dxa"/>
            <w:tcBorders>
              <w:top w:val="nil"/>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16.13 </w:t>
            </w:r>
          </w:p>
        </w:tc>
        <w:tc>
          <w:tcPr>
            <w:tcW w:w="1057" w:type="dxa"/>
            <w:tcBorders>
              <w:top w:val="nil"/>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19.47 </w:t>
            </w:r>
          </w:p>
        </w:tc>
        <w:tc>
          <w:tcPr>
            <w:tcW w:w="709" w:type="dxa"/>
            <w:tcBorders>
              <w:top w:val="nil"/>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64.39 </w:t>
            </w:r>
          </w:p>
        </w:tc>
        <w:tc>
          <w:tcPr>
            <w:tcW w:w="992" w:type="dxa"/>
            <w:tcBorders>
              <w:top w:val="nil"/>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15.12 </w:t>
            </w:r>
          </w:p>
        </w:tc>
        <w:tc>
          <w:tcPr>
            <w:tcW w:w="890" w:type="dxa"/>
            <w:tcBorders>
              <w:top w:val="nil"/>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19.06 </w:t>
            </w:r>
          </w:p>
        </w:tc>
        <w:tc>
          <w:tcPr>
            <w:tcW w:w="1080" w:type="dxa"/>
            <w:tcBorders>
              <w:top w:val="nil"/>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11.77 </w:t>
            </w:r>
          </w:p>
        </w:tc>
        <w:tc>
          <w:tcPr>
            <w:tcW w:w="1251" w:type="dxa"/>
            <w:tcBorders>
              <w:top w:val="nil"/>
              <w:left w:val="single" w:color="339966" w:sz="4" w:space="0"/>
              <w:bottom w:val="single" w:color="339966" w:sz="12" w:space="0"/>
              <w:right w:val="single" w:color="339966" w:sz="4" w:space="0"/>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11.45 </w:t>
            </w:r>
          </w:p>
        </w:tc>
        <w:tc>
          <w:tcPr>
            <w:tcW w:w="900" w:type="dxa"/>
            <w:tcBorders>
              <w:top w:val="nil"/>
              <w:left w:val="single" w:color="339966" w:sz="4" w:space="0"/>
              <w:bottom w:val="single" w:color="339966" w:sz="12" w:space="0"/>
              <w:right w:val="nil"/>
            </w:tcBorders>
            <w:shd w:val="clear" w:color="auto" w:fill="CCFFCC"/>
            <w:tcMar>
              <w:top w:w="15" w:type="dxa"/>
              <w:left w:w="15" w:type="dxa"/>
              <w:bottom w:w="0" w:type="dxa"/>
              <w:right w:w="15" w:type="dxa"/>
            </w:tcMar>
            <w:vAlign w:val="bottom"/>
          </w:tcPr>
          <w:p>
            <w:pPr>
              <w:jc w:val="center"/>
              <w:rPr>
                <w:rFonts w:ascii="宋体" w:hAnsi="宋体" w:cs="Arial Unicode MS"/>
                <w:color w:val="000000"/>
                <w:sz w:val="20"/>
              </w:rPr>
            </w:pPr>
            <w:r>
              <w:rPr>
                <w:rFonts w:ascii="宋体" w:hAnsi="宋体"/>
                <w:color w:val="000000"/>
                <w:sz w:val="20"/>
              </w:rPr>
              <w:t xml:space="preserve">6.99 </w:t>
            </w:r>
          </w:p>
        </w:tc>
      </w:tr>
    </w:tbl>
    <w:p>
      <w:pPr>
        <w:rPr>
          <w:rFonts w:eastAsia="楷体_GB2312"/>
          <w:szCs w:val="21"/>
        </w:rPr>
      </w:pPr>
      <w:r>
        <w:rPr>
          <w:rFonts w:eastAsia="楷体_GB2312"/>
          <w:szCs w:val="21"/>
        </w:rPr>
        <w:t xml:space="preserve">Source: People’s Bank of China </w:t>
      </w:r>
    </w:p>
    <w:p>
      <w:pPr>
        <w:rPr>
          <w:sz w:val="24"/>
        </w:rPr>
      </w:pPr>
    </w:p>
    <w:p>
      <w:pPr>
        <w:rPr>
          <w:rFonts w:eastAsia="仿宋_GB2312"/>
          <w:sz w:val="24"/>
        </w:rPr>
      </w:pPr>
      <w:bookmarkStart w:id="51" w:name="_Toc423005527"/>
      <w:r>
        <w:rPr>
          <w:rFonts w:eastAsia="仿宋_GB2312"/>
          <w:sz w:val="24"/>
        </w:rPr>
        <w:t>Broken down by the floating interest rates, the share of loans with interest rates above and at the benchmark rate increased and the share of loans with interest rates below the benchmark rate decreased. In June, the share of loans with interest rates higher than the benchmark rate was 64.39 percent, up 5.82 percentage points from March; the share of loans with interest rates at the benchmark rate was 19.47 percent, up 1.34 percentage points from March; and the share of loans with interest rates lower than the benchmark rate was 16.13 percent, down 7.17 percentage points from March.</w:t>
      </w:r>
      <w:bookmarkEnd w:id="51"/>
    </w:p>
    <w:p>
      <w:pPr>
        <w:ind w:firstLine="480" w:firstLineChars="200"/>
        <w:rPr>
          <w:rFonts w:ascii="楷体_GB2312" w:eastAsia="楷体_GB2312"/>
          <w:color w:val="000000"/>
          <w:sz w:val="24"/>
        </w:rPr>
      </w:pPr>
    </w:p>
    <w:p>
      <w:pPr>
        <w:rPr>
          <w:rFonts w:eastAsia="仿宋_GB2312"/>
          <w:sz w:val="24"/>
        </w:rPr>
      </w:pPr>
      <w:r>
        <w:rPr>
          <w:rFonts w:eastAsia="仿宋_GB2312"/>
          <w:sz w:val="24"/>
        </w:rPr>
        <w:t xml:space="preserve">Against the background of interest-rate fluctuations in international financial markets and changes in the supply and demand of foreign currencies in the domestic market, the interest rates of foreign-currency deposits and loans increased slightly. In June, the weighted average interest rate of large-value US dollar demand deposits registered 0.22 percent, on a par with that in March; the weighted average interest rate of deposits with maturities within 3 months registered 1.41 percent, up 0.27 percentage point from March. The weighted average interest rates of US dollar loans with maturities within 3 months and with maturities between 3 months (including 3 months) and 6 months posted 2.43 percent and 2.45 percent respectively, up 0.26 and 0.13 percentage point respectively from </w:t>
      </w:r>
      <w:r>
        <w:rPr>
          <w:rFonts w:hint="eastAsia" w:eastAsia="仿宋_GB2312"/>
          <w:sz w:val="24"/>
        </w:rPr>
        <w:t>March</w:t>
      </w:r>
      <w:r>
        <w:rPr>
          <w:rFonts w:eastAsia="仿宋_GB2312"/>
          <w:sz w:val="24"/>
        </w:rPr>
        <w:t>.</w:t>
      </w:r>
    </w:p>
    <w:p>
      <w:pPr>
        <w:ind w:firstLine="560" w:firstLineChars="200"/>
        <w:rPr>
          <w:rFonts w:ascii="仿宋_GB2312" w:eastAsia="仿宋_GB2312"/>
          <w:sz w:val="28"/>
        </w:rPr>
      </w:pPr>
    </w:p>
    <w:p>
      <w:pPr>
        <w:rPr>
          <w:rFonts w:ascii="仿宋_GB2312" w:eastAsia="仿宋_GB2312"/>
          <w:sz w:val="28"/>
          <w:shd w:val="pct10" w:color="auto" w:fill="FFFFFF"/>
        </w:rPr>
      </w:pPr>
    </w:p>
    <w:p>
      <w:pPr>
        <w:rPr>
          <w:rFonts w:ascii="楷体_GB2312" w:eastAsia="楷体_GB2312"/>
          <w:color w:val="000000"/>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bookmarkStart w:id="52" w:name="_Toc477878111"/>
      <w:bookmarkStart w:id="53" w:name="_Toc492909029"/>
      <w:r>
        <w:rPr>
          <w:b/>
          <w:sz w:val="24"/>
        </w:rPr>
        <w:t xml:space="preserve">Table </w:t>
      </w:r>
      <w:r>
        <w:rPr>
          <w:b/>
          <w:sz w:val="24"/>
        </w:rPr>
        <w:fldChar w:fldCharType="begin"/>
      </w:r>
      <w:r>
        <w:rPr>
          <w:b/>
          <w:sz w:val="24"/>
        </w:rPr>
        <w:instrText xml:space="preserve"> SEQ Table \* ARABIC </w:instrText>
      </w:r>
      <w:r>
        <w:rPr>
          <w:b/>
          <w:sz w:val="24"/>
        </w:rPr>
        <w:fldChar w:fldCharType="separate"/>
      </w:r>
      <w:r>
        <w:rPr>
          <w:b/>
          <w:sz w:val="24"/>
        </w:rPr>
        <w:t>7</w:t>
      </w:r>
      <w:r>
        <w:rPr>
          <w:b/>
          <w:sz w:val="24"/>
        </w:rPr>
        <w:fldChar w:fldCharType="end"/>
      </w:r>
      <w:r>
        <w:rPr>
          <w:b/>
          <w:sz w:val="24"/>
        </w:rPr>
        <w:t xml:space="preserve"> Average Interest Rates of Large-Value Deposits and Loans in US Dollars, January through </w:t>
      </w:r>
      <w:r>
        <w:rPr>
          <w:rFonts w:hint="eastAsia"/>
          <w:b/>
          <w:sz w:val="24"/>
        </w:rPr>
        <w:t>June</w:t>
      </w:r>
      <w:r>
        <w:rPr>
          <w:b/>
          <w:sz w:val="24"/>
        </w:rPr>
        <w:t xml:space="preserve"> 201</w:t>
      </w:r>
      <w:bookmarkEnd w:id="52"/>
      <w:r>
        <w:rPr>
          <w:b/>
          <w:sz w:val="24"/>
        </w:rPr>
        <w:t>7</w:t>
      </w:r>
      <w:bookmarkEnd w:id="53"/>
    </w:p>
    <w:tbl>
      <w:tblPr>
        <w:tblStyle w:val="20"/>
        <w:tblW w:w="8642" w:type="dxa"/>
        <w:jc w:val="center"/>
        <w:tblInd w:w="0" w:type="dxa"/>
        <w:tblLayout w:type="fixed"/>
        <w:tblCellMar>
          <w:top w:w="0" w:type="dxa"/>
          <w:left w:w="0" w:type="dxa"/>
          <w:bottom w:w="0" w:type="dxa"/>
          <w:right w:w="0" w:type="dxa"/>
        </w:tblCellMar>
      </w:tblPr>
      <w:tblGrid>
        <w:gridCol w:w="8642"/>
      </w:tblGrid>
      <w:tr>
        <w:tblPrEx>
          <w:tblLayout w:type="fixed"/>
          <w:tblCellMar>
            <w:top w:w="0" w:type="dxa"/>
            <w:left w:w="0" w:type="dxa"/>
            <w:bottom w:w="0" w:type="dxa"/>
            <w:right w:w="0" w:type="dxa"/>
          </w:tblCellMar>
        </w:tblPrEx>
        <w:trPr>
          <w:trHeight w:val="176" w:hRule="atLeast"/>
          <w:jc w:val="center"/>
        </w:trPr>
        <w:tc>
          <w:tcPr>
            <w:tcW w:w="8642" w:type="dxa"/>
            <w:tcBorders>
              <w:top w:val="nil"/>
              <w:left w:val="nil"/>
              <w:bottom w:val="single" w:color="339966" w:sz="12" w:space="0"/>
              <w:right w:val="nil"/>
            </w:tcBorders>
            <w:vAlign w:val="bottom"/>
          </w:tcPr>
          <w:p>
            <w:pPr>
              <w:widowControl/>
              <w:wordWrap w:val="0"/>
              <w:ind w:left="-737" w:leftChars="-351" w:firstLine="644" w:firstLineChars="307"/>
              <w:jc w:val="right"/>
              <w:rPr>
                <w:kern w:val="0"/>
                <w:szCs w:val="21"/>
              </w:rPr>
            </w:pPr>
            <w:r>
              <w:rPr>
                <w:kern w:val="0"/>
                <w:szCs w:val="21"/>
              </w:rPr>
              <w:t>Unit: %</w:t>
            </w:r>
          </w:p>
        </w:tc>
      </w:tr>
    </w:tbl>
    <w:p>
      <w:pPr>
        <w:keepNext/>
        <w:rPr>
          <w:b/>
        </w:rPr>
      </w:pPr>
    </w:p>
    <w:tbl>
      <w:tblPr>
        <w:tblStyle w:val="20"/>
        <w:tblW w:w="8698" w:type="dxa"/>
        <w:jc w:val="center"/>
        <w:tblInd w:w="0" w:type="dxa"/>
        <w:tblLayout w:type="fixed"/>
        <w:tblCellMar>
          <w:top w:w="0" w:type="dxa"/>
          <w:left w:w="0" w:type="dxa"/>
          <w:bottom w:w="0" w:type="dxa"/>
          <w:right w:w="0" w:type="dxa"/>
        </w:tblCellMar>
      </w:tblPr>
      <w:tblGrid>
        <w:gridCol w:w="710"/>
        <w:gridCol w:w="712"/>
        <w:gridCol w:w="687"/>
        <w:gridCol w:w="854"/>
        <w:gridCol w:w="810"/>
        <w:gridCol w:w="639"/>
        <w:gridCol w:w="685"/>
        <w:gridCol w:w="690"/>
        <w:gridCol w:w="862"/>
        <w:gridCol w:w="810"/>
        <w:gridCol w:w="576"/>
        <w:gridCol w:w="663"/>
      </w:tblGrid>
      <w:tr>
        <w:tblPrEx>
          <w:tblLayout w:type="fixed"/>
          <w:tblCellMar>
            <w:top w:w="0" w:type="dxa"/>
            <w:left w:w="0" w:type="dxa"/>
            <w:bottom w:w="0" w:type="dxa"/>
            <w:right w:w="0" w:type="dxa"/>
          </w:tblCellMar>
        </w:tblPrEx>
        <w:trPr>
          <w:cantSplit/>
          <w:trHeight w:val="342" w:hRule="atLeast"/>
          <w:jc w:val="center"/>
        </w:trPr>
        <w:tc>
          <w:tcPr>
            <w:tcW w:w="710" w:type="dxa"/>
            <w:vMerge w:val="restart"/>
            <w:tcBorders>
              <w:top w:val="single" w:color="339966" w:sz="12" w:space="0"/>
              <w:left w:val="nil"/>
              <w:bottom w:val="single" w:color="339966" w:sz="8" w:space="0"/>
              <w:right w:val="single" w:color="339966" w:sz="4" w:space="0"/>
            </w:tcBorders>
            <w:shd w:val="clear" w:color="auto" w:fill="CCFFCC"/>
            <w:vAlign w:val="center"/>
          </w:tcPr>
          <w:p>
            <w:pPr>
              <w:widowControl/>
              <w:jc w:val="center"/>
              <w:rPr>
                <w:rFonts w:ascii="宋体" w:hAnsi="宋体" w:cs="宋体"/>
                <w:kern w:val="0"/>
              </w:rPr>
            </w:pPr>
            <w:r>
              <w:rPr>
                <w:kern w:val="0"/>
                <w:szCs w:val="21"/>
              </w:rPr>
              <w:t>Month</w:t>
            </w:r>
          </w:p>
        </w:tc>
        <w:tc>
          <w:tcPr>
            <w:tcW w:w="4387" w:type="dxa"/>
            <w:gridSpan w:val="6"/>
            <w:tcBorders>
              <w:top w:val="single" w:color="339966" w:sz="12" w:space="0"/>
              <w:left w:val="nil"/>
              <w:bottom w:val="single" w:color="339966" w:sz="4" w:space="0"/>
              <w:right w:val="single" w:color="339966" w:sz="4" w:space="0"/>
            </w:tcBorders>
            <w:shd w:val="clear" w:color="auto" w:fill="CCFFCC"/>
            <w:vAlign w:val="center"/>
          </w:tcPr>
          <w:p>
            <w:pPr>
              <w:widowControl/>
              <w:jc w:val="center"/>
              <w:rPr>
                <w:rFonts w:ascii="宋体" w:hAnsi="宋体" w:cs="宋体"/>
                <w:kern w:val="0"/>
              </w:rPr>
            </w:pPr>
            <w:r>
              <w:rPr>
                <w:kern w:val="0"/>
                <w:szCs w:val="21"/>
              </w:rPr>
              <w:t>Large-value deposits</w:t>
            </w:r>
          </w:p>
        </w:tc>
        <w:tc>
          <w:tcPr>
            <w:tcW w:w="3601" w:type="dxa"/>
            <w:gridSpan w:val="5"/>
            <w:tcBorders>
              <w:top w:val="single" w:color="339966" w:sz="12" w:space="0"/>
              <w:left w:val="single" w:color="339966" w:sz="8" w:space="0"/>
              <w:bottom w:val="single" w:color="339966" w:sz="4" w:space="0"/>
            </w:tcBorders>
            <w:shd w:val="clear" w:color="auto" w:fill="CCFFCC"/>
            <w:vAlign w:val="center"/>
          </w:tcPr>
          <w:p>
            <w:pPr>
              <w:widowControl/>
              <w:jc w:val="center"/>
              <w:rPr>
                <w:rFonts w:ascii="宋体" w:hAnsi="宋体" w:cs="宋体"/>
                <w:kern w:val="0"/>
              </w:rPr>
            </w:pPr>
            <w:r>
              <w:rPr>
                <w:kern w:val="0"/>
                <w:szCs w:val="21"/>
              </w:rPr>
              <w:t>Loans</w:t>
            </w:r>
          </w:p>
        </w:tc>
      </w:tr>
      <w:tr>
        <w:tblPrEx>
          <w:tblLayout w:type="fixed"/>
          <w:tblCellMar>
            <w:top w:w="0" w:type="dxa"/>
            <w:left w:w="0" w:type="dxa"/>
            <w:bottom w:w="0" w:type="dxa"/>
            <w:right w:w="0" w:type="dxa"/>
          </w:tblCellMar>
        </w:tblPrEx>
        <w:trPr>
          <w:cantSplit/>
          <w:trHeight w:val="495" w:hRule="atLeast"/>
          <w:jc w:val="center"/>
        </w:trPr>
        <w:tc>
          <w:tcPr>
            <w:tcW w:w="710" w:type="dxa"/>
            <w:vMerge w:val="continue"/>
            <w:tcBorders>
              <w:top w:val="single" w:color="339966" w:sz="12" w:space="0"/>
              <w:left w:val="nil"/>
              <w:bottom w:val="single" w:color="339966" w:sz="8" w:space="0"/>
              <w:right w:val="single" w:color="339966" w:sz="4" w:space="0"/>
            </w:tcBorders>
            <w:shd w:val="clear" w:color="auto" w:fill="auto"/>
            <w:vAlign w:val="center"/>
          </w:tcPr>
          <w:p>
            <w:pPr>
              <w:widowControl/>
              <w:jc w:val="left"/>
              <w:rPr>
                <w:rFonts w:ascii="宋体" w:hAnsi="宋体" w:cs="宋体"/>
                <w:kern w:val="0"/>
              </w:rPr>
            </w:pPr>
          </w:p>
        </w:tc>
        <w:tc>
          <w:tcPr>
            <w:tcW w:w="712"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 xml:space="preserve">Demand deposits </w:t>
            </w:r>
          </w:p>
        </w:tc>
        <w:tc>
          <w:tcPr>
            <w:tcW w:w="687"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Within 3 months</w:t>
            </w:r>
          </w:p>
        </w:tc>
        <w:tc>
          <w:tcPr>
            <w:tcW w:w="854"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3–6 months (including 3 months)</w:t>
            </w:r>
          </w:p>
        </w:tc>
        <w:tc>
          <w:tcPr>
            <w:tcW w:w="810"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6–12 months</w:t>
            </w:r>
          </w:p>
          <w:p>
            <w:pPr>
              <w:widowControl/>
              <w:jc w:val="center"/>
              <w:rPr>
                <w:kern w:val="0"/>
                <w:sz w:val="18"/>
                <w:szCs w:val="21"/>
              </w:rPr>
            </w:pPr>
            <w:r>
              <w:rPr>
                <w:kern w:val="0"/>
                <w:sz w:val="18"/>
                <w:szCs w:val="21"/>
              </w:rPr>
              <w:t>(including 6 months)</w:t>
            </w:r>
          </w:p>
        </w:tc>
        <w:tc>
          <w:tcPr>
            <w:tcW w:w="639"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 xml:space="preserve">1 year </w:t>
            </w:r>
          </w:p>
        </w:tc>
        <w:tc>
          <w:tcPr>
            <w:tcW w:w="685" w:type="dxa"/>
            <w:tcBorders>
              <w:top w:val="nil"/>
              <w:left w:val="nil"/>
              <w:bottom w:val="single" w:color="339966" w:sz="8" w:space="0"/>
              <w:right w:val="nil"/>
            </w:tcBorders>
            <w:shd w:val="clear" w:color="auto" w:fill="CCFFCC"/>
            <w:vAlign w:val="center"/>
          </w:tcPr>
          <w:p>
            <w:pPr>
              <w:widowControl/>
              <w:jc w:val="center"/>
              <w:rPr>
                <w:kern w:val="0"/>
                <w:sz w:val="18"/>
                <w:szCs w:val="21"/>
              </w:rPr>
            </w:pPr>
            <w:r>
              <w:rPr>
                <w:kern w:val="0"/>
                <w:sz w:val="18"/>
                <w:szCs w:val="21"/>
              </w:rPr>
              <w:t>More than 1 year</w:t>
            </w:r>
          </w:p>
        </w:tc>
        <w:tc>
          <w:tcPr>
            <w:tcW w:w="690" w:type="dxa"/>
            <w:tcBorders>
              <w:top w:val="nil"/>
              <w:left w:val="single" w:color="339966" w:sz="8" w:space="0"/>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Within</w:t>
            </w:r>
          </w:p>
          <w:p>
            <w:pPr>
              <w:widowControl/>
              <w:jc w:val="center"/>
              <w:rPr>
                <w:kern w:val="0"/>
                <w:sz w:val="18"/>
                <w:szCs w:val="21"/>
              </w:rPr>
            </w:pPr>
            <w:r>
              <w:rPr>
                <w:kern w:val="0"/>
                <w:sz w:val="18"/>
                <w:szCs w:val="21"/>
              </w:rPr>
              <w:t xml:space="preserve">3 months </w:t>
            </w:r>
          </w:p>
        </w:tc>
        <w:tc>
          <w:tcPr>
            <w:tcW w:w="862"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3–6 months (including 3 months)</w:t>
            </w:r>
          </w:p>
        </w:tc>
        <w:tc>
          <w:tcPr>
            <w:tcW w:w="810"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6–12 months</w:t>
            </w:r>
          </w:p>
          <w:p>
            <w:pPr>
              <w:widowControl/>
              <w:jc w:val="center"/>
              <w:rPr>
                <w:kern w:val="0"/>
                <w:sz w:val="18"/>
                <w:szCs w:val="21"/>
              </w:rPr>
            </w:pPr>
            <w:r>
              <w:rPr>
                <w:kern w:val="0"/>
                <w:sz w:val="18"/>
                <w:szCs w:val="21"/>
              </w:rPr>
              <w:t>(including 6 months)</w:t>
            </w:r>
          </w:p>
        </w:tc>
        <w:tc>
          <w:tcPr>
            <w:tcW w:w="576" w:type="dxa"/>
            <w:tcBorders>
              <w:top w:val="nil"/>
              <w:left w:val="nil"/>
              <w:bottom w:val="single" w:color="339966" w:sz="8" w:space="0"/>
              <w:right w:val="single" w:color="339966" w:sz="4" w:space="0"/>
            </w:tcBorders>
            <w:shd w:val="clear" w:color="auto" w:fill="CCFFCC"/>
            <w:vAlign w:val="center"/>
          </w:tcPr>
          <w:p>
            <w:pPr>
              <w:widowControl/>
              <w:jc w:val="center"/>
              <w:rPr>
                <w:kern w:val="0"/>
                <w:sz w:val="18"/>
                <w:szCs w:val="21"/>
              </w:rPr>
            </w:pPr>
            <w:r>
              <w:rPr>
                <w:kern w:val="0"/>
                <w:sz w:val="18"/>
                <w:szCs w:val="21"/>
              </w:rPr>
              <w:t xml:space="preserve">1 year </w:t>
            </w:r>
          </w:p>
        </w:tc>
        <w:tc>
          <w:tcPr>
            <w:tcW w:w="663" w:type="dxa"/>
            <w:tcBorders>
              <w:top w:val="nil"/>
              <w:left w:val="nil"/>
              <w:bottom w:val="single" w:color="339966" w:sz="8" w:space="0"/>
              <w:right w:val="nil"/>
            </w:tcBorders>
            <w:shd w:val="clear" w:color="auto" w:fill="CCFFCC"/>
            <w:vAlign w:val="center"/>
          </w:tcPr>
          <w:p>
            <w:pPr>
              <w:widowControl/>
              <w:jc w:val="center"/>
              <w:rPr>
                <w:kern w:val="0"/>
                <w:sz w:val="18"/>
                <w:szCs w:val="18"/>
              </w:rPr>
            </w:pPr>
            <w:r>
              <w:rPr>
                <w:kern w:val="0"/>
                <w:sz w:val="18"/>
                <w:szCs w:val="21"/>
              </w:rPr>
              <w:t>More than 1 year</w:t>
            </w:r>
          </w:p>
        </w:tc>
      </w:tr>
      <w:tr>
        <w:tblPrEx>
          <w:tblLayout w:type="fixed"/>
        </w:tblPrEx>
        <w:trPr>
          <w:trHeight w:val="319" w:hRule="atLeast"/>
          <w:jc w:val="center"/>
        </w:trPr>
        <w:tc>
          <w:tcPr>
            <w:tcW w:w="710" w:type="dxa"/>
            <w:tcBorders>
              <w:top w:val="nil"/>
              <w:left w:val="nil"/>
              <w:bottom w:val="nil"/>
              <w:right w:val="single" w:color="339966" w:sz="4" w:space="0"/>
            </w:tcBorders>
            <w:shd w:val="clear" w:color="auto" w:fill="auto"/>
            <w:vAlign w:val="center"/>
          </w:tcPr>
          <w:p>
            <w:pPr>
              <w:jc w:val="center"/>
              <w:rPr>
                <w:szCs w:val="21"/>
              </w:rPr>
            </w:pPr>
            <w:r>
              <w:rPr>
                <w:szCs w:val="21"/>
              </w:rPr>
              <w:t xml:space="preserve">January </w:t>
            </w:r>
          </w:p>
        </w:tc>
        <w:tc>
          <w:tcPr>
            <w:tcW w:w="712"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0.20 </w:t>
            </w:r>
          </w:p>
        </w:tc>
        <w:tc>
          <w:tcPr>
            <w:tcW w:w="687"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1.05 </w:t>
            </w:r>
          </w:p>
        </w:tc>
        <w:tc>
          <w:tcPr>
            <w:tcW w:w="854"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1.59 </w:t>
            </w:r>
          </w:p>
        </w:tc>
        <w:tc>
          <w:tcPr>
            <w:tcW w:w="810"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1.88 </w:t>
            </w:r>
          </w:p>
        </w:tc>
        <w:tc>
          <w:tcPr>
            <w:tcW w:w="639"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2.03 </w:t>
            </w:r>
          </w:p>
        </w:tc>
        <w:tc>
          <w:tcPr>
            <w:tcW w:w="685" w:type="dxa"/>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2.19 </w:t>
            </w:r>
          </w:p>
        </w:tc>
        <w:tc>
          <w:tcPr>
            <w:tcW w:w="690" w:type="dxa"/>
            <w:tcBorders>
              <w:top w:val="nil"/>
              <w:left w:val="single" w:color="339966" w:sz="8" w:space="0"/>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2.03 </w:t>
            </w:r>
          </w:p>
        </w:tc>
        <w:tc>
          <w:tcPr>
            <w:tcW w:w="862"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2.32 </w:t>
            </w:r>
          </w:p>
        </w:tc>
        <w:tc>
          <w:tcPr>
            <w:tcW w:w="810"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2.19 </w:t>
            </w:r>
          </w:p>
        </w:tc>
        <w:tc>
          <w:tcPr>
            <w:tcW w:w="576" w:type="dxa"/>
            <w:tcBorders>
              <w:top w:val="nil"/>
              <w:left w:val="nil"/>
              <w:bottom w:val="nil"/>
              <w:right w:val="single" w:color="339966"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2.21 </w:t>
            </w:r>
          </w:p>
        </w:tc>
        <w:tc>
          <w:tcPr>
            <w:tcW w:w="663" w:type="dxa"/>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3.80 </w:t>
            </w:r>
          </w:p>
        </w:tc>
      </w:tr>
      <w:tr>
        <w:tblPrEx>
          <w:tblLayout w:type="fixed"/>
          <w:tblCellMar>
            <w:top w:w="0" w:type="dxa"/>
            <w:left w:w="0" w:type="dxa"/>
            <w:bottom w:w="0" w:type="dxa"/>
            <w:right w:w="0" w:type="dxa"/>
          </w:tblCellMar>
        </w:tblPrEx>
        <w:trPr>
          <w:trHeight w:val="319" w:hRule="atLeast"/>
          <w:jc w:val="center"/>
        </w:trPr>
        <w:tc>
          <w:tcPr>
            <w:tcW w:w="710" w:type="dxa"/>
            <w:tcBorders>
              <w:top w:val="nil"/>
              <w:left w:val="nil"/>
              <w:bottom w:val="nil"/>
              <w:right w:val="single" w:color="339966" w:sz="4" w:space="0"/>
            </w:tcBorders>
            <w:shd w:val="clear" w:color="auto" w:fill="CCFFCC"/>
            <w:vAlign w:val="center"/>
          </w:tcPr>
          <w:p>
            <w:pPr>
              <w:jc w:val="center"/>
              <w:rPr>
                <w:szCs w:val="21"/>
              </w:rPr>
            </w:pPr>
            <w:r>
              <w:rPr>
                <w:szCs w:val="21"/>
              </w:rPr>
              <w:t>February</w:t>
            </w:r>
          </w:p>
        </w:tc>
        <w:tc>
          <w:tcPr>
            <w:tcW w:w="712"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0.20 </w:t>
            </w:r>
          </w:p>
        </w:tc>
        <w:tc>
          <w:tcPr>
            <w:tcW w:w="687"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1.05 </w:t>
            </w:r>
          </w:p>
        </w:tc>
        <w:tc>
          <w:tcPr>
            <w:tcW w:w="854"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1.57 </w:t>
            </w:r>
          </w:p>
        </w:tc>
        <w:tc>
          <w:tcPr>
            <w:tcW w:w="810"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1.89 </w:t>
            </w:r>
          </w:p>
        </w:tc>
        <w:tc>
          <w:tcPr>
            <w:tcW w:w="639"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2.13 </w:t>
            </w:r>
          </w:p>
        </w:tc>
        <w:tc>
          <w:tcPr>
            <w:tcW w:w="685" w:type="dxa"/>
            <w:tcBorders>
              <w:bottom w:val="nil"/>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2.24 </w:t>
            </w:r>
          </w:p>
        </w:tc>
        <w:tc>
          <w:tcPr>
            <w:tcW w:w="690" w:type="dxa"/>
            <w:tcBorders>
              <w:top w:val="nil"/>
              <w:left w:val="single" w:color="339966" w:sz="8" w:space="0"/>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1.95 </w:t>
            </w:r>
          </w:p>
        </w:tc>
        <w:tc>
          <w:tcPr>
            <w:tcW w:w="862"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2.30 </w:t>
            </w:r>
          </w:p>
        </w:tc>
        <w:tc>
          <w:tcPr>
            <w:tcW w:w="810"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2.02 </w:t>
            </w:r>
          </w:p>
        </w:tc>
        <w:tc>
          <w:tcPr>
            <w:tcW w:w="576" w:type="dxa"/>
            <w:tcBorders>
              <w:top w:val="nil"/>
              <w:left w:val="nil"/>
              <w:bottom w:val="nil"/>
              <w:right w:val="single" w:color="339966"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2.28 </w:t>
            </w:r>
          </w:p>
        </w:tc>
        <w:tc>
          <w:tcPr>
            <w:tcW w:w="663" w:type="dxa"/>
            <w:tcBorders>
              <w:bottom w:val="nil"/>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4.07 </w:t>
            </w:r>
          </w:p>
        </w:tc>
      </w:tr>
      <w:tr>
        <w:tblPrEx>
          <w:tblLayout w:type="fixed"/>
          <w:tblCellMar>
            <w:top w:w="0" w:type="dxa"/>
            <w:left w:w="0" w:type="dxa"/>
            <w:bottom w:w="0" w:type="dxa"/>
            <w:right w:w="0" w:type="dxa"/>
          </w:tblCellMar>
        </w:tblPrEx>
        <w:trPr>
          <w:trHeight w:val="319" w:hRule="atLeast"/>
          <w:jc w:val="center"/>
        </w:trPr>
        <w:tc>
          <w:tcPr>
            <w:tcW w:w="710" w:type="dxa"/>
            <w:tcBorders>
              <w:top w:val="nil"/>
              <w:left w:val="nil"/>
              <w:bottom w:val="nil"/>
              <w:right w:val="single" w:color="008000" w:sz="4" w:space="0"/>
            </w:tcBorders>
            <w:shd w:val="clear" w:color="auto" w:fill="auto"/>
            <w:vAlign w:val="center"/>
          </w:tcPr>
          <w:p>
            <w:pPr>
              <w:jc w:val="center"/>
              <w:rPr>
                <w:szCs w:val="21"/>
              </w:rPr>
            </w:pPr>
            <w:r>
              <w:rPr>
                <w:szCs w:val="21"/>
              </w:rPr>
              <w:t>March</w:t>
            </w:r>
          </w:p>
        </w:tc>
        <w:tc>
          <w:tcPr>
            <w:tcW w:w="712"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0.22 </w:t>
            </w:r>
          </w:p>
        </w:tc>
        <w:tc>
          <w:tcPr>
            <w:tcW w:w="687"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1.14 </w:t>
            </w:r>
          </w:p>
        </w:tc>
        <w:tc>
          <w:tcPr>
            <w:tcW w:w="854"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1.68 </w:t>
            </w:r>
          </w:p>
        </w:tc>
        <w:tc>
          <w:tcPr>
            <w:tcW w:w="810"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2.01 </w:t>
            </w:r>
          </w:p>
        </w:tc>
        <w:tc>
          <w:tcPr>
            <w:tcW w:w="639"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2.25 </w:t>
            </w:r>
          </w:p>
        </w:tc>
        <w:tc>
          <w:tcPr>
            <w:tcW w:w="685"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2.24 </w:t>
            </w:r>
          </w:p>
        </w:tc>
        <w:tc>
          <w:tcPr>
            <w:tcW w:w="690"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2.17 </w:t>
            </w:r>
          </w:p>
        </w:tc>
        <w:tc>
          <w:tcPr>
            <w:tcW w:w="862"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2.32 </w:t>
            </w:r>
          </w:p>
        </w:tc>
        <w:tc>
          <w:tcPr>
            <w:tcW w:w="810"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2.26 </w:t>
            </w:r>
          </w:p>
        </w:tc>
        <w:tc>
          <w:tcPr>
            <w:tcW w:w="576" w:type="dxa"/>
            <w:tcBorders>
              <w:top w:val="nil"/>
              <w:left w:val="single" w:color="008000" w:sz="4" w:space="0"/>
              <w:bottom w:val="nil"/>
              <w:right w:val="single" w:color="008000" w:sz="4" w:space="0"/>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2.38 </w:t>
            </w:r>
          </w:p>
        </w:tc>
        <w:tc>
          <w:tcPr>
            <w:tcW w:w="663" w:type="dxa"/>
            <w:tcBorders>
              <w:top w:val="nil"/>
              <w:left w:val="single" w:color="008000" w:sz="4" w:space="0"/>
              <w:bottom w:val="nil"/>
            </w:tcBorders>
            <w:shd w:val="clear" w:color="auto" w:fill="FFFFFF"/>
            <w:vAlign w:val="bottom"/>
          </w:tcPr>
          <w:p>
            <w:pPr>
              <w:jc w:val="center"/>
              <w:rPr>
                <w:rFonts w:ascii="宋体" w:hAnsi="宋体" w:cs="Arial Unicode MS"/>
                <w:color w:val="000000"/>
                <w:sz w:val="20"/>
              </w:rPr>
            </w:pPr>
            <w:r>
              <w:rPr>
                <w:rFonts w:ascii="宋体" w:hAnsi="宋体"/>
                <w:color w:val="000000"/>
                <w:sz w:val="20"/>
              </w:rPr>
              <w:t xml:space="preserve">3.90 </w:t>
            </w:r>
          </w:p>
        </w:tc>
      </w:tr>
      <w:tr>
        <w:tblPrEx>
          <w:tblLayout w:type="fixed"/>
        </w:tblPrEx>
        <w:trPr>
          <w:trHeight w:val="319" w:hRule="atLeast"/>
          <w:jc w:val="center"/>
        </w:trPr>
        <w:tc>
          <w:tcPr>
            <w:tcW w:w="710" w:type="dxa"/>
            <w:tcBorders>
              <w:top w:val="nil"/>
              <w:left w:val="nil"/>
              <w:bottom w:val="nil"/>
              <w:right w:val="single" w:color="008000" w:sz="4" w:space="0"/>
            </w:tcBorders>
            <w:shd w:val="clear" w:color="auto" w:fill="CCFFCC"/>
            <w:vAlign w:val="center"/>
          </w:tcPr>
          <w:p>
            <w:pPr>
              <w:jc w:val="center"/>
            </w:pPr>
            <w:r>
              <w:t>April</w:t>
            </w:r>
          </w:p>
        </w:tc>
        <w:tc>
          <w:tcPr>
            <w:tcW w:w="712"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0.25 </w:t>
            </w:r>
          </w:p>
        </w:tc>
        <w:tc>
          <w:tcPr>
            <w:tcW w:w="687"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1.22 </w:t>
            </w:r>
          </w:p>
        </w:tc>
        <w:tc>
          <w:tcPr>
            <w:tcW w:w="854"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1.59 </w:t>
            </w:r>
          </w:p>
        </w:tc>
        <w:tc>
          <w:tcPr>
            <w:tcW w:w="810"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2.02 </w:t>
            </w:r>
          </w:p>
        </w:tc>
        <w:tc>
          <w:tcPr>
            <w:tcW w:w="639"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2.14 </w:t>
            </w:r>
          </w:p>
        </w:tc>
        <w:tc>
          <w:tcPr>
            <w:tcW w:w="685"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2.25 </w:t>
            </w:r>
          </w:p>
        </w:tc>
        <w:tc>
          <w:tcPr>
            <w:tcW w:w="690"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2.31 </w:t>
            </w:r>
          </w:p>
        </w:tc>
        <w:tc>
          <w:tcPr>
            <w:tcW w:w="862"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2.45 </w:t>
            </w:r>
          </w:p>
        </w:tc>
        <w:tc>
          <w:tcPr>
            <w:tcW w:w="810"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2.42 </w:t>
            </w:r>
          </w:p>
        </w:tc>
        <w:tc>
          <w:tcPr>
            <w:tcW w:w="576" w:type="dxa"/>
            <w:tcBorders>
              <w:top w:val="nil"/>
              <w:left w:val="single" w:color="008000" w:sz="4" w:space="0"/>
              <w:bottom w:val="nil"/>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2.55 </w:t>
            </w:r>
          </w:p>
        </w:tc>
        <w:tc>
          <w:tcPr>
            <w:tcW w:w="663" w:type="dxa"/>
            <w:tcBorders>
              <w:top w:val="nil"/>
              <w:left w:val="single" w:color="008000" w:sz="4" w:space="0"/>
              <w:bottom w:val="nil"/>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3.22 </w:t>
            </w:r>
          </w:p>
        </w:tc>
      </w:tr>
      <w:tr>
        <w:tblPrEx>
          <w:tblLayout w:type="fixed"/>
          <w:tblCellMar>
            <w:top w:w="0" w:type="dxa"/>
            <w:left w:w="0" w:type="dxa"/>
            <w:bottom w:w="0" w:type="dxa"/>
            <w:right w:w="0" w:type="dxa"/>
          </w:tblCellMar>
        </w:tblPrEx>
        <w:trPr>
          <w:trHeight w:val="319" w:hRule="atLeast"/>
          <w:jc w:val="center"/>
        </w:trPr>
        <w:tc>
          <w:tcPr>
            <w:tcW w:w="710" w:type="dxa"/>
            <w:tcBorders>
              <w:top w:val="nil"/>
              <w:left w:val="nil"/>
              <w:bottom w:val="nil"/>
              <w:right w:val="single" w:color="008000" w:sz="4" w:space="0"/>
            </w:tcBorders>
            <w:vAlign w:val="center"/>
          </w:tcPr>
          <w:p>
            <w:pPr>
              <w:jc w:val="center"/>
            </w:pPr>
            <w:r>
              <w:t>May</w:t>
            </w:r>
          </w:p>
        </w:tc>
        <w:tc>
          <w:tcPr>
            <w:tcW w:w="712"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0.22 </w:t>
            </w:r>
          </w:p>
        </w:tc>
        <w:tc>
          <w:tcPr>
            <w:tcW w:w="687"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1.39 </w:t>
            </w:r>
          </w:p>
        </w:tc>
        <w:tc>
          <w:tcPr>
            <w:tcW w:w="854"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1.73 </w:t>
            </w:r>
          </w:p>
        </w:tc>
        <w:tc>
          <w:tcPr>
            <w:tcW w:w="810"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2.51 </w:t>
            </w:r>
          </w:p>
        </w:tc>
        <w:tc>
          <w:tcPr>
            <w:tcW w:w="639"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2.09 </w:t>
            </w:r>
          </w:p>
        </w:tc>
        <w:tc>
          <w:tcPr>
            <w:tcW w:w="685"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2.25 </w:t>
            </w:r>
          </w:p>
        </w:tc>
        <w:tc>
          <w:tcPr>
            <w:tcW w:w="690"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2.67 </w:t>
            </w:r>
          </w:p>
        </w:tc>
        <w:tc>
          <w:tcPr>
            <w:tcW w:w="862"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2.77 </w:t>
            </w:r>
          </w:p>
        </w:tc>
        <w:tc>
          <w:tcPr>
            <w:tcW w:w="810"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2.61 </w:t>
            </w:r>
          </w:p>
        </w:tc>
        <w:tc>
          <w:tcPr>
            <w:tcW w:w="576" w:type="dxa"/>
            <w:tcBorders>
              <w:top w:val="nil"/>
              <w:left w:val="single" w:color="008000" w:sz="4" w:space="0"/>
              <w:bottom w:val="nil"/>
              <w:right w:val="single" w:color="008000" w:sz="4" w:space="0"/>
            </w:tcBorders>
            <w:vAlign w:val="bottom"/>
          </w:tcPr>
          <w:p>
            <w:pPr>
              <w:jc w:val="center"/>
              <w:rPr>
                <w:rFonts w:ascii="宋体" w:hAnsi="宋体" w:cs="Arial Unicode MS"/>
                <w:color w:val="000000"/>
                <w:sz w:val="20"/>
              </w:rPr>
            </w:pPr>
            <w:r>
              <w:rPr>
                <w:rFonts w:ascii="宋体" w:hAnsi="宋体"/>
                <w:color w:val="000000"/>
                <w:sz w:val="20"/>
              </w:rPr>
              <w:t xml:space="preserve">2.58 </w:t>
            </w:r>
          </w:p>
        </w:tc>
        <w:tc>
          <w:tcPr>
            <w:tcW w:w="663" w:type="dxa"/>
            <w:tcBorders>
              <w:top w:val="nil"/>
              <w:left w:val="single" w:color="008000" w:sz="4" w:space="0"/>
              <w:bottom w:val="nil"/>
            </w:tcBorders>
            <w:vAlign w:val="bottom"/>
          </w:tcPr>
          <w:p>
            <w:pPr>
              <w:jc w:val="center"/>
              <w:rPr>
                <w:rFonts w:ascii="宋体" w:hAnsi="宋体" w:cs="Arial Unicode MS"/>
                <w:color w:val="000000"/>
                <w:sz w:val="20"/>
              </w:rPr>
            </w:pPr>
            <w:r>
              <w:rPr>
                <w:rFonts w:ascii="宋体" w:hAnsi="宋体"/>
                <w:color w:val="000000"/>
                <w:sz w:val="20"/>
              </w:rPr>
              <w:t xml:space="preserve">3.48 </w:t>
            </w:r>
          </w:p>
        </w:tc>
      </w:tr>
      <w:tr>
        <w:tblPrEx>
          <w:tblLayout w:type="fixed"/>
          <w:tblCellMar>
            <w:top w:w="0" w:type="dxa"/>
            <w:left w:w="0" w:type="dxa"/>
            <w:bottom w:w="0" w:type="dxa"/>
            <w:right w:w="0" w:type="dxa"/>
          </w:tblCellMar>
        </w:tblPrEx>
        <w:trPr>
          <w:trHeight w:val="319" w:hRule="atLeast"/>
          <w:jc w:val="center"/>
        </w:trPr>
        <w:tc>
          <w:tcPr>
            <w:tcW w:w="710" w:type="dxa"/>
            <w:tcBorders>
              <w:top w:val="nil"/>
              <w:left w:val="nil"/>
              <w:bottom w:val="single" w:color="339966" w:sz="12" w:space="0"/>
              <w:right w:val="single" w:color="008000" w:sz="4" w:space="0"/>
            </w:tcBorders>
            <w:shd w:val="clear" w:color="auto" w:fill="CCFFCC"/>
            <w:vAlign w:val="center"/>
          </w:tcPr>
          <w:p>
            <w:pPr>
              <w:jc w:val="center"/>
            </w:pPr>
            <w:r>
              <w:t>June</w:t>
            </w:r>
          </w:p>
        </w:tc>
        <w:tc>
          <w:tcPr>
            <w:tcW w:w="712"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0.22 </w:t>
            </w:r>
          </w:p>
        </w:tc>
        <w:tc>
          <w:tcPr>
            <w:tcW w:w="687"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1.41 </w:t>
            </w:r>
          </w:p>
        </w:tc>
        <w:tc>
          <w:tcPr>
            <w:tcW w:w="854"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1.93 </w:t>
            </w:r>
          </w:p>
        </w:tc>
        <w:tc>
          <w:tcPr>
            <w:tcW w:w="810"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2.02 </w:t>
            </w:r>
          </w:p>
        </w:tc>
        <w:tc>
          <w:tcPr>
            <w:tcW w:w="639"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2.35 </w:t>
            </w:r>
          </w:p>
        </w:tc>
        <w:tc>
          <w:tcPr>
            <w:tcW w:w="685"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1.87 </w:t>
            </w:r>
          </w:p>
        </w:tc>
        <w:tc>
          <w:tcPr>
            <w:tcW w:w="690"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2.43 </w:t>
            </w:r>
          </w:p>
        </w:tc>
        <w:tc>
          <w:tcPr>
            <w:tcW w:w="862"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2.45 </w:t>
            </w:r>
          </w:p>
        </w:tc>
        <w:tc>
          <w:tcPr>
            <w:tcW w:w="810"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2.71 </w:t>
            </w:r>
          </w:p>
        </w:tc>
        <w:tc>
          <w:tcPr>
            <w:tcW w:w="576" w:type="dxa"/>
            <w:tcBorders>
              <w:top w:val="nil"/>
              <w:left w:val="single" w:color="008000" w:sz="4" w:space="0"/>
              <w:bottom w:val="single" w:color="339966" w:sz="12" w:space="0"/>
              <w:right w:val="single" w:color="008000" w:sz="4"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2.46 </w:t>
            </w:r>
          </w:p>
        </w:tc>
        <w:tc>
          <w:tcPr>
            <w:tcW w:w="663" w:type="dxa"/>
            <w:tcBorders>
              <w:top w:val="nil"/>
              <w:left w:val="single" w:color="008000" w:sz="4" w:space="0"/>
              <w:bottom w:val="single" w:color="339966" w:sz="12" w:space="0"/>
            </w:tcBorders>
            <w:shd w:val="clear" w:color="auto" w:fill="CCFFCC"/>
            <w:vAlign w:val="bottom"/>
          </w:tcPr>
          <w:p>
            <w:pPr>
              <w:jc w:val="center"/>
              <w:rPr>
                <w:rFonts w:ascii="宋体" w:hAnsi="宋体" w:cs="Arial Unicode MS"/>
                <w:color w:val="000000"/>
                <w:sz w:val="20"/>
              </w:rPr>
            </w:pPr>
            <w:r>
              <w:rPr>
                <w:rFonts w:ascii="宋体" w:hAnsi="宋体"/>
                <w:color w:val="000000"/>
                <w:sz w:val="20"/>
              </w:rPr>
              <w:t xml:space="preserve">3.50 </w:t>
            </w:r>
          </w:p>
        </w:tc>
      </w:tr>
      <w:tr>
        <w:tblPrEx>
          <w:tblLayout w:type="fixed"/>
        </w:tblPrEx>
        <w:trPr>
          <w:trHeight w:val="38" w:hRule="atLeast"/>
          <w:jc w:val="center"/>
        </w:trPr>
        <w:tc>
          <w:tcPr>
            <w:tcW w:w="8698" w:type="dxa"/>
            <w:gridSpan w:val="12"/>
            <w:tcBorders>
              <w:top w:val="nil"/>
              <w:left w:val="nil"/>
              <w:bottom w:val="single" w:color="339966" w:sz="12" w:space="0"/>
              <w:right w:val="nil"/>
            </w:tcBorders>
            <w:vAlign w:val="bottom"/>
          </w:tcPr>
          <w:p>
            <w:pPr>
              <w:widowControl/>
              <w:wordWrap w:val="0"/>
              <w:ind w:left="-737" w:leftChars="-351" w:firstLine="644" w:firstLineChars="307"/>
              <w:jc w:val="right"/>
              <w:rPr>
                <w:kern w:val="0"/>
                <w:szCs w:val="21"/>
              </w:rPr>
            </w:pPr>
          </w:p>
        </w:tc>
      </w:tr>
    </w:tbl>
    <w:p>
      <w:pPr>
        <w:rPr>
          <w:rFonts w:eastAsia="楷体_GB2312"/>
          <w:szCs w:val="21"/>
        </w:rPr>
      </w:pPr>
      <w:r>
        <w:rPr>
          <w:rFonts w:eastAsia="楷体_GB2312"/>
          <w:szCs w:val="21"/>
        </w:rPr>
        <w:t>Source: People’s Bank of China</w:t>
      </w:r>
    </w:p>
    <w:p>
      <w:pPr>
        <w:rPr>
          <w:rFonts w:ascii="楷体_GB2312" w:eastAsia="楷体_GB2312"/>
          <w:color w:val="000000"/>
          <w:sz w:val="24"/>
        </w:rPr>
      </w:pPr>
    </w:p>
    <w:p>
      <w:pPr>
        <w:rPr>
          <w:rFonts w:eastAsia="黑体"/>
        </w:rPr>
      </w:pPr>
      <w:bookmarkStart w:id="54" w:name="_Toc472330063"/>
      <w:bookmarkStart w:id="55" w:name="_Toc464655677"/>
      <w:bookmarkStart w:id="56" w:name="_Toc411351813"/>
      <w:bookmarkStart w:id="57" w:name="_Toc477878079"/>
      <w:bookmarkStart w:id="58" w:name="_Toc423005888"/>
    </w:p>
    <w:p>
      <w:pPr>
        <w:keepNext/>
        <w:widowControl/>
        <w:spacing w:after="240" w:line="264" w:lineRule="auto"/>
        <w:outlineLvl w:val="1"/>
        <w:rPr>
          <w:rFonts w:eastAsia="黑体" w:cs="Arial"/>
          <w:b/>
          <w:bCs/>
          <w:iCs/>
          <w:kern w:val="0"/>
          <w:sz w:val="24"/>
          <w:szCs w:val="28"/>
          <w:lang w:eastAsia="zh-TW"/>
        </w:rPr>
      </w:pPr>
      <w:bookmarkStart w:id="59" w:name="_Toc492904372"/>
      <w:r>
        <w:rPr>
          <w:rFonts w:eastAsia="黑体" w:cs="Arial"/>
          <w:b/>
          <w:bCs/>
          <w:iCs/>
          <w:kern w:val="0"/>
          <w:sz w:val="24"/>
          <w:szCs w:val="28"/>
          <w:lang w:eastAsia="zh-TW"/>
        </w:rPr>
        <w:t>VI. The RMB Exchange Rate</w:t>
      </w:r>
      <w:bookmarkEnd w:id="54"/>
      <w:bookmarkEnd w:id="55"/>
      <w:bookmarkEnd w:id="56"/>
      <w:bookmarkEnd w:id="57"/>
      <w:bookmarkEnd w:id="58"/>
      <w:r>
        <w:rPr>
          <w:rFonts w:eastAsia="黑体" w:cs="Arial"/>
          <w:b/>
          <w:bCs/>
          <w:iCs/>
          <w:kern w:val="0"/>
          <w:sz w:val="24"/>
          <w:szCs w:val="28"/>
          <w:lang w:eastAsia="zh-TW"/>
        </w:rPr>
        <w:t xml:space="preserve"> was More Flexible in Terms of Two-way Fluctuations</w:t>
      </w:r>
      <w:bookmarkEnd w:id="59"/>
    </w:p>
    <w:p>
      <w:pPr>
        <w:rPr>
          <w:rFonts w:eastAsia="仿宋_GB2312"/>
          <w:sz w:val="24"/>
        </w:rPr>
      </w:pPr>
      <w:r>
        <w:rPr>
          <w:rFonts w:eastAsia="仿宋_GB2312"/>
          <w:sz w:val="24"/>
        </w:rPr>
        <w:t>In the second quarter, the US dollar generally weakened, with most of the major currencies appreciating against the US dollar, and the RMB exchange rate also appreciated against the US dollar. The exchange-rate mechanism became more rule-based, transparent, and market-oriented. The flexibility of the RMB exchange rate against the US dollar was further strengthened, exhibiting larger two-way fluctuations. Exchange-rate expectations remained generally well anchored. At the end of June, the CFETS RMB exchange-rate index closed at 93.29, down by 1.62 percent from the end of 2016; the RMB exchange-rate index based on the Bank for International Settlements (BIS) basket and the SDR basket closed at 94.25 and 94.18 respectively, depreciating by 2.07 percent and 1.38 percent respectively from the end of the last year. According to calculations by the BIS, the NEER and the REER of the RMB depreciated by 2.27 percent and 3.32 percent respectively during the first half of 2017. From the RMB exchange-rate regime reform in 2005 to end-June 2017, the NEER and the REER of the RMB appreciated by 34.26 percent and 42.24 percent respectively. At end-June, the central parity of the RMB against the US dollar was 6.7744, an appreciation of 1626 basis points, or 2.40 percent, from the end of 2016. From the reform of the RMB exchange-rate regime in 2005 to end-June 2017, the RMB appreciated by a cumulative 22.17 percent against the US dollar.</w:t>
      </w:r>
      <w:bookmarkStart w:id="60" w:name="_Toc423005889"/>
      <w:bookmarkStart w:id="61" w:name="_Toc472330064"/>
      <w:bookmarkStart w:id="62" w:name="_Toc464655678"/>
      <w:bookmarkStart w:id="63" w:name="_Toc477878080"/>
    </w:p>
    <w:p>
      <w:pPr>
        <w:widowControl/>
        <w:jc w:val="left"/>
        <w:outlineLvl w:val="1"/>
        <w:rPr>
          <w:rFonts w:cs="Arial"/>
          <w:bCs/>
          <w:iCs/>
          <w:kern w:val="0"/>
          <w:sz w:val="24"/>
          <w:szCs w:val="28"/>
        </w:rPr>
      </w:pPr>
    </w:p>
    <w:p>
      <w:pPr>
        <w:keepNext/>
        <w:widowControl/>
        <w:spacing w:after="240" w:line="264" w:lineRule="auto"/>
        <w:outlineLvl w:val="1"/>
        <w:rPr>
          <w:rFonts w:eastAsia="黑体" w:cs="Arial"/>
          <w:b/>
          <w:bCs/>
          <w:iCs/>
          <w:kern w:val="0"/>
          <w:sz w:val="24"/>
          <w:szCs w:val="28"/>
          <w:lang w:eastAsia="zh-TW"/>
        </w:rPr>
      </w:pPr>
      <w:bookmarkStart w:id="64" w:name="_Toc492904373"/>
      <w:r>
        <w:rPr>
          <w:rFonts w:eastAsia="黑体" w:cs="Arial"/>
          <w:b/>
          <w:bCs/>
          <w:iCs/>
          <w:kern w:val="0"/>
          <w:sz w:val="24"/>
          <w:szCs w:val="28"/>
          <w:lang w:eastAsia="zh-TW"/>
        </w:rPr>
        <w:t xml:space="preserve">VII. Cross-border RMB Receipts and Payments Fell </w:t>
      </w:r>
      <w:bookmarkEnd w:id="60"/>
      <w:bookmarkEnd w:id="61"/>
      <w:bookmarkEnd w:id="62"/>
      <w:r>
        <w:rPr>
          <w:rFonts w:eastAsia="黑体" w:cs="Arial"/>
          <w:b/>
          <w:bCs/>
          <w:iCs/>
          <w:kern w:val="0"/>
          <w:sz w:val="24"/>
          <w:szCs w:val="28"/>
          <w:lang w:eastAsia="zh-TW"/>
        </w:rPr>
        <w:t>on a Year-on-Year Basis</w:t>
      </w:r>
      <w:bookmarkEnd w:id="63"/>
      <w:bookmarkEnd w:id="64"/>
    </w:p>
    <w:p>
      <w:pPr>
        <w:rPr>
          <w:rFonts w:eastAsia="仿宋_GB2312"/>
          <w:sz w:val="24"/>
        </w:rPr>
      </w:pPr>
      <w:r>
        <w:rPr>
          <w:rFonts w:eastAsia="仿宋_GB2312"/>
          <w:sz w:val="24"/>
        </w:rPr>
        <w:t>During the first half of 2017, cross-border receipts and payments in RMB totaled  RMB 3.74 trillion, a decrease of 22 percent year on year. In particular, RMB receipts and payments registered RMB 1.7 trillion and RMB 2.04 trillion respectively, resulting in a net outflow of RMB 335.40 billion and a receipt-to-payment ratio of 1:1.2. RMB cross-border receipts and payments under the current account posted RMB 2.15 trillion, down 19 percent year on year. In particular, settlements of trade in goods registered RMB 1.65 trillion, whereas settlements of trade in services and other items registered RMB 505.81 billion. Receipts and payments under the capital account totaled RMB 1.59 trillion, down 26 percent year on year.</w:t>
      </w:r>
    </w:p>
    <w:p>
      <w:pPr>
        <w:rPr>
          <w:rFonts w:ascii="仿宋_GB2312" w:eastAsia="仿宋_GB2312"/>
          <w:color w:val="000000"/>
          <w:sz w:val="28"/>
        </w:rPr>
      </w:pPr>
      <w:r>
        <w:drawing>
          <wp:inline distT="0" distB="0" distL="0" distR="0">
            <wp:extent cx="4414520" cy="2964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4414520" cy="2964180"/>
                    </a:xfrm>
                    <a:prstGeom prst="rect">
                      <a:avLst/>
                    </a:prstGeom>
                    <a:noFill/>
                    <a:ln w="9525">
                      <a:noFill/>
                      <a:miter lim="800000"/>
                      <a:headEnd/>
                      <a:tailEnd/>
                    </a:ln>
                  </pic:spPr>
                </pic:pic>
              </a:graphicData>
            </a:graphic>
          </wp:inline>
        </w:drawing>
      </w:r>
    </w:p>
    <w:p>
      <w:pPr>
        <w:jc w:val="center"/>
        <w:rPr>
          <w:sz w:val="24"/>
        </w:rPr>
      </w:pPr>
    </w:p>
    <w:p>
      <w:pPr>
        <w:pStyle w:val="4"/>
        <w:rPr>
          <w:rFonts w:ascii="Times New Roman" w:hAnsi="Times New Roman" w:eastAsia="楷体_GB2312" w:cs="Times New Roman"/>
          <w:b/>
          <w:sz w:val="24"/>
          <w:szCs w:val="24"/>
        </w:rPr>
      </w:pPr>
      <w:bookmarkStart w:id="65" w:name="_Toc411351845"/>
      <w:r>
        <w:rPr>
          <w:rFonts w:ascii="Times New Roman" w:hAnsi="Times New Roman" w:cs="Times New Roman"/>
          <w:b/>
          <w:sz w:val="24"/>
          <w:szCs w:val="24"/>
        </w:rPr>
        <w:t xml:space="preserve">    </w:t>
      </w:r>
      <w:bookmarkStart w:id="66" w:name="_Toc492909038"/>
      <w:r>
        <w:rPr>
          <w:rFonts w:ascii="Times New Roman" w:hAnsi="Times New Roman" w:cs="Times New Roman"/>
          <w:b/>
          <w:sz w:val="24"/>
          <w:szCs w:val="24"/>
        </w:rPr>
        <w:t xml:space="preserve">Figure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Figure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3</w:t>
      </w:r>
      <w:r>
        <w:rPr>
          <w:rFonts w:ascii="Times New Roman" w:hAnsi="Times New Roman" w:cs="Times New Roman"/>
          <w:b/>
          <w:sz w:val="24"/>
          <w:szCs w:val="24"/>
        </w:rPr>
        <w:fldChar w:fldCharType="end"/>
      </w:r>
      <w:r>
        <w:rPr>
          <w:rFonts w:ascii="Times New Roman" w:hAnsi="Times New Roman" w:cs="Times New Roman"/>
          <w:b/>
          <w:sz w:val="24"/>
          <w:szCs w:val="24"/>
        </w:rPr>
        <w:t xml:space="preserve"> Monthly RMB Payments and Receipts under the Current Account</w:t>
      </w:r>
      <w:bookmarkEnd w:id="66"/>
    </w:p>
    <w:p>
      <w:r>
        <w:rPr>
          <w:rFonts w:eastAsia="楷体_GB2312"/>
          <w:szCs w:val="21"/>
        </w:rPr>
        <w:t>Source: People’s Bank of China</w:t>
      </w:r>
      <w:bookmarkEnd w:id="65"/>
    </w:p>
    <w:p>
      <w:pPr>
        <w:autoSpaceDE w:val="0"/>
        <w:autoSpaceDN w:val="0"/>
        <w:adjustRightInd w:val="0"/>
        <w:ind w:firstLine="2715" w:firstLineChars="845"/>
        <w:jc w:val="left"/>
        <w:rPr>
          <w:rFonts w:eastAsia="黑体"/>
          <w:b/>
          <w:kern w:val="0"/>
          <w:sz w:val="32"/>
          <w:szCs w:val="32"/>
        </w:rPr>
      </w:pPr>
    </w:p>
    <w:p/>
    <w:p>
      <w:pPr>
        <w:keepNext/>
        <w:keepLines/>
        <w:spacing w:beforeLines="100" w:afterLines="100"/>
        <w:jc w:val="center"/>
        <w:outlineLvl w:val="0"/>
        <w:rPr>
          <w:rFonts w:eastAsia="仿宋_GB2312"/>
          <w:b/>
          <w:sz w:val="36"/>
          <w:szCs w:val="36"/>
        </w:rPr>
      </w:pPr>
      <w:bookmarkStart w:id="67" w:name="_Toc492904374"/>
      <w:bookmarkStart w:id="68" w:name="_Toc484425019"/>
      <w:bookmarkStart w:id="69" w:name="_Toc467687030"/>
      <w:bookmarkStart w:id="70" w:name="_Toc477878081"/>
      <w:r>
        <w:rPr>
          <w:rFonts w:eastAsia="仿宋_GB2312"/>
          <w:b/>
          <w:sz w:val="36"/>
          <w:szCs w:val="36"/>
        </w:rPr>
        <w:t>Part 2 Monetary Policy Operations</w:t>
      </w:r>
      <w:bookmarkEnd w:id="67"/>
      <w:bookmarkEnd w:id="68"/>
      <w:bookmarkEnd w:id="69"/>
      <w:bookmarkEnd w:id="70"/>
    </w:p>
    <w:p>
      <w:pPr>
        <w:rPr>
          <w:color w:val="000000"/>
          <w:sz w:val="24"/>
        </w:rPr>
      </w:pPr>
      <w:r>
        <w:rPr>
          <w:color w:val="000000"/>
          <w:sz w:val="24"/>
        </w:rPr>
        <w:t>During the first half of 2017, the upward momentum in the Chinese economy was sustained, with a strengthening of stabilization, improvements in the economy, a further recovery of external demand, a closing of the divergence in price trends, a dropping of the growth rate of the leverage ratio, and stabilization of the real estate market. In accordance with the overall arrangements of the Central Committee of the Communist Party of China (CPC) and the State Council, the PBC maintained a prudent and neutral monetary policy and properly managed the cash supply to ensure the stability of liquidity, building favorable monetary and financial environments for efforts to stabilize growth, restructure the economy, advance the reforms, improve the people’s livelihood, contain bubbles, and prevent risks.</w:t>
      </w:r>
    </w:p>
    <w:p>
      <w:pPr>
        <w:pStyle w:val="3"/>
        <w:keepNext w:val="0"/>
        <w:numPr>
          <w:ilvl w:val="0"/>
          <w:numId w:val="0"/>
        </w:numPr>
        <w:jc w:val="both"/>
        <w:rPr>
          <w:rFonts w:cs="Times New Roman"/>
          <w:color w:val="000000"/>
        </w:rPr>
      </w:pPr>
      <w:bookmarkStart w:id="71" w:name="_Toc484425020"/>
      <w:bookmarkStart w:id="72" w:name="_Toc467687031"/>
      <w:bookmarkStart w:id="73" w:name="_Toc464655680"/>
      <w:bookmarkStart w:id="74" w:name="_Toc477878082"/>
    </w:p>
    <w:p>
      <w:pPr>
        <w:pStyle w:val="3"/>
        <w:keepNext w:val="0"/>
        <w:numPr>
          <w:ilvl w:val="0"/>
          <w:numId w:val="0"/>
        </w:numPr>
        <w:jc w:val="both"/>
        <w:rPr>
          <w:rFonts w:eastAsia="黑体" w:cs="Times New Roman"/>
          <w:b w:val="0"/>
          <w:bCs w:val="0"/>
          <w:color w:val="3366FF"/>
        </w:rPr>
      </w:pPr>
      <w:bookmarkStart w:id="75" w:name="_Toc492904375"/>
      <w:r>
        <w:rPr>
          <w:rFonts w:cs="Times New Roman"/>
          <w:color w:val="000000"/>
        </w:rPr>
        <w:t xml:space="preserve">I. </w:t>
      </w:r>
      <w:bookmarkEnd w:id="71"/>
      <w:bookmarkEnd w:id="72"/>
      <w:bookmarkEnd w:id="73"/>
      <w:bookmarkEnd w:id="74"/>
      <w:r>
        <w:rPr>
          <w:rFonts w:cs="Times New Roman"/>
          <w:color w:val="000000"/>
        </w:rPr>
        <w:t>Open Market Operations were Conducted in a Flexible Manner</w:t>
      </w:r>
      <w:bookmarkEnd w:id="75"/>
    </w:p>
    <w:p>
      <w:pPr>
        <w:rPr>
          <w:color w:val="000000"/>
          <w:sz w:val="24"/>
        </w:rPr>
      </w:pPr>
      <w:r>
        <w:rPr>
          <w:color w:val="000000"/>
          <w:sz w:val="24"/>
        </w:rPr>
        <w:t>As required by the prudent and neutral monetary policy and to strike a balance between deleveraging and the need to maintain liquidity stability, the PBC improved the forward-guidance nature, flexibility, and precision of Open Market Operations, enhanced preemptive fine-tuning and management of expectations, properly arranged the combinations of Open Market Operations tools, and reasonably adjusted the intensity and pace of operations and mitigated liquidity volatility by addressing excesses and shortages. As a result, the money market and bond market both functioned well, and progress was also made in lowering the leverage ratio of internal funding within the financial system.</w:t>
      </w:r>
    </w:p>
    <w:p>
      <w:pPr>
        <w:rPr>
          <w:color w:val="000000"/>
          <w:sz w:val="24"/>
        </w:rPr>
      </w:pPr>
    </w:p>
    <w:p>
      <w:pPr>
        <w:rPr>
          <w:color w:val="000000"/>
          <w:sz w:val="24"/>
        </w:rPr>
      </w:pPr>
      <w:r>
        <w:rPr>
          <w:color w:val="000000"/>
          <w:sz w:val="24"/>
        </w:rPr>
        <w:t>During the first quarter, liquidity in the banking system remained at a stable, neutral, and appropriate level, with interest rates in the money market generally stabilizing and volatilities at specific spots were soon mitigated under the market mechanism. In April, financial regulations were tightened against potential risks in the financial system and market expectations also changed. The PBC, CBRC, CSRC, CIRC, and SAFE enhanced financial regulatory coordination under the Ministerial Inter-Agency Meeting for Financial Regulatory Coordination, worked closely in terms of time and pace when launching supervisory policies, stabilized market expectations through preemptive fine-tunings, and refrained from excessive interventions to allow market forces to play a corrective role. On the one hand, in late May the PBC Open Market Operations Office sent out operations signals and on June 6 it conducted MLF operations totaling RMB 498 billion to offset beforehand the MLF maturity that totaled RMB 431.3 billion in June and to provide a reasonable amount of incremental liquidity. On June 7, the PBC restarted the 28-day repos, with maturities spanning to the end of the first half of 2017 and thereafter it continuously conducted repo operations to offset the impact of taxes and the required deposit reserves of financial institutions as well the maturities of PBC liquidity tools, and to address liquidity shortages in a neutral and moderate manner. On the other hand, considering that fiscal expenditures at the end of each month injected a great amount of liquidity into the system, in order to contain total liquidity at a neutral and reasonable level, the PBC's Open Market Operations Office suspended operations for 12 consecutive working days beginning on June 23 and it used the PBC's maturing repo operations to address the excesses of total liquidity. Meanwhile, the PBC issued statements to explain the adjustments and suspensions of operations to enhance communications with the market and to improve transparency. In general, market expectations have been stable since the second quarter, and financial institutions have deepened their understandings of the PBC's measures to address liquidity excesses and shortages to maintain a neutral and reasonable stance. As a result, there have been fewer market misinterpretations. The 7-day repo rate (DR007) - the most representative inter-bank market rate—was generally moving within a range between 2.75 and 3.0 percent, pointing to a slightly downward trend, and the bond market was recovering.</w:t>
      </w:r>
    </w:p>
    <w:p>
      <w:pPr>
        <w:rPr>
          <w:color w:val="000000"/>
          <w:sz w:val="24"/>
        </w:rPr>
      </w:pPr>
    </w:p>
    <w:p>
      <w:pPr>
        <w:rPr>
          <w:color w:val="000000"/>
          <w:sz w:val="24"/>
        </w:rPr>
      </w:pPr>
      <w:r>
        <w:rPr>
          <w:color w:val="000000"/>
          <w:sz w:val="24"/>
        </w:rPr>
        <w:t>Along with increasing scale of the total economy, the growing size of the financial system’s balance sheet, and the enhancement of the correlations of cross-market funds and institutions, the impact of liquidity has been amplified due to factors such as fiscal revenue and expenditures, payments and refunds of the required deposit reserves of financial institutions, cash injections and recycling, and market expectations, and these impacts easily overlapped. For example, the middle of each month is usually the time when the tightening effect of multiple factors overlap, therefore open market operations to address liquidity shortages are intensified. In contrast, at the end of each month fiscal expenditures inject liquidity, so open market operations are mainly conducted to address liquidity excesses and to maintain flexibility to reflect the pace and scale of fiscal expenditures. To avoid market misinterpretations of the prudent and neutral monetary policy stance due to a sustained tightening or loosening of liquidity during a certain period of time, the Open Market Operations enhance the flexibility of cash injections or recycling, enrich the maturities of PBC repo products, improve the stability of liquidity, and guide financial institutions to improve the maturity structures of their balance sheets so as to maintain liquidity in the banking system at a stable and neutral level.</w:t>
      </w:r>
    </w:p>
    <w:p>
      <w:pPr>
        <w:rPr>
          <w:lang w:eastAsia="zh-TW"/>
        </w:rPr>
      </w:pPr>
    </w:p>
    <w:p>
      <w:pPr>
        <w:pStyle w:val="3"/>
        <w:keepNext w:val="0"/>
        <w:numPr>
          <w:ilvl w:val="0"/>
          <w:numId w:val="0"/>
        </w:numPr>
        <w:jc w:val="both"/>
        <w:rPr>
          <w:rFonts w:eastAsia="黑体" w:cs="Times New Roman"/>
          <w:b w:val="0"/>
          <w:bCs w:val="0"/>
        </w:rPr>
      </w:pPr>
      <w:bookmarkStart w:id="76" w:name="_Toc492904376"/>
      <w:r>
        <w:rPr>
          <w:rFonts w:cs="Times New Roman"/>
          <w:color w:val="000000"/>
        </w:rPr>
        <w:t>II. Standing Lending Facility (SLF) and Medium-term Lending Facility (MLF) Operations</w:t>
      </w:r>
      <w:bookmarkEnd w:id="76"/>
      <w:r>
        <w:rPr>
          <w:rFonts w:cs="Times New Roman"/>
          <w:color w:val="000000"/>
        </w:rPr>
        <w:t xml:space="preserve"> </w:t>
      </w:r>
    </w:p>
    <w:p>
      <w:pPr>
        <w:rPr>
          <w:color w:val="000000"/>
          <w:sz w:val="24"/>
        </w:rPr>
      </w:pPr>
      <w:r>
        <w:rPr>
          <w:color w:val="000000"/>
          <w:sz w:val="24"/>
        </w:rPr>
        <w:t>Based on the need for monetary policy management as well as the liquidity situation in the banking system, the PBC comprehensively employed different monetary policies during the first half of 2017, including the Temporary Liquidity Facility (TLF), the MLF, and the SLF, to maintain liquidity stability in the banking system.</w:t>
      </w:r>
    </w:p>
    <w:p>
      <w:pPr>
        <w:rPr>
          <w:color w:val="000000"/>
          <w:sz w:val="24"/>
        </w:rPr>
      </w:pPr>
    </w:p>
    <w:p>
      <w:pPr>
        <w:rPr>
          <w:color w:val="000000"/>
          <w:sz w:val="24"/>
        </w:rPr>
      </w:pPr>
      <w:r>
        <w:rPr>
          <w:color w:val="000000"/>
          <w:sz w:val="24"/>
        </w:rPr>
        <w:t>In January 2017, the PBC provided temporary liquidity support with significant cash injections through the TLF to a number of large banks in an effort to meet the intense liquidity demand ahead of the Spring Festival and to ensure liquidity stability in the banking system and the smooth functioning of the money market. As a result, the impact of substantial cash injections before the Spring Festival on liquidity stability in the banking system and on the functioning of the money market was significantly reduced.</w:t>
      </w:r>
    </w:p>
    <w:p>
      <w:pPr>
        <w:rPr>
          <w:color w:val="000000"/>
          <w:sz w:val="24"/>
        </w:rPr>
      </w:pPr>
    </w:p>
    <w:p>
      <w:pPr>
        <w:rPr>
          <w:color w:val="000000"/>
          <w:sz w:val="24"/>
        </w:rPr>
      </w:pPr>
      <w:r>
        <w:rPr>
          <w:color w:val="000000"/>
          <w:sz w:val="24"/>
        </w:rPr>
        <w:t>SLFs were conducted to fully cover the short-term liquidity needs of locally incorporated financial institutions and to promote the steady functioning of the money market, leveraging the role of the SLF rate as the ceiling of the interest-rate corridor. In the first half of 2017, the PBC conducted a total of RMB 306.9 billion of SLF operations, with outstanding SLFs of RMB 44.6 billion at end-June. To reflect the stabilization and growing momentum of the economic fundamentals and the upward trend of interest rates in the money market, the PBC raised SLF rates twice during the first quarter, adding 20 basis points to the 7-day and 1-month SLF interest rates and bringing the overnight, 7-day, and 1-month SLF interest rates to 3.30 percent, 3.45 percent, and 3.80 percent respectively. Interest rates at the end of the second quarter were at the same level as those at the end of the first quarter.</w:t>
      </w:r>
    </w:p>
    <w:p>
      <w:pPr>
        <w:rPr>
          <w:color w:val="000000"/>
          <w:sz w:val="24"/>
        </w:rPr>
      </w:pPr>
    </w:p>
    <w:p>
      <w:pPr>
        <w:rPr>
          <w:color w:val="000000"/>
          <w:sz w:val="24"/>
        </w:rPr>
      </w:pPr>
      <w:r>
        <w:rPr>
          <w:color w:val="000000"/>
          <w:sz w:val="24"/>
        </w:rPr>
        <w:t>MLFs were conducted as necessary on a monthly basis to promote steady economic growth and to ensure a supply of base money in consideration of the liquidity demand of financial institutions. MLF operations during the first half of 2017 reached RMB 2894.0 billion on a cumulative basis, with RMB 4224.5 billion remaining outstanding at end-June, an increase of RMB 767.2 billion from the beginning of the year. MLFs have been an important channel for the PBC to make base money injections as a means to bridge the mid-to-long-term liquidity gap in the banking system. MLF operations were conducted through an auction process, and the auction prices for 6-month and 1-year MLFs during the second quarter posted at 3.05 percent and 3.20 percent respectively.</w:t>
      </w:r>
    </w:p>
    <w:p>
      <w:pPr>
        <w:rPr>
          <w:lang w:eastAsia="zh-TW"/>
        </w:rPr>
      </w:pPr>
    </w:p>
    <w:p>
      <w:pPr>
        <w:pStyle w:val="3"/>
        <w:keepNext w:val="0"/>
        <w:numPr>
          <w:ilvl w:val="0"/>
          <w:numId w:val="0"/>
        </w:numPr>
        <w:jc w:val="both"/>
        <w:rPr>
          <w:rFonts w:eastAsia="黑体" w:cs="Times New Roman"/>
          <w:b w:val="0"/>
          <w:bCs w:val="0"/>
        </w:rPr>
      </w:pPr>
      <w:bookmarkStart w:id="77" w:name="_Toc492904377"/>
      <w:r>
        <w:rPr>
          <w:rFonts w:cs="Times New Roman"/>
          <w:color w:val="000000"/>
        </w:rPr>
        <w:t>III. Further Improvements in the Macro-Prudential Policy Framework</w:t>
      </w:r>
      <w:bookmarkEnd w:id="77"/>
      <w:r>
        <w:rPr>
          <w:rFonts w:cs="Times New Roman"/>
          <w:color w:val="000000"/>
        </w:rPr>
        <w:t xml:space="preserve"> </w:t>
      </w:r>
    </w:p>
    <w:p>
      <w:pPr>
        <w:rPr>
          <w:color w:val="000000"/>
          <w:sz w:val="24"/>
        </w:rPr>
      </w:pPr>
      <w:r>
        <w:rPr>
          <w:color w:val="000000"/>
          <w:sz w:val="24"/>
        </w:rPr>
        <w:t>The prevention of systemic financial risks is an ongoing theme in financial work. The macro-prudential policies are mainly targeted to prevent systemic financial risks from macro, counter-cyclical, and cross-market perspectives, with a focus on addressing the shocks of pro-cyclical volatilities and cross-market risks stemming from the financial system to the macro-economy and to financial stability. Currently, the Macro-Prudential Assessment (MPA) is one of the important means to build the macro-prudential policy framework. The MPA closely links credit growth to capital adequacy and a reasonable demand for economic development, featuring the characteristics of both macro-prudential policy and monetary policy. Based on changes in the situation and the demand for adjustments and control, the PBC has been improving the MPA. During the first quarter of 2017 it officially included off-balance-sheet wealth management businesses in the scope of broad credit indicators while also conducting MPA assessments. From the perspective of implementation, the growth rate of broad credit, including that of off-balance-sheet wealth management business, has dropped from high levels, which has played a significant role in containing the rapid growth of the leverage ratio within the financial system, facilitating the healthy operations of financial institutions, and enhancing the sustainability of financial support to the real economy. At the same time, the PBC has been focusing on preparatory work to include inter-bank certificates of deposit in the scope of the MPA inter-bank debt ratio indicator and on occasions it has disclosed other relative considerations, such as during the conference on the disciplinary mechanism for interest-rate pricing, in an aim to provide an adequate transition period to ensure smooth implementation.</w:t>
      </w:r>
    </w:p>
    <w:p>
      <w:pPr>
        <w:rPr>
          <w:color w:val="000000"/>
          <w:sz w:val="24"/>
        </w:rPr>
      </w:pPr>
    </w:p>
    <w:p>
      <w:pPr>
        <w:pStyle w:val="3"/>
        <w:keepNext w:val="0"/>
        <w:numPr>
          <w:ilvl w:val="0"/>
          <w:numId w:val="0"/>
        </w:numPr>
        <w:jc w:val="both"/>
        <w:rPr>
          <w:rFonts w:cs="Times New Roman"/>
          <w:color w:val="000000"/>
        </w:rPr>
      </w:pPr>
      <w:bookmarkStart w:id="78" w:name="_Toc492904378"/>
      <w:r>
        <w:rPr>
          <w:rFonts w:cs="Times New Roman"/>
          <w:color w:val="000000"/>
        </w:rPr>
        <w:t>IV. Underpinning Financial Institutions with Various Monetary Policy Tools to Provide Stronger Credit Support to Key Areas and Weak Sectors in the Economy</w:t>
      </w:r>
      <w:bookmarkEnd w:id="78"/>
    </w:p>
    <w:p>
      <w:pPr>
        <w:rPr>
          <w:color w:val="000000"/>
          <w:sz w:val="24"/>
        </w:rPr>
      </w:pPr>
      <w:r>
        <w:rPr>
          <w:color w:val="000000"/>
          <w:sz w:val="24"/>
        </w:rPr>
        <w:t>The PBC made strong efforts to encourage financial institutions to increase their support for small and micro businesses, agriculture, rural areas, and rural households, renovation of shanty towns, and other key areas and weak sectors in the economy by using tools such as central-bank lending, central-bank discounts, and Pledged Supplementary Lending (PSL). At end-June, outstanding central-bank loans for agriculture, small enterprises, and poverty alleviation, as well as central-bank discounts, posted RMB 236.0 billion, RMB 75.9 billion, RMB 142.9 billion, and RMB 140.2 billion respectively. The PSL was used to extend credit to the China Development Bank, the Export-Import Bank of China, and the Agricultural Development Bank of China to support their lending for the renovation of shanty towns, key hydraulic projects, and projects to support overseas operations of Chinese enterprises. The PBC provided RMB 195.3 billion of PSLs to the China Development Bank, the Export-Import Bank of China, and the Agricultural Development Bank of China during the second quarter, with outstanding PSLs posting RMB 2411.1 billion at end-June.</w:t>
      </w:r>
    </w:p>
    <w:p>
      <w:pPr>
        <w:rPr>
          <w:color w:val="000000"/>
          <w:sz w:val="24"/>
        </w:rPr>
      </w:pPr>
    </w:p>
    <w:p>
      <w:pPr>
        <w:rPr>
          <w:color w:val="000000"/>
          <w:sz w:val="24"/>
        </w:rPr>
      </w:pPr>
      <w:r>
        <w:rPr>
          <w:color w:val="000000"/>
          <w:sz w:val="24"/>
        </w:rPr>
        <w:t>The reserve requirement ratio (RRR) for banks under the targeted RRR program was adjusted on a dynamic basis. In February 2017, the PBC implemented a regular assessment under the targeted RRR reduction program based on bank performance in 2016 to support agriculture and small enterprises. Most banks were assessed to have met the criteria for the annual credit supply to agriculture and small enterprises and they continued to be eligible for the preferential RRR. A number of banks that had not been covered by the program were assessed this year to have met the criteria and thus became eligible for the program. Some banks failed the assessment and were removed from the program.</w:t>
      </w:r>
    </w:p>
    <w:p/>
    <w:p>
      <w:pPr>
        <w:keepNext/>
        <w:keepLines/>
        <w:adjustRightInd w:val="0"/>
        <w:spacing w:before="20" w:after="20"/>
        <w:outlineLvl w:val="1"/>
        <w:rPr>
          <w:rFonts w:eastAsia="仿宋_GB2312"/>
          <w:b/>
          <w:bCs/>
          <w:color w:val="000000"/>
          <w:sz w:val="24"/>
        </w:rPr>
      </w:pPr>
      <w:bookmarkStart w:id="79" w:name="_Toc484425025"/>
      <w:bookmarkStart w:id="80" w:name="_Toc492904379"/>
      <w:r>
        <w:rPr>
          <w:rFonts w:eastAsia="仿宋_GB2312"/>
          <w:b/>
          <w:bCs/>
          <w:color w:val="000000"/>
          <w:sz w:val="24"/>
        </w:rPr>
        <w:t>V. The Structural Guidance</w:t>
      </w:r>
      <w:bookmarkEnd w:id="79"/>
      <w:r>
        <w:rPr>
          <w:rFonts w:eastAsia="仿宋_GB2312"/>
          <w:b/>
          <w:bCs/>
          <w:color w:val="000000"/>
          <w:sz w:val="24"/>
        </w:rPr>
        <w:t xml:space="preserve"> Role of Credit Policies</w:t>
      </w:r>
      <w:bookmarkEnd w:id="80"/>
    </w:p>
    <w:p>
      <w:pPr>
        <w:rPr>
          <w:color w:val="000000"/>
          <w:sz w:val="24"/>
        </w:rPr>
      </w:pPr>
    </w:p>
    <w:p>
      <w:pPr>
        <w:rPr>
          <w:color w:val="000000"/>
          <w:sz w:val="24"/>
        </w:rPr>
      </w:pPr>
      <w:r>
        <w:rPr>
          <w:color w:val="000000"/>
          <w:sz w:val="24"/>
        </w:rPr>
        <w:t>The PBC continued to explore and assume the role of signaling and guiding the structure of credit policies to support economic restructuring, industrial transformation, and upgrading. To support the five major tasks of removing excess capacity, reducing stocks, deleveraging, reducing costs, and shoring up weak spots, the PBC focused on guiding financial institutions to restructure the stock of credit assets on the supply side, improve the use of new loans and transition to the new growth model, appropriately use central-bank financial support, and explore new models of organizational structures, collaterals, products, and services so as to allocate more credit resources to key areas and weak sectors of the economy, with the aim of satisfying the diversified financial demands of the people and the real economy. First, banking institutions were encouraged and guided to provide comprehensive support to build China into a manufacturing power; to continue providing proper financial services for strategic industrial restructuring, infrastructure development, and reform and development in key areas, such as shanty town renovations, underground utility tunnels, ship-building, railways, logistics, and energy; to drive industrial transformation by focusing on expanding service consumption; to guide efforts by financial institutions to make innovations in organizational arrangements, products, and service modes; and to step up financial support for new priorities in consumption, such as retirement services and healthcare. Second, financial services for agricultural-related areas and small businesses were enhanced. The PBC prudently promoted the pilot program of loans collateralized with the operational rights of contracted land and rural housing property, encouraged small-and medium-sized enterprises (SMEs) to use non-financial enterprise debt-financing instruments to raise funds, supported eligible financial institutions to issue financial bonds to extend loans exclusively to small businesses, and encouraged the development of small- and medium-sized banks and private financial institutions. Third, the PBC urged banking institutions to implement various policies to provide financial support to address overcapacity issues in the coal, steel, and coal-fired power-generation sectors. It also improved the system of policies to support green finance and stepped up efforts to develop green financing. Fourth, the PBC provided financial support to promote coordinated regional development for national strategies, which include the Coordinated Development Plan of the Beijing-Tianjin-Hebei Area, the Belt and Road Initiative, Development of the Yangtze River Economic Belt, and the Western China Development Drive. Fifth, the PBC continued to improve financial services related to the people’s livelihood, such as poverty reduction, employment, education, minority ethnic groups, migrant workers, and college graduates who have become rural officials. It boosted financial support for mass entrepreneurship and innovation and actively promoted pilot programs related to the integration of technology and finance. The PBC further promoted financial services designed to target poverty-reduction programs, strengthened the collection, distribution, and management of funds for poverty alleviation by relocation, and improved information-sharing, statistical monitoring, and evaluations of targeted poverty reduction, with the objective of promoting sound and sustainable economic and social development in poverty-stricken areas and lifting people out of poverty. Moreover, the mechanism to assess the effectiveness of guiding credit policies was improved, and the credit-asset securitization program was further promoted to revitalize the stock of credit assets.</w:t>
      </w:r>
    </w:p>
    <w:p>
      <w:pPr>
        <w:rPr>
          <w:color w:val="000000"/>
          <w:sz w:val="24"/>
        </w:rPr>
      </w:pPr>
    </w:p>
    <w:p>
      <w:pPr>
        <w:keepNext/>
        <w:keepLines/>
        <w:adjustRightInd w:val="0"/>
        <w:spacing w:before="20" w:after="20"/>
        <w:outlineLvl w:val="1"/>
        <w:rPr>
          <w:rFonts w:eastAsia="仿宋_GB2312"/>
          <w:b/>
          <w:bCs/>
          <w:sz w:val="24"/>
        </w:rPr>
      </w:pPr>
      <w:bookmarkStart w:id="81" w:name="_Toc484425026"/>
      <w:bookmarkStart w:id="82" w:name="_Toc492904380"/>
      <w:r>
        <w:rPr>
          <w:rFonts w:eastAsia="仿宋_GB2312"/>
          <w:b/>
          <w:bCs/>
          <w:sz w:val="24"/>
        </w:rPr>
        <w:t>VI. The RMB Exchange-Rate Regime</w:t>
      </w:r>
      <w:bookmarkEnd w:id="81"/>
      <w:r>
        <w:rPr>
          <w:rFonts w:eastAsia="仿宋_GB2312"/>
          <w:b/>
          <w:bCs/>
          <w:sz w:val="24"/>
        </w:rPr>
        <w:t xml:space="preserve"> was Improved</w:t>
      </w:r>
      <w:bookmarkEnd w:id="82"/>
    </w:p>
    <w:p>
      <w:pPr>
        <w:rPr>
          <w:color w:val="000000"/>
          <w:sz w:val="24"/>
        </w:rPr>
      </w:pPr>
    </w:p>
    <w:p>
      <w:pPr>
        <w:rPr>
          <w:color w:val="000000"/>
          <w:sz w:val="24"/>
        </w:rPr>
      </w:pPr>
      <w:r>
        <w:rPr>
          <w:color w:val="000000"/>
          <w:sz w:val="24"/>
        </w:rPr>
        <w:t>During the second quarter, the Foreign Exchange Self-Disciplinary Mechanism led member banks to improve the CNY/USD central parity formation mechanism and introduced the "counter-cyclical factor" into the existing formation mechanism of "closing rate + exchange-rate movements against a basket of currencies," with the aim of offsetting pro-cyclical volatilities due to market sentiments and to alleviate the potential "herding effect" in the foreign exchange market. After the adjustment, the new formation mechanism of "closing rate + exchange-rate movements against a basket of currencies + the counter-cyclical factor" operated in an orderly way and better reflected the fundamentals of the Chinese economy and changes in the international foreign-exchange market. The flexibility of the CNY/USD exchange rate further improved and two-way movements became more obvious. Exchange-rate expectations were generally stable.</w:t>
      </w:r>
    </w:p>
    <w:p>
      <w:pPr>
        <w:rPr>
          <w:color w:val="000000"/>
          <w:sz w:val="24"/>
        </w:rPr>
      </w:pPr>
    </w:p>
    <w:p>
      <w:pPr>
        <w:rPr>
          <w:color w:val="000000"/>
          <w:sz w:val="24"/>
        </w:rPr>
      </w:pPr>
      <w:r>
        <w:rPr>
          <w:color w:val="000000"/>
          <w:sz w:val="24"/>
        </w:rPr>
        <w:t>During the second quarter, the highest and lowest central parities of the RMB against the US dollar were RMB 6.7744 and RMB 6.9066 respectively. During the 60 trading days, the RMB appreciated on 29 days and depreciated on 31 days. The largest daily appreciation and depreciation were 0.80 percent (543 bps) and 0.25 percent (174 bps) respectively.</w:t>
      </w:r>
    </w:p>
    <w:p>
      <w:pPr>
        <w:rPr>
          <w:color w:val="000000"/>
          <w:sz w:val="24"/>
        </w:rPr>
      </w:pPr>
    </w:p>
    <w:p>
      <w:pPr>
        <w:rPr>
          <w:color w:val="000000"/>
          <w:sz w:val="24"/>
        </w:rPr>
      </w:pPr>
      <w:r>
        <w:rPr>
          <w:color w:val="000000"/>
          <w:sz w:val="24"/>
        </w:rPr>
        <w:t>The RMB depreciated against the euro, the Japanese yen, and other major currencies. At end-June, the central parities of the RMB against the euro and the Japanese yen stood at RMB 7.7496 per euro and RMB 6.0485 per 100 yen, depreciating 5.71 percent and 1.48 percent respectively from the end of 2016. From the exchange-rate reform in 2005 to end-June 2017, the RMB appreciated by a cumulative 29.22 percent against the euro and a cumulative 20.79 percent against the Japanese yen.</w:t>
      </w:r>
    </w:p>
    <w:p>
      <w:pPr>
        <w:rPr>
          <w:color w:val="000000"/>
          <w:sz w:val="24"/>
        </w:rPr>
      </w:pPr>
    </w:p>
    <w:p>
      <w:pPr>
        <w:rPr>
          <w:color w:val="000000"/>
          <w:sz w:val="24"/>
        </w:rPr>
      </w:pPr>
      <w:r>
        <w:rPr>
          <w:color w:val="000000"/>
          <w:sz w:val="24"/>
        </w:rPr>
        <w:t>At end-June, under the bilateral currency swap agreements between the PBC and foreign monetary authorities, the latter utilized a total of RMB 22.187 billion and the former used foreign currencies equivalent to USD 1.548 billion. These swap agreements have played a positive role in promoting bilateral trade.</w:t>
      </w:r>
    </w:p>
    <w:p>
      <w:pPr>
        <w:rPr>
          <w:color w:val="000000"/>
          <w:sz w:val="24"/>
        </w:rPr>
      </w:pPr>
    </w:p>
    <w:p>
      <w:pPr>
        <w:keepNext/>
        <w:rPr>
          <w:b/>
        </w:rPr>
      </w:pPr>
      <w:bookmarkStart w:id="83" w:name="_Toc476918430"/>
      <w:bookmarkStart w:id="84" w:name="_Toc492909030"/>
      <w:r>
        <w:rPr>
          <w:b/>
        </w:rPr>
        <w:t xml:space="preserve">Table </w:t>
      </w:r>
      <w:r>
        <w:rPr>
          <w:b/>
        </w:rPr>
        <w:fldChar w:fldCharType="begin"/>
      </w:r>
      <w:r>
        <w:rPr>
          <w:b/>
        </w:rPr>
        <w:instrText xml:space="preserve"> SEQ Table \* ARABIC </w:instrText>
      </w:r>
      <w:r>
        <w:rPr>
          <w:b/>
        </w:rPr>
        <w:fldChar w:fldCharType="separate"/>
      </w:r>
      <w:r>
        <w:rPr>
          <w:b/>
        </w:rPr>
        <w:t>8</w:t>
      </w:r>
      <w:r>
        <w:rPr>
          <w:b/>
        </w:rPr>
        <w:fldChar w:fldCharType="end"/>
      </w:r>
      <w:r>
        <w:rPr>
          <w:b/>
        </w:rPr>
        <w:t xml:space="preserve"> The Trading Volume of the RMB against Foreign Currencies in the Inter-bank Foreign Exchange Spot Market during the First Half of 201</w:t>
      </w:r>
      <w:bookmarkEnd w:id="83"/>
      <w:r>
        <w:rPr>
          <w:b/>
        </w:rPr>
        <w:t>7</w:t>
      </w:r>
      <w:bookmarkEnd w:id="84"/>
    </w:p>
    <w:p>
      <w:pPr>
        <w:wordWrap w:val="0"/>
        <w:jc w:val="right"/>
        <w:rPr>
          <w:sz w:val="24"/>
        </w:rPr>
      </w:pPr>
      <w:r>
        <w:rPr>
          <w:sz w:val="24"/>
        </w:rPr>
        <w:t>Unit: RMB 100 million</w:t>
      </w:r>
    </w:p>
    <w:tbl>
      <w:tblPr>
        <w:tblStyle w:val="20"/>
        <w:tblW w:w="9585" w:type="dxa"/>
        <w:jc w:val="center"/>
        <w:tblInd w:w="0" w:type="dxa"/>
        <w:tblLayout w:type="fixed"/>
        <w:tblCellMar>
          <w:top w:w="0" w:type="dxa"/>
          <w:left w:w="0" w:type="dxa"/>
          <w:bottom w:w="0" w:type="dxa"/>
          <w:right w:w="0" w:type="dxa"/>
        </w:tblCellMar>
      </w:tblPr>
      <w:tblGrid>
        <w:gridCol w:w="924"/>
        <w:gridCol w:w="561"/>
        <w:gridCol w:w="720"/>
        <w:gridCol w:w="900"/>
        <w:gridCol w:w="720"/>
        <w:gridCol w:w="720"/>
        <w:gridCol w:w="720"/>
        <w:gridCol w:w="720"/>
        <w:gridCol w:w="678"/>
        <w:gridCol w:w="762"/>
        <w:gridCol w:w="720"/>
        <w:gridCol w:w="720"/>
        <w:gridCol w:w="720"/>
      </w:tblGrid>
      <w:tr>
        <w:tblPrEx>
          <w:tblLayout w:type="fixed"/>
          <w:tblCellMar>
            <w:top w:w="0" w:type="dxa"/>
            <w:left w:w="0" w:type="dxa"/>
            <w:bottom w:w="0" w:type="dxa"/>
            <w:right w:w="0" w:type="dxa"/>
          </w:tblCellMar>
        </w:tblPrEx>
        <w:trPr>
          <w:trHeight w:val="402" w:hRule="atLeast"/>
          <w:jc w:val="center"/>
        </w:trPr>
        <w:tc>
          <w:tcPr>
            <w:tcW w:w="924" w:type="dxa"/>
            <w:tcBorders>
              <w:top w:val="single" w:color="339966" w:sz="12" w:space="0"/>
              <w:left w:val="nil"/>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Currency</w:t>
            </w:r>
          </w:p>
        </w:tc>
        <w:tc>
          <w:tcPr>
            <w:tcW w:w="561"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USD</w:t>
            </w:r>
          </w:p>
        </w:tc>
        <w:tc>
          <w:tcPr>
            <w:tcW w:w="72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EUR</w:t>
            </w:r>
          </w:p>
        </w:tc>
        <w:tc>
          <w:tcPr>
            <w:tcW w:w="90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JPY</w:t>
            </w:r>
          </w:p>
        </w:tc>
        <w:tc>
          <w:tcPr>
            <w:tcW w:w="72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HKD</w:t>
            </w:r>
          </w:p>
        </w:tc>
        <w:tc>
          <w:tcPr>
            <w:tcW w:w="72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GBP</w:t>
            </w:r>
          </w:p>
        </w:tc>
        <w:tc>
          <w:tcPr>
            <w:tcW w:w="72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AUD</w:t>
            </w:r>
          </w:p>
        </w:tc>
        <w:tc>
          <w:tcPr>
            <w:tcW w:w="720" w:type="dxa"/>
            <w:tcBorders>
              <w:top w:val="single" w:color="339966" w:sz="12" w:space="0"/>
              <w:left w:val="single" w:color="339966" w:sz="4" w:space="0"/>
              <w:bottom w:val="single" w:color="339966" w:sz="6"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NZD</w:t>
            </w:r>
          </w:p>
        </w:tc>
        <w:tc>
          <w:tcPr>
            <w:tcW w:w="678"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kern w:val="0"/>
                <w:szCs w:val="20"/>
              </w:rPr>
            </w:pPr>
            <w:r>
              <w:rPr>
                <w:kern w:val="0"/>
                <w:szCs w:val="20"/>
              </w:rPr>
              <w:t>SGD</w:t>
            </w:r>
          </w:p>
        </w:tc>
        <w:tc>
          <w:tcPr>
            <w:tcW w:w="762"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color w:val="000000"/>
                <w:kern w:val="0"/>
                <w:szCs w:val="20"/>
              </w:rPr>
            </w:pPr>
            <w:r>
              <w:rPr>
                <w:color w:val="000000"/>
                <w:kern w:val="0"/>
                <w:szCs w:val="20"/>
              </w:rPr>
              <w:t>CHF</w:t>
            </w:r>
          </w:p>
        </w:tc>
        <w:tc>
          <w:tcPr>
            <w:tcW w:w="720"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color w:val="000000"/>
                <w:kern w:val="0"/>
                <w:szCs w:val="20"/>
              </w:rPr>
            </w:pPr>
            <w:r>
              <w:rPr>
                <w:color w:val="000000"/>
                <w:kern w:val="0"/>
                <w:szCs w:val="20"/>
              </w:rPr>
              <w:t>CAD</w:t>
            </w:r>
          </w:p>
        </w:tc>
        <w:tc>
          <w:tcPr>
            <w:tcW w:w="720" w:type="dxa"/>
            <w:tcBorders>
              <w:top w:val="single" w:color="339966" w:sz="12" w:space="0"/>
              <w:left w:val="single" w:color="339966" w:sz="4" w:space="0"/>
              <w:bottom w:val="single" w:color="339966" w:sz="6" w:space="0"/>
              <w:right w:val="single" w:color="339966" w:sz="4" w:space="0"/>
            </w:tcBorders>
            <w:shd w:val="clear" w:color="auto" w:fill="CCFFCC"/>
            <w:vAlign w:val="center"/>
          </w:tcPr>
          <w:p>
            <w:pPr>
              <w:adjustRightInd w:val="0"/>
              <w:snapToGrid w:val="0"/>
              <w:jc w:val="center"/>
              <w:rPr>
                <w:kern w:val="0"/>
                <w:szCs w:val="20"/>
              </w:rPr>
            </w:pPr>
            <w:r>
              <w:rPr>
                <w:kern w:val="0"/>
                <w:szCs w:val="20"/>
              </w:rPr>
              <w:t>MYR</w:t>
            </w:r>
          </w:p>
        </w:tc>
        <w:tc>
          <w:tcPr>
            <w:tcW w:w="720" w:type="dxa"/>
            <w:tcBorders>
              <w:top w:val="single" w:color="339966" w:sz="12" w:space="0"/>
              <w:left w:val="single" w:color="339966" w:sz="4" w:space="0"/>
              <w:bottom w:val="single" w:color="339966" w:sz="6" w:space="0"/>
            </w:tcBorders>
            <w:shd w:val="clear" w:color="auto" w:fill="CCFFCC"/>
            <w:vAlign w:val="center"/>
          </w:tcPr>
          <w:p>
            <w:pPr>
              <w:adjustRightInd w:val="0"/>
              <w:snapToGrid w:val="0"/>
              <w:jc w:val="center"/>
              <w:rPr>
                <w:kern w:val="0"/>
                <w:szCs w:val="20"/>
              </w:rPr>
            </w:pPr>
            <w:r>
              <w:rPr>
                <w:kern w:val="0"/>
                <w:szCs w:val="20"/>
              </w:rPr>
              <w:t>RUB</w:t>
            </w:r>
          </w:p>
        </w:tc>
      </w:tr>
      <w:tr>
        <w:tblPrEx>
          <w:tblLayout w:type="fixed"/>
        </w:tblPrEx>
        <w:trPr>
          <w:trHeight w:val="446" w:hRule="atLeast"/>
          <w:jc w:val="center"/>
        </w:trPr>
        <w:tc>
          <w:tcPr>
            <w:tcW w:w="924" w:type="dxa"/>
            <w:tcBorders>
              <w:top w:val="single" w:color="339966" w:sz="6" w:space="0"/>
              <w:left w:val="nil"/>
              <w:bottom w:val="single" w:color="339966" w:sz="6" w:space="0"/>
              <w:right w:val="single" w:color="339966" w:sz="4" w:space="0"/>
            </w:tcBorders>
            <w:tcMar>
              <w:top w:w="15" w:type="dxa"/>
              <w:left w:w="15" w:type="dxa"/>
              <w:bottom w:w="0" w:type="dxa"/>
              <w:right w:w="15" w:type="dxa"/>
            </w:tcMar>
            <w:vAlign w:val="center"/>
          </w:tcPr>
          <w:p>
            <w:pPr>
              <w:adjustRightInd w:val="0"/>
              <w:snapToGrid w:val="0"/>
              <w:jc w:val="center"/>
              <w:rPr>
                <w:kern w:val="0"/>
                <w:szCs w:val="30"/>
              </w:rPr>
            </w:pPr>
            <w:r>
              <w:rPr>
                <w:kern w:val="0"/>
                <w:szCs w:val="20"/>
              </w:rPr>
              <w:t>Trading Volume</w:t>
            </w:r>
          </w:p>
        </w:tc>
        <w:tc>
          <w:tcPr>
            <w:tcW w:w="561"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pPr>
            <w:r>
              <w:t>192,112.52</w:t>
            </w:r>
          </w:p>
        </w:tc>
        <w:tc>
          <w:tcPr>
            <w:tcW w:w="72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pPr>
            <w:r>
              <w:t>2,978.8</w:t>
            </w:r>
          </w:p>
        </w:tc>
        <w:tc>
          <w:tcPr>
            <w:tcW w:w="90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pPr>
            <w:r>
              <w:t>1,727.73</w:t>
            </w:r>
          </w:p>
        </w:tc>
        <w:tc>
          <w:tcPr>
            <w:tcW w:w="72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pPr>
            <w:r>
              <w:t>1,078.06</w:t>
            </w:r>
          </w:p>
        </w:tc>
        <w:tc>
          <w:tcPr>
            <w:tcW w:w="72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pPr>
            <w:r>
              <w:t>250.36</w:t>
            </w:r>
          </w:p>
        </w:tc>
        <w:tc>
          <w:tcPr>
            <w:tcW w:w="72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pPr>
            <w:r>
              <w:t>513.37</w:t>
            </w:r>
          </w:p>
        </w:tc>
        <w:tc>
          <w:tcPr>
            <w:tcW w:w="720" w:type="dxa"/>
            <w:tcBorders>
              <w:top w:val="single" w:color="339966" w:sz="6" w:space="0"/>
              <w:left w:val="single" w:color="339966" w:sz="4" w:space="0"/>
              <w:bottom w:val="single" w:color="339966" w:sz="6" w:space="0"/>
              <w:right w:val="single" w:color="339966" w:sz="4" w:space="0"/>
            </w:tcBorders>
            <w:tcMar>
              <w:top w:w="15" w:type="dxa"/>
              <w:left w:w="15" w:type="dxa"/>
              <w:bottom w:w="0" w:type="dxa"/>
              <w:right w:w="15" w:type="dxa"/>
            </w:tcMar>
            <w:vAlign w:val="center"/>
          </w:tcPr>
          <w:p>
            <w:pPr>
              <w:jc w:val="center"/>
            </w:pPr>
            <w:r>
              <w:t>105.95</w:t>
            </w:r>
          </w:p>
        </w:tc>
        <w:tc>
          <w:tcPr>
            <w:tcW w:w="678" w:type="dxa"/>
            <w:tcBorders>
              <w:top w:val="single" w:color="339966" w:sz="6" w:space="0"/>
              <w:left w:val="single" w:color="339966" w:sz="4" w:space="0"/>
              <w:bottom w:val="single" w:color="339966" w:sz="6" w:space="0"/>
              <w:right w:val="single" w:color="339966" w:sz="4" w:space="0"/>
            </w:tcBorders>
            <w:vAlign w:val="center"/>
          </w:tcPr>
          <w:p>
            <w:pPr>
              <w:jc w:val="center"/>
            </w:pPr>
            <w:r>
              <w:t>94.17</w:t>
            </w:r>
          </w:p>
        </w:tc>
        <w:tc>
          <w:tcPr>
            <w:tcW w:w="762" w:type="dxa"/>
            <w:tcBorders>
              <w:top w:val="single" w:color="339966" w:sz="6" w:space="0"/>
              <w:left w:val="single" w:color="339966" w:sz="4" w:space="0"/>
              <w:bottom w:val="single" w:color="339966" w:sz="6" w:space="0"/>
              <w:right w:val="single" w:color="339966" w:sz="4" w:space="0"/>
            </w:tcBorders>
            <w:vAlign w:val="center"/>
          </w:tcPr>
          <w:p>
            <w:pPr>
              <w:jc w:val="center"/>
              <w:rPr>
                <w:color w:val="000000"/>
              </w:rPr>
            </w:pPr>
            <w:r>
              <w:rPr>
                <w:color w:val="000000"/>
              </w:rPr>
              <w:t>75.81</w:t>
            </w:r>
          </w:p>
        </w:tc>
        <w:tc>
          <w:tcPr>
            <w:tcW w:w="720" w:type="dxa"/>
            <w:tcBorders>
              <w:top w:val="single" w:color="339966" w:sz="6" w:space="0"/>
              <w:left w:val="single" w:color="339966" w:sz="4" w:space="0"/>
              <w:bottom w:val="single" w:color="339966" w:sz="6" w:space="0"/>
              <w:right w:val="single" w:color="339966" w:sz="4" w:space="0"/>
            </w:tcBorders>
            <w:vAlign w:val="center"/>
          </w:tcPr>
          <w:p>
            <w:pPr>
              <w:jc w:val="center"/>
              <w:rPr>
                <w:color w:val="000000"/>
              </w:rPr>
            </w:pPr>
            <w:r>
              <w:rPr>
                <w:color w:val="000000"/>
              </w:rPr>
              <w:t>320.10</w:t>
            </w:r>
          </w:p>
        </w:tc>
        <w:tc>
          <w:tcPr>
            <w:tcW w:w="720" w:type="dxa"/>
            <w:tcBorders>
              <w:top w:val="single" w:color="339966" w:sz="6" w:space="0"/>
              <w:left w:val="single" w:color="339966" w:sz="4" w:space="0"/>
              <w:bottom w:val="single" w:color="339966" w:sz="6" w:space="0"/>
              <w:right w:val="single" w:color="339966" w:sz="4" w:space="0"/>
            </w:tcBorders>
            <w:vAlign w:val="center"/>
          </w:tcPr>
          <w:p>
            <w:pPr>
              <w:jc w:val="center"/>
            </w:pPr>
            <w:r>
              <w:t>20.24</w:t>
            </w:r>
          </w:p>
        </w:tc>
        <w:tc>
          <w:tcPr>
            <w:tcW w:w="720" w:type="dxa"/>
            <w:tcBorders>
              <w:top w:val="single" w:color="339966" w:sz="6" w:space="0"/>
              <w:left w:val="single" w:color="339966" w:sz="4" w:space="0"/>
              <w:bottom w:val="single" w:color="339966" w:sz="6" w:space="0"/>
            </w:tcBorders>
            <w:vAlign w:val="center"/>
          </w:tcPr>
          <w:p>
            <w:pPr>
              <w:jc w:val="center"/>
            </w:pPr>
            <w:r>
              <w:t>54.17</w:t>
            </w:r>
          </w:p>
        </w:tc>
      </w:tr>
      <w:tr>
        <w:tblPrEx>
          <w:tblLayout w:type="fixed"/>
          <w:tblCellMar>
            <w:top w:w="0" w:type="dxa"/>
            <w:left w:w="0" w:type="dxa"/>
            <w:bottom w:w="0" w:type="dxa"/>
            <w:right w:w="0" w:type="dxa"/>
          </w:tblCellMar>
        </w:tblPrEx>
        <w:trPr>
          <w:trHeight w:val="446" w:hRule="atLeast"/>
          <w:jc w:val="center"/>
        </w:trPr>
        <w:tc>
          <w:tcPr>
            <w:tcW w:w="924" w:type="dxa"/>
            <w:tcBorders>
              <w:top w:val="single" w:color="339966" w:sz="6" w:space="0"/>
              <w:left w:val="nil"/>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Currency</w:t>
            </w:r>
          </w:p>
        </w:tc>
        <w:tc>
          <w:tcPr>
            <w:tcW w:w="561" w:type="dxa"/>
            <w:tcBorders>
              <w:top w:val="single" w:color="339966" w:sz="6"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ZAR</w:t>
            </w:r>
          </w:p>
        </w:tc>
        <w:tc>
          <w:tcPr>
            <w:tcW w:w="720" w:type="dxa"/>
            <w:tcBorders>
              <w:top w:val="single" w:color="339966" w:sz="6"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KRW</w:t>
            </w:r>
          </w:p>
        </w:tc>
        <w:tc>
          <w:tcPr>
            <w:tcW w:w="900" w:type="dxa"/>
            <w:tcBorders>
              <w:top w:val="single" w:color="339966" w:sz="6"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AED</w:t>
            </w:r>
          </w:p>
        </w:tc>
        <w:tc>
          <w:tcPr>
            <w:tcW w:w="720" w:type="dxa"/>
            <w:tcBorders>
              <w:top w:val="single" w:color="339966" w:sz="6"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SAR</w:t>
            </w:r>
          </w:p>
        </w:tc>
        <w:tc>
          <w:tcPr>
            <w:tcW w:w="720" w:type="dxa"/>
            <w:tcBorders>
              <w:top w:val="single" w:color="339966" w:sz="6"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HUF</w:t>
            </w:r>
          </w:p>
        </w:tc>
        <w:tc>
          <w:tcPr>
            <w:tcW w:w="720" w:type="dxa"/>
            <w:tcBorders>
              <w:top w:val="single" w:color="339966" w:sz="6"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PLN</w:t>
            </w:r>
          </w:p>
        </w:tc>
        <w:tc>
          <w:tcPr>
            <w:tcW w:w="720" w:type="dxa"/>
            <w:tcBorders>
              <w:top w:val="single" w:color="339966" w:sz="6" w:space="0"/>
              <w:left w:val="single" w:color="339966" w:sz="4" w:space="0"/>
              <w:bottom w:val="single" w:color="339966" w:sz="4" w:space="0"/>
              <w:right w:val="single" w:color="339966" w:sz="4" w:space="0"/>
            </w:tcBorders>
            <w:shd w:val="clear" w:color="auto" w:fill="CCFFCC"/>
            <w:tcMar>
              <w:top w:w="15" w:type="dxa"/>
              <w:left w:w="15" w:type="dxa"/>
              <w:bottom w:w="0" w:type="dxa"/>
              <w:right w:w="15" w:type="dxa"/>
            </w:tcMar>
            <w:vAlign w:val="center"/>
          </w:tcPr>
          <w:p>
            <w:pPr>
              <w:adjustRightInd w:val="0"/>
              <w:snapToGrid w:val="0"/>
              <w:jc w:val="center"/>
              <w:rPr>
                <w:kern w:val="0"/>
                <w:szCs w:val="20"/>
              </w:rPr>
            </w:pPr>
            <w:r>
              <w:rPr>
                <w:kern w:val="0"/>
                <w:szCs w:val="20"/>
              </w:rPr>
              <w:t>DKK</w:t>
            </w:r>
          </w:p>
        </w:tc>
        <w:tc>
          <w:tcPr>
            <w:tcW w:w="678" w:type="dxa"/>
            <w:tcBorders>
              <w:top w:val="single" w:color="339966" w:sz="6" w:space="0"/>
              <w:left w:val="single" w:color="339966" w:sz="4" w:space="0"/>
              <w:bottom w:val="single" w:color="339966" w:sz="4" w:space="0"/>
              <w:right w:val="single" w:color="339966" w:sz="4" w:space="0"/>
            </w:tcBorders>
            <w:shd w:val="clear" w:color="auto" w:fill="CCFFCC"/>
            <w:vAlign w:val="center"/>
          </w:tcPr>
          <w:p>
            <w:pPr>
              <w:adjustRightInd w:val="0"/>
              <w:snapToGrid w:val="0"/>
              <w:jc w:val="center"/>
              <w:rPr>
                <w:kern w:val="0"/>
                <w:szCs w:val="20"/>
              </w:rPr>
            </w:pPr>
            <w:r>
              <w:rPr>
                <w:kern w:val="0"/>
                <w:szCs w:val="20"/>
              </w:rPr>
              <w:t>SEK</w:t>
            </w:r>
          </w:p>
        </w:tc>
        <w:tc>
          <w:tcPr>
            <w:tcW w:w="762" w:type="dxa"/>
            <w:tcBorders>
              <w:top w:val="single" w:color="339966" w:sz="6" w:space="0"/>
              <w:left w:val="single" w:color="339966" w:sz="4" w:space="0"/>
              <w:bottom w:val="single" w:color="339966" w:sz="4" w:space="0"/>
              <w:right w:val="single" w:color="339966" w:sz="4" w:space="0"/>
            </w:tcBorders>
            <w:shd w:val="clear" w:color="auto" w:fill="CCFFCC"/>
            <w:vAlign w:val="center"/>
          </w:tcPr>
          <w:p>
            <w:pPr>
              <w:adjustRightInd w:val="0"/>
              <w:snapToGrid w:val="0"/>
              <w:jc w:val="center"/>
              <w:rPr>
                <w:kern w:val="0"/>
                <w:szCs w:val="20"/>
              </w:rPr>
            </w:pPr>
            <w:r>
              <w:rPr>
                <w:kern w:val="0"/>
                <w:szCs w:val="20"/>
              </w:rPr>
              <w:t>NOK</w:t>
            </w:r>
          </w:p>
        </w:tc>
        <w:tc>
          <w:tcPr>
            <w:tcW w:w="720" w:type="dxa"/>
            <w:tcBorders>
              <w:top w:val="single" w:color="339966" w:sz="6" w:space="0"/>
              <w:left w:val="single" w:color="339966" w:sz="4" w:space="0"/>
              <w:bottom w:val="single" w:color="339966" w:sz="4" w:space="0"/>
              <w:right w:val="single" w:color="339966" w:sz="4" w:space="0"/>
            </w:tcBorders>
            <w:shd w:val="clear" w:color="auto" w:fill="CCFFCC"/>
            <w:vAlign w:val="center"/>
          </w:tcPr>
          <w:p>
            <w:pPr>
              <w:adjustRightInd w:val="0"/>
              <w:snapToGrid w:val="0"/>
              <w:jc w:val="center"/>
              <w:rPr>
                <w:kern w:val="0"/>
                <w:szCs w:val="20"/>
              </w:rPr>
            </w:pPr>
            <w:r>
              <w:rPr>
                <w:kern w:val="0"/>
                <w:szCs w:val="20"/>
              </w:rPr>
              <w:t>TRY</w:t>
            </w:r>
          </w:p>
        </w:tc>
        <w:tc>
          <w:tcPr>
            <w:tcW w:w="720" w:type="dxa"/>
            <w:tcBorders>
              <w:top w:val="single" w:color="339966" w:sz="6" w:space="0"/>
              <w:left w:val="single" w:color="339966" w:sz="4" w:space="0"/>
              <w:bottom w:val="single" w:color="339966" w:sz="4" w:space="0"/>
              <w:right w:val="single" w:color="339966" w:sz="4" w:space="0"/>
            </w:tcBorders>
            <w:shd w:val="clear" w:color="auto" w:fill="CCFFCC"/>
            <w:vAlign w:val="center"/>
          </w:tcPr>
          <w:p>
            <w:pPr>
              <w:adjustRightInd w:val="0"/>
              <w:snapToGrid w:val="0"/>
              <w:jc w:val="center"/>
              <w:rPr>
                <w:kern w:val="0"/>
                <w:szCs w:val="20"/>
              </w:rPr>
            </w:pPr>
            <w:r>
              <w:rPr>
                <w:kern w:val="0"/>
                <w:szCs w:val="20"/>
              </w:rPr>
              <w:t>MXN</w:t>
            </w:r>
          </w:p>
        </w:tc>
        <w:tc>
          <w:tcPr>
            <w:tcW w:w="720" w:type="dxa"/>
            <w:tcBorders>
              <w:top w:val="single" w:color="339966" w:sz="6" w:space="0"/>
              <w:left w:val="single" w:color="339966" w:sz="4" w:space="0"/>
              <w:bottom w:val="single" w:color="339966" w:sz="4" w:space="0"/>
            </w:tcBorders>
            <w:shd w:val="clear" w:color="auto" w:fill="CCFFCC"/>
            <w:vAlign w:val="center"/>
          </w:tcPr>
          <w:p>
            <w:pPr>
              <w:adjustRightInd w:val="0"/>
              <w:snapToGrid w:val="0"/>
              <w:jc w:val="center"/>
              <w:rPr>
                <w:rFonts w:eastAsia="仿宋_GB2312"/>
                <w:color w:val="000000"/>
                <w:kern w:val="0"/>
                <w:sz w:val="18"/>
                <w:szCs w:val="18"/>
              </w:rPr>
            </w:pPr>
          </w:p>
        </w:tc>
      </w:tr>
      <w:tr>
        <w:tblPrEx>
          <w:tblLayout w:type="fixed"/>
          <w:tblCellMar>
            <w:top w:w="0" w:type="dxa"/>
            <w:left w:w="0" w:type="dxa"/>
            <w:bottom w:w="0" w:type="dxa"/>
            <w:right w:w="0" w:type="dxa"/>
          </w:tblCellMar>
        </w:tblPrEx>
        <w:trPr>
          <w:trHeight w:val="446" w:hRule="atLeast"/>
          <w:jc w:val="center"/>
        </w:trPr>
        <w:tc>
          <w:tcPr>
            <w:tcW w:w="924" w:type="dxa"/>
            <w:tcBorders>
              <w:top w:val="single" w:color="339966" w:sz="4" w:space="0"/>
              <w:left w:val="nil"/>
              <w:bottom w:val="single" w:color="339966" w:sz="12" w:space="0"/>
              <w:right w:val="single" w:color="339966" w:sz="4" w:space="0"/>
            </w:tcBorders>
            <w:tcMar>
              <w:top w:w="15" w:type="dxa"/>
              <w:left w:w="15" w:type="dxa"/>
              <w:bottom w:w="0" w:type="dxa"/>
              <w:right w:w="15" w:type="dxa"/>
            </w:tcMar>
            <w:vAlign w:val="center"/>
          </w:tcPr>
          <w:p>
            <w:pPr>
              <w:adjustRightInd w:val="0"/>
              <w:snapToGrid w:val="0"/>
              <w:jc w:val="center"/>
              <w:rPr>
                <w:kern w:val="0"/>
                <w:szCs w:val="30"/>
              </w:rPr>
            </w:pPr>
            <w:r>
              <w:rPr>
                <w:kern w:val="0"/>
                <w:szCs w:val="20"/>
              </w:rPr>
              <w:t>Trading Volume</w:t>
            </w:r>
          </w:p>
        </w:tc>
        <w:tc>
          <w:tcPr>
            <w:tcW w:w="561" w:type="dxa"/>
            <w:tcBorders>
              <w:top w:val="single" w:color="339966" w:sz="4"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pPr>
            <w:r>
              <w:t>1.42</w:t>
            </w:r>
          </w:p>
        </w:tc>
        <w:tc>
          <w:tcPr>
            <w:tcW w:w="720" w:type="dxa"/>
            <w:tcBorders>
              <w:top w:val="single" w:color="339966" w:sz="4"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pPr>
            <w:r>
              <w:t>184.67</w:t>
            </w:r>
          </w:p>
        </w:tc>
        <w:tc>
          <w:tcPr>
            <w:tcW w:w="900" w:type="dxa"/>
            <w:tcBorders>
              <w:top w:val="single" w:color="339966" w:sz="4"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pPr>
            <w:r>
              <w:t>0.60</w:t>
            </w:r>
          </w:p>
        </w:tc>
        <w:tc>
          <w:tcPr>
            <w:tcW w:w="720" w:type="dxa"/>
            <w:tcBorders>
              <w:top w:val="single" w:color="339966" w:sz="4"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pPr>
            <w:r>
              <w:t>5.82</w:t>
            </w:r>
          </w:p>
        </w:tc>
        <w:tc>
          <w:tcPr>
            <w:tcW w:w="720" w:type="dxa"/>
            <w:tcBorders>
              <w:top w:val="single" w:color="339966" w:sz="4"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pPr>
            <w:r>
              <w:t>0.00</w:t>
            </w:r>
          </w:p>
        </w:tc>
        <w:tc>
          <w:tcPr>
            <w:tcW w:w="720" w:type="dxa"/>
            <w:tcBorders>
              <w:top w:val="single" w:color="339966" w:sz="4"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pPr>
            <w:r>
              <w:t>0.03</w:t>
            </w:r>
          </w:p>
        </w:tc>
        <w:tc>
          <w:tcPr>
            <w:tcW w:w="720" w:type="dxa"/>
            <w:tcBorders>
              <w:top w:val="single" w:color="339966" w:sz="4" w:space="0"/>
              <w:left w:val="single" w:color="339966" w:sz="4" w:space="0"/>
              <w:bottom w:val="single" w:color="339966" w:sz="12" w:space="0"/>
              <w:right w:val="single" w:color="339966" w:sz="4" w:space="0"/>
            </w:tcBorders>
            <w:tcMar>
              <w:top w:w="15" w:type="dxa"/>
              <w:left w:w="15" w:type="dxa"/>
              <w:bottom w:w="0" w:type="dxa"/>
              <w:right w:w="15" w:type="dxa"/>
            </w:tcMar>
            <w:vAlign w:val="center"/>
          </w:tcPr>
          <w:p>
            <w:pPr>
              <w:jc w:val="center"/>
            </w:pPr>
            <w:r>
              <w:t>10.57</w:t>
            </w:r>
          </w:p>
        </w:tc>
        <w:tc>
          <w:tcPr>
            <w:tcW w:w="678" w:type="dxa"/>
            <w:tcBorders>
              <w:top w:val="single" w:color="339966" w:sz="4" w:space="0"/>
              <w:left w:val="single" w:color="339966" w:sz="4" w:space="0"/>
              <w:bottom w:val="single" w:color="339966" w:sz="12" w:space="0"/>
              <w:right w:val="single" w:color="339966" w:sz="4" w:space="0"/>
            </w:tcBorders>
            <w:vAlign w:val="center"/>
          </w:tcPr>
          <w:p>
            <w:pPr>
              <w:jc w:val="center"/>
            </w:pPr>
            <w:r>
              <w:t>12.78</w:t>
            </w:r>
          </w:p>
        </w:tc>
        <w:tc>
          <w:tcPr>
            <w:tcW w:w="762" w:type="dxa"/>
            <w:tcBorders>
              <w:top w:val="single" w:color="339966" w:sz="4" w:space="0"/>
              <w:left w:val="single" w:color="339966" w:sz="4" w:space="0"/>
              <w:bottom w:val="single" w:color="339966" w:sz="12" w:space="0"/>
              <w:right w:val="single" w:color="339966" w:sz="4" w:space="0"/>
            </w:tcBorders>
            <w:vAlign w:val="center"/>
          </w:tcPr>
          <w:p>
            <w:pPr>
              <w:jc w:val="center"/>
              <w:rPr>
                <w:color w:val="000000"/>
              </w:rPr>
            </w:pPr>
            <w:r>
              <w:rPr>
                <w:color w:val="000000"/>
              </w:rPr>
              <w:t>2.70</w:t>
            </w:r>
          </w:p>
        </w:tc>
        <w:tc>
          <w:tcPr>
            <w:tcW w:w="720" w:type="dxa"/>
            <w:tcBorders>
              <w:top w:val="single" w:color="339966" w:sz="4" w:space="0"/>
              <w:left w:val="single" w:color="339966" w:sz="4" w:space="0"/>
              <w:bottom w:val="single" w:color="339966" w:sz="12" w:space="0"/>
              <w:right w:val="single" w:color="339966" w:sz="4" w:space="0"/>
            </w:tcBorders>
            <w:vAlign w:val="center"/>
          </w:tcPr>
          <w:p>
            <w:pPr>
              <w:jc w:val="center"/>
              <w:rPr>
                <w:color w:val="000000"/>
              </w:rPr>
            </w:pPr>
            <w:r>
              <w:rPr>
                <w:color w:val="000000"/>
              </w:rPr>
              <w:t>0.00</w:t>
            </w:r>
          </w:p>
        </w:tc>
        <w:tc>
          <w:tcPr>
            <w:tcW w:w="720" w:type="dxa"/>
            <w:tcBorders>
              <w:top w:val="single" w:color="339966" w:sz="4" w:space="0"/>
              <w:left w:val="single" w:color="339966" w:sz="4" w:space="0"/>
              <w:bottom w:val="single" w:color="339966" w:sz="12" w:space="0"/>
              <w:right w:val="single" w:color="339966" w:sz="4" w:space="0"/>
            </w:tcBorders>
            <w:vAlign w:val="center"/>
          </w:tcPr>
          <w:p>
            <w:pPr>
              <w:jc w:val="center"/>
            </w:pPr>
            <w:r>
              <w:t>0.01</w:t>
            </w:r>
          </w:p>
        </w:tc>
        <w:tc>
          <w:tcPr>
            <w:tcW w:w="720" w:type="dxa"/>
            <w:tcBorders>
              <w:top w:val="single" w:color="339966" w:sz="4" w:space="0"/>
              <w:left w:val="single" w:color="339966" w:sz="4" w:space="0"/>
              <w:bottom w:val="single" w:color="339966" w:sz="12" w:space="0"/>
            </w:tcBorders>
            <w:vAlign w:val="center"/>
          </w:tcPr>
          <w:p>
            <w:pPr>
              <w:jc w:val="center"/>
              <w:rPr>
                <w:rFonts w:eastAsia="仿宋_GB2312"/>
                <w:color w:val="000000"/>
                <w:kern w:val="0"/>
                <w:sz w:val="18"/>
                <w:szCs w:val="18"/>
              </w:rPr>
            </w:pPr>
            <w:r>
              <w:t xml:space="preserve"> </w:t>
            </w:r>
          </w:p>
        </w:tc>
      </w:tr>
    </w:tbl>
    <w:p>
      <w:pPr>
        <w:rPr>
          <w:sz w:val="24"/>
        </w:rPr>
      </w:pPr>
      <w:r>
        <w:rPr>
          <w:sz w:val="24"/>
        </w:rPr>
        <w:t>Source: China Foreign Exchange Trade System</w:t>
      </w:r>
    </w:p>
    <w:p>
      <w:pPr>
        <w:rPr>
          <w:sz w:val="24"/>
        </w:rPr>
      </w:pPr>
    </w:p>
    <w:p>
      <w:pPr>
        <w:keepNext/>
        <w:shd w:val="clear" w:color="auto" w:fill="CCFFCC"/>
        <w:jc w:val="center"/>
        <w:rPr>
          <w:b/>
          <w:color w:val="000000" w:themeColor="text1"/>
          <w:sz w:val="24"/>
        </w:rPr>
      </w:pPr>
      <w:bookmarkStart w:id="85" w:name="_Toc492909021"/>
      <w:r>
        <w:rPr>
          <w:b/>
          <w:sz w:val="24"/>
        </w:rPr>
        <w:t xml:space="preserve">Box </w:t>
      </w:r>
      <w:r>
        <w:rPr>
          <w:b/>
          <w:sz w:val="24"/>
        </w:rPr>
        <w:fldChar w:fldCharType="begin"/>
      </w:r>
      <w:r>
        <w:rPr>
          <w:b/>
          <w:sz w:val="24"/>
        </w:rPr>
        <w:instrText xml:space="preserve"> SEQ Box \* ARABIC </w:instrText>
      </w:r>
      <w:r>
        <w:rPr>
          <w:b/>
          <w:sz w:val="24"/>
        </w:rPr>
        <w:fldChar w:fldCharType="separate"/>
      </w:r>
      <w:r>
        <w:rPr>
          <w:b/>
          <w:sz w:val="24"/>
        </w:rPr>
        <w:t>2</w:t>
      </w:r>
      <w:r>
        <w:rPr>
          <w:b/>
          <w:sz w:val="24"/>
        </w:rPr>
        <w:fldChar w:fldCharType="end"/>
      </w:r>
      <w:r>
        <w:rPr>
          <w:b/>
          <w:color w:val="000000" w:themeColor="text1"/>
          <w:sz w:val="24"/>
        </w:rPr>
        <w:t xml:space="preserve"> The "Counter-Cyclical Factor" Introduced into the RMB Exchange-Rate Regime by the Foreign Exchange Self-Disciplinary Mechanism</w:t>
      </w:r>
      <w:bookmarkEnd w:id="85"/>
    </w:p>
    <w:p>
      <w:pPr>
        <w:keepNext/>
        <w:shd w:val="clear" w:color="auto" w:fill="CCFFCC"/>
        <w:jc w:val="center"/>
        <w:rPr>
          <w:b/>
          <w:color w:val="000000" w:themeColor="text1"/>
          <w:sz w:val="24"/>
        </w:rPr>
      </w:pPr>
    </w:p>
    <w:p>
      <w:pPr>
        <w:shd w:val="clear" w:color="auto" w:fill="CCFFCC"/>
        <w:rPr>
          <w:rFonts w:eastAsia="楷体_GB2312"/>
          <w:color w:val="000000"/>
          <w:sz w:val="24"/>
        </w:rPr>
      </w:pPr>
      <w:r>
        <w:rPr>
          <w:rFonts w:eastAsia="楷体_GB2312"/>
          <w:color w:val="000000"/>
          <w:sz w:val="24"/>
        </w:rPr>
        <w:t>As the market-oriented reform of the RMB exchange rate has been advancing steadily, the central parity of the RMB exchange-rate formation mechanism has improved. On August 11, 2015, the PBC led central parity quoting banks to further improve the formation mechanism of the RMB against the US dollar, indicating that the central parity quoting price shall be decided with reference to the closing price on the previous trading day. On December 11, 2015, the China Foreign Exchange Trade System launched the RMB exchange-rate index, which strengthened the reference to a currency basket to better maintain the stability of the RMB exchange rate against the currencies in the basket. As a result, the CNY/USD central parity formation mechanism of "closing rate + exchange-rate movements of a basket of currencies" was developed. In June 2016, the Foreign Exchange Self-Disciplinary Mechanism was established, allowing financial institutions to play a more important role in maintaining orderly operations in the foreign-exchange market and in an environment for fair competition. The Exchange Rate Working Group was asked to mainly regulate the RMB exchange-rate central parity quoting activities. In February 2017, the Foreign Exchange Self-Disciplinary Mechanism adjusted the reference period for the central parity against the currency basket from 24 hours ahead of submitting the quotes to 15 hours between the closing on the previous trading day and the submission of the quotes, which avoided repeated references to the daily movements of the USD exchange rate in the central parity of the following day. In general, the RMB exchange-rate central parity formation mechanism has been improving, which has effectively improved the rule-based, transparent, and market-oriented nature of RMB exchange-rate policies and has played an active role in stabilizing exchange-rate expectations.</w:t>
      </w:r>
    </w:p>
    <w:p>
      <w:pPr>
        <w:shd w:val="clear" w:color="auto" w:fill="CCFFCC"/>
        <w:rPr>
          <w:rFonts w:eastAsia="楷体_GB2312"/>
          <w:color w:val="000000"/>
          <w:sz w:val="24"/>
        </w:rPr>
      </w:pPr>
    </w:p>
    <w:p>
      <w:pPr>
        <w:shd w:val="clear" w:color="auto" w:fill="CCFFCC"/>
        <w:rPr>
          <w:rFonts w:eastAsia="楷体_GB2312"/>
          <w:color w:val="000000"/>
          <w:sz w:val="24"/>
        </w:rPr>
      </w:pPr>
      <w:r>
        <w:rPr>
          <w:rFonts w:eastAsia="楷体_GB2312"/>
          <w:color w:val="000000"/>
          <w:sz w:val="24"/>
        </w:rPr>
        <w:t>Since 2017, stabilization of the Chinese economy has been strengthened, with major indicators indicating better-performing trends and an obvious acceleration in the growth rate of exports.  At the same time, the US dollar has been weakening, with other major currencies significantly appreciating against the US dollar. From January to May of this year, the euro, the Japanese yen, the British pound, and the Australian dollar appreciated against the US dollar by 6.91 percent, 5.58 percent, 4.46 percent, and 3.08 percent respectively, and some emerging market currencies also appreciated against the US dollar, for example the Russian ruble, the Indian rupee, the Mexican peso, and the South African rand appreciated against the US dollar by 8.31 percent, 5.29 percent, 11.32 percent, and 4.74 percent respectively. During the same period, the Chinese RMB appreciated only 1.07 percent against the US dollar, which does not reflect economic fundamentals and changes in the international foreign-exchange market. One of the important reasons for this is that to some extent there is a pro-cyclicality in the foreign-exchange market, and market participants are easily affected by irrational expectations and they overlook the supporting effects of the economic fundamentals for a better exchange rate. As a result, a one-sided market may be amplified and self-reinforced, thus exacerbating the risk of overshooting market exchange rates. To address this issue, the "Exchange Rate Working Group," led by the ICBC under the Foreign Exchange Self-Disciplinary Mechanism, suggested adjusting the RMB central parity formation mechanism of "closing rate + exchange-rate movements of a basket of currencies" to "closing rate + exchange-rate movements of a basket of currencies + the counter-cyclical factor.” This suggestion was agreed upon by core members of the Foreign Exchange Self-Disciplinary Mechanism and implementation was officially announced by its Secretariat. To calculate the counter-cyclical factor, one begins by removing the impact of the currency basket from the movement between the previous closing rates and the central parity, after which the exchange-rate movements mainly reflect market supply and demand. The counter-cyclical factor can be found by adjusting the counter-cyclical coefficient, which is set by the quoting banks based on changes in the economic fundamentals and the extent of pro-cyclicality in the foreign-exchange market.</w:t>
      </w:r>
    </w:p>
    <w:p>
      <w:pPr>
        <w:shd w:val="clear" w:color="auto" w:fill="CCFFCC"/>
        <w:rPr>
          <w:rFonts w:eastAsia="楷体_GB2312"/>
          <w:color w:val="000000"/>
          <w:sz w:val="24"/>
        </w:rPr>
      </w:pPr>
    </w:p>
    <w:p>
      <w:pPr>
        <w:shd w:val="clear" w:color="auto" w:fill="CCFFCC"/>
        <w:rPr>
          <w:rFonts w:eastAsia="楷体_GB2312"/>
          <w:color w:val="000000"/>
          <w:sz w:val="24"/>
        </w:rPr>
      </w:pPr>
      <w:r>
        <w:rPr>
          <w:rFonts w:eastAsia="楷体_GB2312"/>
          <w:color w:val="000000"/>
          <w:sz w:val="24"/>
        </w:rPr>
        <w:t xml:space="preserve">The introduction of the counter-cyclical factor into the central parity formation mechanism has further improved the market-based RMB exchange-rate formation mechanism. First, it helps the central parity better reflect the fundamentals of the macro economy. As described above, there has been a significant discrepancy between the movement of the CNY/USD exchange rate and the economic fundamentals and the international foreign- exchange market. This might imply that under one-sided market expectations, the simple mechanism of "closing rate + exchange-rate movements of a basket of currencies" might cause the central parity to reflect changes in line with the expectations, but few if any changes against the expectations. The introduction of the counter-cyclical factor is helpful to correct this asymmetry. Many market participants also believe that the introduction of the counter-cyclical factor is a very good mathematical way to solve the issue of asymmetric depreciation. Second, it may help offset pro-cyclical volatilities in the foreign-exchange market so that the central parity better reflects reasonable changes in market supply and demand. The exchange rate, as the price of the local currency and the foreign currency, features both goods and assets. The nature of assets means that movements in the exchange rate might trigger investors to buy on the upswing and to sell on the downswing, thus bringing pro-cyclical volatilities to the foreign-exchange market. As a result, a reasonable market supply and demand that is in line with the fundamentals might be distorted and the gap between supply and demand might be amplified. The introduction of the counter-cyclical factor into the central parity formation mechanism can restore market supply and demand to a level that is in line with the economic fundamentals so that market supply and demand can play a more decisive role in the exchange-rate formation and prevent one-sided overshooting of the RMB exchange rate. In fact, the introduction of the counter-cyclical factor will not change the trend or direction in the supply and demand of foreign exchange. A screening of the herding effect on the foreign-exchange market is not against market forces, but rather it is aimed to facilitate the rationality of market activities while respecting the market. Since the irrational factor in foreign-exchange demand and supply has been properly offset, after the introduction of the counter-cyclical factor the central parity formation mechanism has increased the weight of the reference to the currency basket, which may help maintain the stability of the RMB exchange rate against the currency basket and prevent a divergence of expectations. Of course, the increased weight of the reference to the currency basket is not pegged to the basket, and market demand and supply still play a decisive role in exchange-rate movements. Third, the improved central parity formation mechanism has maintained its rule-based nature and a high level of transparency. The rule-based nature and transparency of the benchmark price formation mechanism are decided by the clarity of its rules and its mechanism as well as by the feasibility of verification of the rules and mechanism by the quoting institutions. The adjustment to introduce the counter-cyclical factor into the central parity formation mechanism was proposed by a member of the Foreign Exchange Working Group under the Foreign Exchange Self-Disciplinary Mechanism and implementation was agreed upon after extensive discussions among all fourteen members of the RMB exchange-rate central parity against the US dollar quoting banks. Each member bank provided their quotes based on a thorough understanding of the new mechanism, and they also verified the released central parity based on their own quotes and data from the public. In addition, all the data used for the calculation of the counter-cyclical factor come from public information or from internal data of their own discretion, without interference from third parties. </w:t>
      </w:r>
      <w:r>
        <w:rPr>
          <w:rFonts w:eastAsia="楷体_GB2312"/>
          <w:color w:val="000000"/>
          <w:sz w:val="24"/>
        </w:rPr>
        <w:t>In general, after the introduction of the counter-cyclical factor, the rule-based nature, transparency, and market orientation were further improved.</w:t>
      </w:r>
    </w:p>
    <w:p>
      <w:pPr>
        <w:shd w:val="clear" w:color="auto" w:fill="CCFFCC"/>
        <w:rPr>
          <w:rFonts w:eastAsia="楷体_GB2312"/>
          <w:color w:val="000000"/>
          <w:sz w:val="24"/>
        </w:rPr>
      </w:pPr>
    </w:p>
    <w:p>
      <w:pPr>
        <w:shd w:val="clear" w:color="auto" w:fill="CCFFCC"/>
        <w:rPr>
          <w:rFonts w:eastAsia="楷体_GB2312"/>
          <w:color w:val="000000"/>
          <w:sz w:val="24"/>
        </w:rPr>
      </w:pPr>
      <w:r>
        <w:rPr>
          <w:rFonts w:eastAsia="楷体_GB2312"/>
          <w:color w:val="000000"/>
          <w:sz w:val="24"/>
        </w:rPr>
        <w:t>From the perspective of actual operations, the new mechanism has effectively contained the herding effect in the foreign-exchange market, enhanced the role of China's macro-economic fundamentals in the formation of the RMB exchange rate, and maintained the basic stabilization of the RMB exchange rate at a reasonable and equilibrium level. On June 30, 2017, the central parity of the RMB exchange rate against the USD was RMB 6.7744 per US dollar, appreciating 2.4 percent from the end of the last year, and the market exchange rate closed at RMB 6.7796 per US dollar, appreciating by 2.51 percent from the end of the last year.</w:t>
      </w:r>
    </w:p>
    <w:p>
      <w:pPr>
        <w:rPr>
          <w:lang w:eastAsia="zh-TW"/>
        </w:rPr>
      </w:pPr>
    </w:p>
    <w:p>
      <w:pPr>
        <w:pStyle w:val="3"/>
        <w:numPr>
          <w:ilvl w:val="0"/>
          <w:numId w:val="0"/>
        </w:numPr>
        <w:jc w:val="both"/>
        <w:rPr>
          <w:rFonts w:cs="Times New Roman"/>
          <w:color w:val="000000"/>
        </w:rPr>
      </w:pPr>
      <w:bookmarkStart w:id="86" w:name="_Toc476916144"/>
      <w:bookmarkStart w:id="87" w:name="_Toc472330073"/>
      <w:bookmarkStart w:id="88" w:name="_Toc492904381"/>
      <w:bookmarkStart w:id="89" w:name="_Toc484425027"/>
      <w:r>
        <w:rPr>
          <w:rFonts w:cs="Times New Roman"/>
          <w:color w:val="000000"/>
        </w:rPr>
        <w:t>VII. Deepening the Reform of Financial Institutions</w:t>
      </w:r>
      <w:bookmarkEnd w:id="86"/>
      <w:bookmarkEnd w:id="87"/>
      <w:bookmarkEnd w:id="88"/>
      <w:bookmarkEnd w:id="89"/>
    </w:p>
    <w:p>
      <w:pPr>
        <w:rPr>
          <w:color w:val="000000"/>
          <w:sz w:val="24"/>
        </w:rPr>
      </w:pPr>
      <w:r>
        <w:rPr>
          <w:color w:val="000000"/>
          <w:sz w:val="24"/>
        </w:rPr>
        <w:t>The reform plan of development and policy financial institutions has been fully implemented. Since the reform plan of the China Development Bank, the Export-Import Bank of China, and the Agricultural Development Bank of China was approved, the PBC has played an active role in coordinating reform efforts by convening working group meetings on a number of occasions to steadily promote implementation of the reform plan. At present, the PBC, together with the members of the working group on reforms, is gradually carrying out reform measures, such as establishing and improving the role of the board of directors and the governance structure and clarifying the business boundaries. The PBC is also cooperating with the relevant departments in efforts to improve the risk compensation mechanism and to develop prudential regulatory rules.</w:t>
      </w:r>
    </w:p>
    <w:p>
      <w:pPr>
        <w:rPr>
          <w:color w:val="000000"/>
          <w:sz w:val="24"/>
        </w:rPr>
      </w:pPr>
    </w:p>
    <w:p>
      <w:pPr>
        <w:rPr>
          <w:color w:val="000000"/>
          <w:sz w:val="24"/>
        </w:rPr>
      </w:pPr>
      <w:r>
        <w:rPr>
          <w:color w:val="000000"/>
          <w:sz w:val="24"/>
        </w:rPr>
        <w:t xml:space="preserve">The deposit insurance scheme has been improved. Since implementation of the </w:t>
      </w:r>
      <w:r>
        <w:rPr>
          <w:i/>
          <w:color w:val="000000"/>
          <w:sz w:val="24"/>
        </w:rPr>
        <w:t>Regulations on Deposit Insurance</w:t>
      </w:r>
      <w:r>
        <w:rPr>
          <w:color w:val="000000"/>
          <w:sz w:val="24"/>
        </w:rPr>
        <w:t xml:space="preserve"> on May 1, 2015, relevant work has proceeded smoothly. As deposits in financial institutions grew steadily, the structure of deposits at large, medium-sized, and small banks remained generally the same. The coverage ceiling of RMB 500,000 covers 99.6 percent of the depositors, which has remained stable. The PBC has continued to implement a risk-based differentiated premium rate arrangement, including deposit insurance rating and pricing, which takes effect by limiting risks and providing positive incentives for insured institutions. The PBC has also made efforts to monitor, identify, and resolve the risks of the insured institutions through risk warnings and early corrections. The PBC actively coordinated with local governments and supervisory bodies to promote risk resolution in line with the rules and regulations. The PBC released the logo for deposit insurance, enhanced publicity and training, and improved the management of premium funds.</w:t>
      </w:r>
    </w:p>
    <w:p>
      <w:pPr>
        <w:rPr>
          <w:color w:val="000000"/>
          <w:sz w:val="24"/>
        </w:rPr>
      </w:pPr>
    </w:p>
    <w:p>
      <w:pPr>
        <w:rPr>
          <w:color w:val="000000"/>
          <w:sz w:val="24"/>
        </w:rPr>
      </w:pPr>
      <w:r>
        <w:rPr>
          <w:color w:val="000000"/>
          <w:sz w:val="24"/>
        </w:rPr>
        <w:t>The reform of the rural credit cooperatives (RCCs) has produced fruitful results. The operation and financial status of the RCCs continued to improve, with stronger credit support to the rural areas and steady progress in the reform of the property-rights system. As reported under the five tiers of classifications of loans at end-June, outstanding non-performing loans (NPLs) of all RCCs in China stood at RMB 575.5 billion, with the NPL ratio at 4 percent, a year-on-year decrease of 0.2 percentage point. The capital adequacy ratio stood at 12 percent, a year-on-year increase of 0.8 percentage point. Outstanding deposits and loans of all RCCs in China posted RMB 23.15 trillion and RMB 14.47 trillion, up 9.2 percent and 12.9 percent respectively compared with the previous year. Loans extended by RCCs accounted for 12.6 percent of the total loans extended by all financial institutions in China. Outstanding agro-linked loans and rural household loans stood at RMB 8.69 trillion and RMB 4.25 trillion respectively, a year-on-year increase of 9.7 percent and 10.6 percent. As of end-June, there were 997 county/municipal‒level RCCs with legal-person status, 1,171 rural commercial banks, and 37 rural cooperative banks.</w:t>
      </w:r>
    </w:p>
    <w:p>
      <w:pPr>
        <w:rPr>
          <w:lang w:eastAsia="zh-TW"/>
        </w:rPr>
      </w:pPr>
    </w:p>
    <w:p>
      <w:pPr>
        <w:pStyle w:val="3"/>
        <w:numPr>
          <w:ilvl w:val="0"/>
          <w:numId w:val="0"/>
        </w:numPr>
        <w:jc w:val="both"/>
        <w:rPr>
          <w:rFonts w:cs="Times New Roman"/>
          <w:color w:val="000000"/>
        </w:rPr>
      </w:pPr>
      <w:bookmarkStart w:id="90" w:name="_Toc476916145"/>
      <w:bookmarkStart w:id="91" w:name="_Toc472330074"/>
      <w:bookmarkStart w:id="92" w:name="_Toc484425028"/>
      <w:bookmarkStart w:id="93" w:name="_Toc492904382"/>
      <w:r>
        <w:rPr>
          <w:rFonts w:cs="Times New Roman"/>
          <w:color w:val="000000"/>
        </w:rPr>
        <w:t>VIII. Deepening the Reform of Foreign-Exchange Administration</w:t>
      </w:r>
      <w:bookmarkEnd w:id="90"/>
      <w:bookmarkEnd w:id="91"/>
      <w:bookmarkEnd w:id="92"/>
      <w:bookmarkEnd w:id="93"/>
    </w:p>
    <w:p/>
    <w:p>
      <w:pPr>
        <w:rPr>
          <w:color w:val="000000"/>
          <w:sz w:val="24"/>
        </w:rPr>
      </w:pPr>
      <w:r>
        <w:rPr>
          <w:color w:val="000000"/>
          <w:sz w:val="24"/>
        </w:rPr>
        <w:t>Trade and investment facilitation has been promoted. First, Bond Connect operations were officially launched as an important measure to facilitate progress in opening up China's financial market, which promotes conveniences for overseas investors to make investments in the Mainland inter-bank bond market through Hong Kong. Second, the PBC initiated and extended the pilot program of foreign-exchange payments for cross-border e-commerce, tourism procurement, and third-party payment institutions, and enhanced support for new business models for external trade. Third, the PBC improved macro-prudential management policies for all currencies and promoted the convenience of cross-border financing.</w:t>
      </w:r>
    </w:p>
    <w:p>
      <w:pPr>
        <w:rPr>
          <w:color w:val="000000"/>
          <w:sz w:val="24"/>
        </w:rPr>
      </w:pPr>
    </w:p>
    <w:p>
      <w:pPr>
        <w:rPr>
          <w:sz w:val="24"/>
        </w:rPr>
      </w:pPr>
      <w:r>
        <w:rPr>
          <w:sz w:val="24"/>
        </w:rPr>
        <w:t>Reviews of authenticity and compliance were enhanced. First, administrative measures for foreign exchange of trade in goods were improved by granting commercial banks access to digital customs information, so that banks could review trade documents more conveniently. Second, administration of foreign exchange used for overseas investments was optimized, with stricter reviews of the authenticity and close monitoring of irrational overseas investments in real estate and four other sectors as well as other potential risks in overseas investments, including large investments in non-core businesses, investments through limited partnerships, investments to subsidiaries that are significantly larger than the parent company, and rapidly establishing overseas institutions and transferring funds. The measures were aimed at promoting sustainable and healthy development of China's overseas investments.</w:t>
      </w:r>
    </w:p>
    <w:p>
      <w:pPr>
        <w:rPr>
          <w:sz w:val="24"/>
        </w:rPr>
      </w:pPr>
    </w:p>
    <w:p>
      <w:r>
        <w:rPr>
          <w:sz w:val="24"/>
        </w:rPr>
        <w:t xml:space="preserve">Measures were taken to improve capabilities for supervision in action and ex post. First, statistics on bank card overseas transactions were improved, with measures to request financial institutions to report bank card overseas transaction information in an effort to maintain order in overseas transactions through bank cards. Second, the PBC worked with the customs and taxation departments to improve the cooperation mechanism for joint supervision, promoted implementation of information-sharing, and conducted practical cooperation in joint supervision. Third, measures were enhanced to issue notices on typical cases and to publicize warnings and provide education to deter illegal foreign-exchange activities. </w:t>
      </w:r>
    </w:p>
    <w:p/>
    <w:p>
      <w:pPr>
        <w:keepNext/>
        <w:keepLines/>
        <w:spacing w:beforeLines="100" w:afterLines="100"/>
        <w:jc w:val="center"/>
        <w:outlineLvl w:val="0"/>
        <w:rPr>
          <w:rFonts w:eastAsia="仿宋_GB2312"/>
          <w:b/>
          <w:sz w:val="36"/>
          <w:szCs w:val="36"/>
        </w:rPr>
      </w:pPr>
      <w:bookmarkStart w:id="94" w:name="_Toc492904383"/>
      <w:r>
        <w:rPr>
          <w:rFonts w:eastAsia="仿宋_GB2312"/>
          <w:b/>
          <w:sz w:val="36"/>
          <w:szCs w:val="36"/>
        </w:rPr>
        <w:t>Part 3 Financial Market Analysis</w:t>
      </w:r>
      <w:bookmarkEnd w:id="94"/>
      <w:r>
        <w:rPr>
          <w:rFonts w:eastAsia="仿宋_GB2312"/>
          <w:b/>
          <w:sz w:val="36"/>
          <w:szCs w:val="36"/>
        </w:rPr>
        <w:t xml:space="preserve"> </w:t>
      </w:r>
    </w:p>
    <w:p>
      <w:pPr>
        <w:rPr>
          <w:rFonts w:eastAsia="仿宋_GB2312"/>
          <w:bCs/>
          <w:sz w:val="24"/>
        </w:rPr>
      </w:pPr>
      <w:r>
        <w:rPr>
          <w:rFonts w:eastAsia="仿宋_GB2312"/>
          <w:bCs/>
          <w:sz w:val="24"/>
        </w:rPr>
        <w:t xml:space="preserve">During the first half of 2017, the financial market as a whole </w:t>
      </w:r>
      <w:r>
        <w:rPr>
          <w:rFonts w:hint="eastAsia" w:eastAsia="仿宋_GB2312"/>
          <w:bCs/>
          <w:sz w:val="24"/>
        </w:rPr>
        <w:t>functioned soundly</w:t>
      </w:r>
      <w:r>
        <w:rPr>
          <w:rFonts w:eastAsia="仿宋_GB2312"/>
          <w:bCs/>
          <w:sz w:val="24"/>
        </w:rPr>
        <w:t>. Interest rate</w:t>
      </w:r>
      <w:r>
        <w:rPr>
          <w:rFonts w:hint="eastAsia" w:eastAsia="仿宋_GB2312"/>
          <w:bCs/>
          <w:sz w:val="24"/>
        </w:rPr>
        <w:t>s</w:t>
      </w:r>
      <w:r>
        <w:rPr>
          <w:rFonts w:eastAsia="仿宋_GB2312"/>
          <w:bCs/>
          <w:sz w:val="24"/>
        </w:rPr>
        <w:t xml:space="preserve"> in the </w:t>
      </w:r>
      <w:r>
        <w:rPr>
          <w:sz w:val="24"/>
        </w:rPr>
        <w:t>money</w:t>
      </w:r>
      <w:r>
        <w:rPr>
          <w:rFonts w:eastAsia="仿宋_GB2312"/>
          <w:bCs/>
          <w:sz w:val="24"/>
        </w:rPr>
        <w:t xml:space="preserve"> market </w:t>
      </w:r>
      <w:r>
        <w:rPr>
          <w:rFonts w:hint="eastAsia" w:eastAsia="仿宋_GB2312"/>
          <w:bCs/>
          <w:sz w:val="24"/>
        </w:rPr>
        <w:t>g</w:t>
      </w:r>
      <w:r>
        <w:rPr>
          <w:rFonts w:eastAsia="仿宋_GB2312"/>
          <w:bCs/>
          <w:sz w:val="24"/>
        </w:rPr>
        <w:t xml:space="preserve">enerally moved up and liquidity was broadly stable. Against the backdrop of recovering fundamentals, the U.S Federal Reserve rate hike, and the moderate deleveraging in the domestic financial system, the bond market yield curve flattened and shifted upward, whereas the trading volume and the issuance of spot bonds declined. </w:t>
      </w:r>
      <w:bookmarkStart w:id="95" w:name="OLE_LINK18"/>
      <w:bookmarkStart w:id="96" w:name="OLE_LINK19"/>
      <w:r>
        <w:rPr>
          <w:rFonts w:eastAsia="仿宋_GB2312"/>
          <w:bCs/>
          <w:sz w:val="24"/>
        </w:rPr>
        <w:t>The stock indices remained generally stable, while the trading volume and the amount of equity financing continued to decline year on year</w:t>
      </w:r>
      <w:bookmarkEnd w:id="95"/>
      <w:bookmarkEnd w:id="96"/>
      <w:r>
        <w:rPr>
          <w:rFonts w:eastAsia="仿宋_GB2312"/>
          <w:bCs/>
          <w:sz w:val="24"/>
        </w:rPr>
        <w:t>. The growth of asset and premium income in the insurance sector moderated.</w:t>
      </w:r>
      <w:bookmarkStart w:id="97" w:name="_Toc489534256"/>
      <w:bookmarkStart w:id="98" w:name="_Toc490242367"/>
    </w:p>
    <w:p>
      <w:pPr>
        <w:ind w:firstLine="480" w:firstLineChars="200"/>
        <w:rPr>
          <w:rFonts w:eastAsia="仿宋_GB2312"/>
          <w:bCs/>
          <w:sz w:val="24"/>
        </w:rPr>
      </w:pPr>
    </w:p>
    <w:p>
      <w:pPr>
        <w:pStyle w:val="3"/>
        <w:numPr>
          <w:ilvl w:val="0"/>
          <w:numId w:val="0"/>
        </w:numPr>
        <w:jc w:val="both"/>
        <w:rPr>
          <w:rFonts w:cs="Times New Roman"/>
          <w:color w:val="000000"/>
        </w:rPr>
      </w:pPr>
      <w:bookmarkStart w:id="99" w:name="_Toc492904384"/>
      <w:r>
        <w:rPr>
          <w:rFonts w:cs="Times New Roman"/>
          <w:color w:val="000000"/>
        </w:rPr>
        <w:t xml:space="preserve">I. Financial Market </w:t>
      </w:r>
      <w:bookmarkEnd w:id="97"/>
      <w:bookmarkEnd w:id="98"/>
      <w:r>
        <w:rPr>
          <w:rFonts w:cs="Times New Roman"/>
          <w:color w:val="000000"/>
        </w:rPr>
        <w:t>Analysis</w:t>
      </w:r>
      <w:bookmarkEnd w:id="99"/>
    </w:p>
    <w:p>
      <w:pPr>
        <w:rPr>
          <w:b/>
          <w:bCs/>
          <w:iCs/>
          <w:kern w:val="0"/>
          <w:sz w:val="24"/>
        </w:rPr>
      </w:pPr>
      <w:r>
        <w:rPr>
          <w:rFonts w:hint="eastAsia"/>
          <w:b/>
          <w:bCs/>
          <w:iCs/>
          <w:kern w:val="0"/>
          <w:sz w:val="24"/>
        </w:rPr>
        <w:t>1.</w:t>
      </w:r>
      <w:r>
        <w:rPr>
          <w:b/>
          <w:bCs/>
          <w:iCs/>
          <w:kern w:val="0"/>
          <w:sz w:val="24"/>
        </w:rPr>
        <w:t xml:space="preserve">Money-market repo transactions rebounded, the share of transactions of overnight products fell, and market interest rates rose </w:t>
      </w:r>
    </w:p>
    <w:p>
      <w:pPr>
        <w:rPr>
          <w:kern w:val="0"/>
          <w:sz w:val="24"/>
        </w:rPr>
      </w:pPr>
      <w:r>
        <w:rPr>
          <w:kern w:val="0"/>
          <w:sz w:val="24"/>
        </w:rPr>
        <w:t xml:space="preserve">Repo transactions on the inter-bank market rebounded and the growth rate of inter-bank lending continued to decline. During the first half of 2017, the cumulative turnover of bond repos reached RMB 275.7 trillion on the inter-bank market, representing an average daily turnover of RMB 2.2 trillion, a decrease of 4.5 percent year on year and an </w:t>
      </w:r>
      <w:r>
        <w:rPr>
          <w:rFonts w:hint="eastAsia"/>
          <w:kern w:val="0"/>
          <w:sz w:val="24"/>
        </w:rPr>
        <w:t>increase</w:t>
      </w:r>
      <w:r>
        <w:rPr>
          <w:kern w:val="0"/>
          <w:sz w:val="24"/>
        </w:rPr>
        <w:t xml:space="preserve"> of 8.6 percent from Q1 2017. The cumulative turnover of inter-bank lending reached RMB 38.8 trillion, with an average daily turnover of RMB 315.6 billion, a decrease of 14.1 percent year on year and a dec</w:t>
      </w:r>
      <w:r>
        <w:rPr>
          <w:rFonts w:hint="eastAsia"/>
          <w:kern w:val="0"/>
          <w:sz w:val="24"/>
        </w:rPr>
        <w:t>rease</w:t>
      </w:r>
      <w:r>
        <w:rPr>
          <w:kern w:val="0"/>
          <w:sz w:val="24"/>
        </w:rPr>
        <w:t xml:space="preserve"> of 7.3 percent from Q1 of 2017. In terms of the maturity structure, the share of transactions of overnight products fell, as overnight repos and overnight lending accounted for 80.5 percent and 87 percent respectively of the turnover in bond repos and inter-bank lending during the first half of the year, shrinking by 5.9 percentage points and 1.3 percentage points respectively from the </w:t>
      </w:r>
      <w:r>
        <w:rPr>
          <w:rFonts w:hint="eastAsia"/>
          <w:kern w:val="0"/>
          <w:sz w:val="24"/>
        </w:rPr>
        <w:t>corresponding</w:t>
      </w:r>
      <w:r>
        <w:rPr>
          <w:kern w:val="0"/>
          <w:sz w:val="24"/>
        </w:rPr>
        <w:t xml:space="preserve"> period of the previous year. The turnover of bond repos on the stock exchanges increased 28.5 percent year on year to RMB 127 trillion.</w:t>
      </w:r>
    </w:p>
    <w:p/>
    <w:p>
      <w:pPr>
        <w:pStyle w:val="4"/>
        <w:jc w:val="center"/>
        <w:rPr>
          <w:rFonts w:ascii="Times New Roman" w:hAnsi="Times New Roman" w:cs="Times New Roman"/>
          <w:b/>
          <w:bCs/>
          <w:sz w:val="24"/>
          <w:szCs w:val="24"/>
        </w:rPr>
      </w:pPr>
      <w:bookmarkStart w:id="100" w:name="_Toc492909031"/>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9</w:t>
      </w:r>
      <w:r>
        <w:rPr>
          <w:rFonts w:ascii="Times New Roman" w:hAnsi="Times New Roman" w:cs="Times New Roman"/>
          <w:b/>
          <w:sz w:val="24"/>
          <w:szCs w:val="24"/>
        </w:rPr>
        <w:fldChar w:fldCharType="end"/>
      </w:r>
      <w:r>
        <w:rPr>
          <w:rFonts w:ascii="Times New Roman" w:hAnsi="Times New Roman" w:cs="Times New Roman"/>
          <w:b/>
          <w:bCs/>
          <w:sz w:val="24"/>
          <w:szCs w:val="24"/>
        </w:rPr>
        <w:t xml:space="preserve"> Fund Flows among Financial Institutions in H1 of 2017</w:t>
      </w:r>
      <w:bookmarkEnd w:id="100"/>
    </w:p>
    <w:tbl>
      <w:tblPr>
        <w:tblStyle w:val="20"/>
        <w:tblW w:w="8483" w:type="dxa"/>
        <w:jc w:val="center"/>
        <w:tblInd w:w="0" w:type="dxa"/>
        <w:tblLayout w:type="fixed"/>
        <w:tblCellMar>
          <w:top w:w="0" w:type="dxa"/>
          <w:left w:w="0" w:type="dxa"/>
          <w:bottom w:w="0" w:type="dxa"/>
          <w:right w:w="0" w:type="dxa"/>
        </w:tblCellMar>
      </w:tblPr>
      <w:tblGrid>
        <w:gridCol w:w="2789"/>
        <w:gridCol w:w="1530"/>
        <w:gridCol w:w="1237"/>
        <w:gridCol w:w="1462"/>
        <w:gridCol w:w="1465"/>
      </w:tblGrid>
      <w:tr>
        <w:tblPrEx>
          <w:tblLayout w:type="fixed"/>
          <w:tblCellMar>
            <w:top w:w="0" w:type="dxa"/>
            <w:left w:w="0" w:type="dxa"/>
            <w:bottom w:w="0" w:type="dxa"/>
            <w:right w:w="0" w:type="dxa"/>
          </w:tblCellMar>
        </w:tblPrEx>
        <w:trPr>
          <w:trHeight w:val="300" w:hRule="atLeast"/>
          <w:jc w:val="center"/>
        </w:trPr>
        <w:tc>
          <w:tcPr>
            <w:tcW w:w="8483" w:type="dxa"/>
            <w:gridSpan w:val="5"/>
            <w:tcBorders>
              <w:top w:val="nil"/>
              <w:left w:val="nil"/>
              <w:bottom w:val="single" w:color="008000" w:sz="8" w:space="0"/>
              <w:right w:val="nil"/>
            </w:tcBorders>
            <w:shd w:val="clear" w:color="000000" w:fill="FFFFFF"/>
            <w:vAlign w:val="bottom"/>
          </w:tcPr>
          <w:p>
            <w:pPr>
              <w:autoSpaceDE w:val="0"/>
              <w:autoSpaceDN w:val="0"/>
              <w:adjustRightInd w:val="0"/>
              <w:spacing w:line="300" w:lineRule="atLeast"/>
              <w:rPr>
                <w:b/>
                <w:bCs/>
                <w:sz w:val="24"/>
              </w:rPr>
            </w:pPr>
          </w:p>
          <w:p>
            <w:pPr>
              <w:autoSpaceDE w:val="0"/>
              <w:autoSpaceDN w:val="0"/>
              <w:adjustRightInd w:val="0"/>
              <w:spacing w:line="300" w:lineRule="atLeast"/>
              <w:ind w:right="120"/>
              <w:jc w:val="right"/>
              <w:rPr>
                <w:rFonts w:cs="Calibri"/>
              </w:rPr>
            </w:pPr>
            <w:r>
              <w:rPr>
                <w:b/>
                <w:bCs/>
                <w:sz w:val="24"/>
              </w:rPr>
              <w:t xml:space="preserve">Unit: RMB 100 million </w:t>
            </w:r>
          </w:p>
        </w:tc>
      </w:tr>
      <w:tr>
        <w:tblPrEx>
          <w:tblLayout w:type="fixed"/>
          <w:tblCellMar>
            <w:top w:w="0" w:type="dxa"/>
            <w:left w:w="0" w:type="dxa"/>
            <w:bottom w:w="0" w:type="dxa"/>
            <w:right w:w="0" w:type="dxa"/>
          </w:tblCellMar>
        </w:tblPrEx>
        <w:trPr>
          <w:trHeight w:val="369" w:hRule="atLeast"/>
          <w:jc w:val="center"/>
        </w:trPr>
        <w:tc>
          <w:tcPr>
            <w:tcW w:w="2789" w:type="dxa"/>
            <w:vMerge w:val="restart"/>
            <w:tcBorders>
              <w:top w:val="nil"/>
              <w:left w:val="nil"/>
              <w:bottom w:val="single" w:color="008000" w:sz="6" w:space="0"/>
              <w:right w:val="single" w:color="008000" w:sz="2" w:space="0"/>
            </w:tcBorders>
            <w:shd w:val="clear" w:color="auto" w:fill="CCFFCC"/>
            <w:vAlign w:val="center"/>
          </w:tcPr>
          <w:p>
            <w:pPr>
              <w:autoSpaceDE w:val="0"/>
              <w:autoSpaceDN w:val="0"/>
              <w:adjustRightInd w:val="0"/>
              <w:spacing w:line="300" w:lineRule="atLeast"/>
              <w:jc w:val="center"/>
              <w:rPr>
                <w:rFonts w:cs="Calibri"/>
              </w:rPr>
            </w:pPr>
            <w:r>
              <w:rPr>
                <w:rFonts w:hint="eastAsia" w:ascii="宋体" w:cs="宋体"/>
                <w:sz w:val="24"/>
                <w:lang w:val="zh-CN"/>
              </w:rPr>
              <w:t>　</w:t>
            </w:r>
          </w:p>
        </w:tc>
        <w:tc>
          <w:tcPr>
            <w:tcW w:w="2767" w:type="dxa"/>
            <w:gridSpan w:val="2"/>
            <w:tcBorders>
              <w:top w:val="single" w:color="008000" w:sz="8" w:space="0"/>
              <w:left w:val="nil"/>
              <w:bottom w:val="single" w:color="008000" w:sz="2" w:space="0"/>
              <w:right w:val="single" w:color="008000" w:sz="2" w:space="0"/>
            </w:tcBorders>
            <w:shd w:val="clear" w:color="auto" w:fill="CCFFCC"/>
            <w:vAlign w:val="center"/>
          </w:tcPr>
          <w:p>
            <w:pPr>
              <w:autoSpaceDE w:val="0"/>
              <w:autoSpaceDN w:val="0"/>
              <w:adjustRightInd w:val="0"/>
              <w:spacing w:line="300" w:lineRule="atLeast"/>
              <w:jc w:val="center"/>
              <w:rPr>
                <w:rFonts w:cs="Calibri"/>
              </w:rPr>
            </w:pPr>
            <w:r>
              <w:rPr>
                <w:sz w:val="24"/>
              </w:rPr>
              <w:t>Repos</w:t>
            </w:r>
          </w:p>
        </w:tc>
        <w:tc>
          <w:tcPr>
            <w:tcW w:w="2927" w:type="dxa"/>
            <w:gridSpan w:val="2"/>
            <w:tcBorders>
              <w:top w:val="single" w:color="008000" w:sz="8" w:space="0"/>
              <w:left w:val="nil"/>
              <w:bottom w:val="single" w:color="008000" w:sz="2" w:space="0"/>
              <w:right w:val="nil"/>
            </w:tcBorders>
            <w:shd w:val="clear" w:color="auto" w:fill="CCFFCC"/>
            <w:vAlign w:val="center"/>
          </w:tcPr>
          <w:p>
            <w:pPr>
              <w:autoSpaceDE w:val="0"/>
              <w:autoSpaceDN w:val="0"/>
              <w:adjustRightInd w:val="0"/>
              <w:spacing w:line="300" w:lineRule="atLeast"/>
              <w:jc w:val="center"/>
              <w:rPr>
                <w:rFonts w:cs="Calibri"/>
              </w:rPr>
            </w:pPr>
            <w:r>
              <w:rPr>
                <w:sz w:val="24"/>
              </w:rPr>
              <w:t>Inter-bank lending</w:t>
            </w:r>
          </w:p>
        </w:tc>
      </w:tr>
      <w:tr>
        <w:tblPrEx>
          <w:tblLayout w:type="fixed"/>
          <w:tblCellMar>
            <w:top w:w="0" w:type="dxa"/>
            <w:left w:w="0" w:type="dxa"/>
            <w:bottom w:w="0" w:type="dxa"/>
            <w:right w:w="0" w:type="dxa"/>
          </w:tblCellMar>
        </w:tblPrEx>
        <w:trPr>
          <w:trHeight w:val="369" w:hRule="atLeast"/>
          <w:jc w:val="center"/>
        </w:trPr>
        <w:tc>
          <w:tcPr>
            <w:tcW w:w="2789" w:type="dxa"/>
            <w:vMerge w:val="continue"/>
            <w:tcBorders>
              <w:top w:val="nil"/>
              <w:left w:val="nil"/>
              <w:bottom w:val="single" w:color="008000" w:sz="6" w:space="0"/>
              <w:right w:val="single" w:color="008000" w:sz="2" w:space="0"/>
            </w:tcBorders>
            <w:vAlign w:val="center"/>
          </w:tcPr>
          <w:p>
            <w:pPr>
              <w:autoSpaceDE w:val="0"/>
              <w:autoSpaceDN w:val="0"/>
              <w:adjustRightInd w:val="0"/>
              <w:spacing w:after="200" w:line="276" w:lineRule="auto"/>
              <w:rPr>
                <w:rFonts w:cs="Calibri"/>
              </w:rPr>
            </w:pPr>
          </w:p>
        </w:tc>
        <w:tc>
          <w:tcPr>
            <w:tcW w:w="1530" w:type="dxa"/>
            <w:tcBorders>
              <w:top w:val="nil"/>
              <w:left w:val="nil"/>
              <w:bottom w:val="single" w:color="008000" w:sz="6" w:space="0"/>
              <w:right w:val="single" w:color="008000" w:sz="2" w:space="0"/>
            </w:tcBorders>
            <w:shd w:val="clear" w:color="auto" w:fill="CCFFCC"/>
            <w:vAlign w:val="center"/>
          </w:tcPr>
          <w:p>
            <w:pPr>
              <w:autoSpaceDE w:val="0"/>
              <w:autoSpaceDN w:val="0"/>
              <w:adjustRightInd w:val="0"/>
              <w:jc w:val="center"/>
              <w:rPr>
                <w:rFonts w:cs="Calibri"/>
              </w:rPr>
            </w:pPr>
            <w:r>
              <w:rPr>
                <w:sz w:val="24"/>
              </w:rPr>
              <w:t>H1 2017</w:t>
            </w:r>
          </w:p>
        </w:tc>
        <w:tc>
          <w:tcPr>
            <w:tcW w:w="1237" w:type="dxa"/>
            <w:tcBorders>
              <w:top w:val="nil"/>
              <w:left w:val="nil"/>
              <w:bottom w:val="single" w:color="008000" w:sz="6" w:space="0"/>
              <w:right w:val="single" w:color="008000" w:sz="2" w:space="0"/>
            </w:tcBorders>
            <w:shd w:val="clear" w:color="auto" w:fill="CCFFCC"/>
            <w:vAlign w:val="center"/>
          </w:tcPr>
          <w:p>
            <w:pPr>
              <w:autoSpaceDE w:val="0"/>
              <w:autoSpaceDN w:val="0"/>
              <w:adjustRightInd w:val="0"/>
              <w:jc w:val="center"/>
              <w:rPr>
                <w:rFonts w:cs="Calibri"/>
              </w:rPr>
            </w:pPr>
            <w:r>
              <w:rPr>
                <w:sz w:val="24"/>
              </w:rPr>
              <w:t>H1 2016</w:t>
            </w:r>
          </w:p>
        </w:tc>
        <w:tc>
          <w:tcPr>
            <w:tcW w:w="1462" w:type="dxa"/>
            <w:tcBorders>
              <w:top w:val="nil"/>
              <w:left w:val="nil"/>
              <w:bottom w:val="single" w:color="008000" w:sz="6" w:space="0"/>
              <w:right w:val="single" w:color="008000" w:sz="2" w:space="0"/>
            </w:tcBorders>
            <w:shd w:val="clear" w:color="auto" w:fill="CCFFCC"/>
            <w:vAlign w:val="center"/>
          </w:tcPr>
          <w:p>
            <w:pPr>
              <w:autoSpaceDE w:val="0"/>
              <w:autoSpaceDN w:val="0"/>
              <w:adjustRightInd w:val="0"/>
              <w:jc w:val="center"/>
              <w:rPr>
                <w:rFonts w:cs="Calibri"/>
              </w:rPr>
            </w:pPr>
            <w:r>
              <w:rPr>
                <w:sz w:val="24"/>
              </w:rPr>
              <w:t>H1 2017</w:t>
            </w:r>
          </w:p>
        </w:tc>
        <w:tc>
          <w:tcPr>
            <w:tcW w:w="1465" w:type="dxa"/>
            <w:tcBorders>
              <w:top w:val="nil"/>
              <w:left w:val="nil"/>
              <w:bottom w:val="single" w:color="008000" w:sz="6" w:space="0"/>
              <w:right w:val="nil"/>
            </w:tcBorders>
            <w:shd w:val="clear" w:color="auto" w:fill="CCFFCC"/>
            <w:vAlign w:val="center"/>
          </w:tcPr>
          <w:p>
            <w:pPr>
              <w:autoSpaceDE w:val="0"/>
              <w:autoSpaceDN w:val="0"/>
              <w:adjustRightInd w:val="0"/>
              <w:jc w:val="center"/>
              <w:rPr>
                <w:rFonts w:cs="Calibri"/>
              </w:rPr>
            </w:pPr>
            <w:r>
              <w:rPr>
                <w:sz w:val="24"/>
              </w:rPr>
              <w:t>H1 2016</w:t>
            </w:r>
          </w:p>
        </w:tc>
      </w:tr>
      <w:tr>
        <w:tblPrEx>
          <w:tblLayout w:type="fixed"/>
          <w:tblCellMar>
            <w:top w:w="0" w:type="dxa"/>
            <w:left w:w="0" w:type="dxa"/>
            <w:bottom w:w="0" w:type="dxa"/>
            <w:right w:w="0" w:type="dxa"/>
          </w:tblCellMar>
        </w:tblPrEx>
        <w:trPr>
          <w:trHeight w:val="369" w:hRule="atLeast"/>
          <w:jc w:val="center"/>
        </w:trPr>
        <w:tc>
          <w:tcPr>
            <w:tcW w:w="2789" w:type="dxa"/>
            <w:tcBorders>
              <w:top w:val="single" w:color="008000" w:sz="6" w:space="0"/>
              <w:left w:val="nil"/>
              <w:bottom w:val="nil"/>
              <w:right w:val="single" w:color="008000" w:sz="2" w:space="0"/>
            </w:tcBorders>
            <w:shd w:val="clear" w:color="auto" w:fill="FFFFFF"/>
            <w:vAlign w:val="center"/>
          </w:tcPr>
          <w:p>
            <w:pPr>
              <w:autoSpaceDE w:val="0"/>
              <w:autoSpaceDN w:val="0"/>
              <w:adjustRightInd w:val="0"/>
              <w:spacing w:line="300" w:lineRule="atLeast"/>
              <w:rPr>
                <w:rFonts w:cs="Calibri"/>
              </w:rPr>
            </w:pPr>
            <w:r>
              <w:rPr>
                <w:sz w:val="24"/>
              </w:rPr>
              <w:t>Chinese-funded large banks</w:t>
            </w:r>
            <w:r>
              <w:rPr>
                <w:rFonts w:hint="eastAsia" w:ascii="宋体" w:cs="宋体"/>
                <w:sz w:val="24"/>
                <w:vertAlign w:val="superscript"/>
              </w:rPr>
              <w:t>①</w:t>
            </w:r>
          </w:p>
        </w:tc>
        <w:tc>
          <w:tcPr>
            <w:tcW w:w="1530" w:type="dxa"/>
            <w:tcBorders>
              <w:top w:val="single" w:color="008000" w:sz="6" w:space="0"/>
              <w:left w:val="nil"/>
              <w:bottom w:val="nil"/>
              <w:right w:val="single" w:color="008000" w:sz="2" w:space="0"/>
            </w:tcBorders>
            <w:shd w:val="clear" w:color="auto" w:fill="FFFFFF"/>
            <w:vAlign w:val="center"/>
          </w:tcPr>
          <w:p>
            <w:pPr>
              <w:jc w:val="center"/>
            </w:pPr>
            <w:r>
              <w:t>-677,604</w:t>
            </w:r>
          </w:p>
        </w:tc>
        <w:tc>
          <w:tcPr>
            <w:tcW w:w="1237" w:type="dxa"/>
            <w:tcBorders>
              <w:top w:val="single" w:color="008000" w:sz="6" w:space="0"/>
              <w:left w:val="nil"/>
              <w:bottom w:val="nil"/>
              <w:right w:val="single" w:color="008000" w:sz="2" w:space="0"/>
            </w:tcBorders>
            <w:shd w:val="clear" w:color="auto" w:fill="FFFFFF"/>
            <w:vAlign w:val="center"/>
          </w:tcPr>
          <w:p>
            <w:pPr>
              <w:jc w:val="center"/>
            </w:pPr>
            <w:r>
              <w:t>-1,062,405</w:t>
            </w:r>
          </w:p>
        </w:tc>
        <w:tc>
          <w:tcPr>
            <w:tcW w:w="1462" w:type="dxa"/>
            <w:tcBorders>
              <w:top w:val="single" w:color="008000" w:sz="6" w:space="0"/>
              <w:left w:val="nil"/>
              <w:bottom w:val="nil"/>
              <w:right w:val="single" w:color="008000" w:sz="2" w:space="0"/>
            </w:tcBorders>
            <w:shd w:val="clear" w:color="auto" w:fill="FFFFFF"/>
            <w:vAlign w:val="center"/>
          </w:tcPr>
          <w:p>
            <w:pPr>
              <w:jc w:val="center"/>
            </w:pPr>
            <w:r>
              <w:t>-78,314</w:t>
            </w:r>
          </w:p>
        </w:tc>
        <w:tc>
          <w:tcPr>
            <w:tcW w:w="1465" w:type="dxa"/>
            <w:tcBorders>
              <w:top w:val="single" w:color="008000" w:sz="6" w:space="0"/>
              <w:left w:val="nil"/>
              <w:bottom w:val="nil"/>
              <w:right w:val="nil"/>
            </w:tcBorders>
            <w:shd w:val="clear" w:color="auto" w:fill="FFFFFF"/>
            <w:vAlign w:val="center"/>
          </w:tcPr>
          <w:p>
            <w:pPr>
              <w:jc w:val="center"/>
            </w:pPr>
            <w:r>
              <w:t>-115,269</w:t>
            </w:r>
          </w:p>
        </w:tc>
      </w:tr>
      <w:tr>
        <w:tblPrEx>
          <w:tblLayout w:type="fixed"/>
          <w:tblCellMar>
            <w:top w:w="0" w:type="dxa"/>
            <w:left w:w="0" w:type="dxa"/>
            <w:bottom w:w="0" w:type="dxa"/>
            <w:right w:w="0" w:type="dxa"/>
          </w:tblCellMar>
        </w:tblPrEx>
        <w:trPr>
          <w:trHeight w:val="369" w:hRule="atLeast"/>
          <w:jc w:val="center"/>
        </w:trPr>
        <w:tc>
          <w:tcPr>
            <w:tcW w:w="2789" w:type="dxa"/>
            <w:tcBorders>
              <w:top w:val="nil"/>
              <w:left w:val="nil"/>
              <w:bottom w:val="nil"/>
              <w:right w:val="single" w:color="008000" w:sz="2" w:space="0"/>
            </w:tcBorders>
            <w:shd w:val="clear" w:color="auto" w:fill="CCFFCC"/>
            <w:vAlign w:val="center"/>
          </w:tcPr>
          <w:p>
            <w:pPr>
              <w:autoSpaceDE w:val="0"/>
              <w:autoSpaceDN w:val="0"/>
              <w:adjustRightInd w:val="0"/>
              <w:spacing w:line="300" w:lineRule="atLeast"/>
              <w:rPr>
                <w:rFonts w:cs="Calibri"/>
              </w:rPr>
            </w:pPr>
            <w:r>
              <w:rPr>
                <w:sz w:val="24"/>
              </w:rPr>
              <w:t>Chinese-funded small- and medium-sized banks</w:t>
            </w:r>
            <w:r>
              <w:rPr>
                <w:rFonts w:hint="eastAsia" w:ascii="宋体" w:cs="宋体"/>
                <w:sz w:val="24"/>
                <w:vertAlign w:val="superscript"/>
              </w:rPr>
              <w:t>②</w:t>
            </w:r>
          </w:p>
        </w:tc>
        <w:tc>
          <w:tcPr>
            <w:tcW w:w="1530" w:type="dxa"/>
            <w:tcBorders>
              <w:top w:val="nil"/>
              <w:left w:val="nil"/>
              <w:bottom w:val="nil"/>
              <w:right w:val="single" w:color="008000" w:sz="2" w:space="0"/>
            </w:tcBorders>
            <w:shd w:val="clear" w:color="auto" w:fill="CCFFCC"/>
            <w:vAlign w:val="center"/>
          </w:tcPr>
          <w:p>
            <w:pPr>
              <w:jc w:val="center"/>
            </w:pPr>
            <w:r>
              <w:t>109,966</w:t>
            </w:r>
          </w:p>
        </w:tc>
        <w:tc>
          <w:tcPr>
            <w:tcW w:w="1237" w:type="dxa"/>
            <w:tcBorders>
              <w:top w:val="nil"/>
              <w:left w:val="nil"/>
              <w:bottom w:val="nil"/>
              <w:right w:val="single" w:color="008000" w:sz="2" w:space="0"/>
            </w:tcBorders>
            <w:shd w:val="clear" w:color="auto" w:fill="CCFFCC"/>
            <w:vAlign w:val="center"/>
          </w:tcPr>
          <w:p>
            <w:pPr>
              <w:jc w:val="center"/>
            </w:pPr>
            <w:r>
              <w:t>202,445</w:t>
            </w:r>
          </w:p>
        </w:tc>
        <w:tc>
          <w:tcPr>
            <w:tcW w:w="1462" w:type="dxa"/>
            <w:tcBorders>
              <w:top w:val="nil"/>
              <w:left w:val="nil"/>
              <w:bottom w:val="nil"/>
              <w:right w:val="single" w:color="008000" w:sz="2" w:space="0"/>
            </w:tcBorders>
            <w:shd w:val="clear" w:color="auto" w:fill="CCFFCC"/>
            <w:vAlign w:val="center"/>
          </w:tcPr>
          <w:p>
            <w:pPr>
              <w:jc w:val="center"/>
            </w:pPr>
            <w:r>
              <w:t>3,552</w:t>
            </w:r>
          </w:p>
        </w:tc>
        <w:tc>
          <w:tcPr>
            <w:tcW w:w="1465" w:type="dxa"/>
            <w:tcBorders>
              <w:top w:val="nil"/>
              <w:left w:val="nil"/>
              <w:bottom w:val="nil"/>
              <w:right w:val="nil"/>
            </w:tcBorders>
            <w:shd w:val="clear" w:color="auto" w:fill="CCFFCC"/>
            <w:vAlign w:val="center"/>
          </w:tcPr>
          <w:p>
            <w:pPr>
              <w:jc w:val="center"/>
            </w:pPr>
            <w:r>
              <w:t>-414</w:t>
            </w:r>
          </w:p>
        </w:tc>
      </w:tr>
      <w:tr>
        <w:tblPrEx>
          <w:tblLayout w:type="fixed"/>
        </w:tblPrEx>
        <w:trPr>
          <w:trHeight w:val="369" w:hRule="atLeast"/>
          <w:jc w:val="center"/>
        </w:trPr>
        <w:tc>
          <w:tcPr>
            <w:tcW w:w="2789" w:type="dxa"/>
            <w:tcBorders>
              <w:top w:val="nil"/>
              <w:left w:val="nil"/>
              <w:bottom w:val="nil"/>
              <w:right w:val="single" w:color="008000" w:sz="2" w:space="0"/>
            </w:tcBorders>
            <w:shd w:val="clear" w:color="auto" w:fill="FFFFFF"/>
            <w:vAlign w:val="center"/>
          </w:tcPr>
          <w:p>
            <w:pPr>
              <w:autoSpaceDE w:val="0"/>
              <w:autoSpaceDN w:val="0"/>
              <w:adjustRightInd w:val="0"/>
              <w:spacing w:line="300" w:lineRule="atLeast"/>
              <w:rPr>
                <w:rFonts w:cs="Calibri"/>
              </w:rPr>
            </w:pPr>
            <w:r>
              <w:rPr>
                <w:sz w:val="24"/>
              </w:rPr>
              <w:t>Securities institutions</w:t>
            </w:r>
            <w:r>
              <w:rPr>
                <w:rFonts w:hint="eastAsia" w:ascii="宋体" w:cs="宋体"/>
                <w:sz w:val="24"/>
                <w:vertAlign w:val="superscript"/>
                <w:lang w:val="zh-CN"/>
              </w:rPr>
              <w:t>③</w:t>
            </w:r>
          </w:p>
        </w:tc>
        <w:tc>
          <w:tcPr>
            <w:tcW w:w="1530" w:type="dxa"/>
            <w:tcBorders>
              <w:top w:val="nil"/>
              <w:left w:val="nil"/>
              <w:bottom w:val="nil"/>
              <w:right w:val="single" w:color="008000" w:sz="2" w:space="0"/>
            </w:tcBorders>
            <w:shd w:val="clear" w:color="auto" w:fill="FFFFFF"/>
            <w:vAlign w:val="center"/>
          </w:tcPr>
          <w:p>
            <w:pPr>
              <w:jc w:val="center"/>
            </w:pPr>
            <w:r>
              <w:t>190,655</w:t>
            </w:r>
          </w:p>
        </w:tc>
        <w:tc>
          <w:tcPr>
            <w:tcW w:w="1237" w:type="dxa"/>
            <w:tcBorders>
              <w:top w:val="nil"/>
              <w:left w:val="nil"/>
              <w:bottom w:val="nil"/>
              <w:right w:val="single" w:color="008000" w:sz="2" w:space="0"/>
            </w:tcBorders>
            <w:shd w:val="clear" w:color="auto" w:fill="FFFFFF"/>
            <w:vAlign w:val="center"/>
          </w:tcPr>
          <w:p>
            <w:pPr>
              <w:jc w:val="center"/>
            </w:pPr>
            <w:r>
              <w:t>253,768</w:t>
            </w:r>
          </w:p>
        </w:tc>
        <w:tc>
          <w:tcPr>
            <w:tcW w:w="1462" w:type="dxa"/>
            <w:tcBorders>
              <w:top w:val="nil"/>
              <w:left w:val="nil"/>
              <w:bottom w:val="nil"/>
              <w:right w:val="single" w:color="008000" w:sz="2" w:space="0"/>
            </w:tcBorders>
            <w:shd w:val="clear" w:color="auto" w:fill="FFFFFF"/>
            <w:vAlign w:val="center"/>
          </w:tcPr>
          <w:p>
            <w:pPr>
              <w:jc w:val="center"/>
            </w:pPr>
            <w:r>
              <w:t>54,562</w:t>
            </w:r>
          </w:p>
        </w:tc>
        <w:tc>
          <w:tcPr>
            <w:tcW w:w="1465" w:type="dxa"/>
            <w:tcBorders>
              <w:top w:val="nil"/>
              <w:left w:val="nil"/>
              <w:bottom w:val="nil"/>
              <w:right w:val="nil"/>
            </w:tcBorders>
            <w:shd w:val="clear" w:color="auto" w:fill="FFFFFF"/>
            <w:vAlign w:val="center"/>
          </w:tcPr>
          <w:p>
            <w:pPr>
              <w:jc w:val="center"/>
            </w:pPr>
            <w:r>
              <w:t>83,589</w:t>
            </w:r>
          </w:p>
        </w:tc>
      </w:tr>
      <w:tr>
        <w:tblPrEx>
          <w:tblLayout w:type="fixed"/>
          <w:tblCellMar>
            <w:top w:w="0" w:type="dxa"/>
            <w:left w:w="0" w:type="dxa"/>
            <w:bottom w:w="0" w:type="dxa"/>
            <w:right w:w="0" w:type="dxa"/>
          </w:tblCellMar>
        </w:tblPrEx>
        <w:trPr>
          <w:trHeight w:val="369" w:hRule="atLeast"/>
          <w:jc w:val="center"/>
        </w:trPr>
        <w:tc>
          <w:tcPr>
            <w:tcW w:w="2789" w:type="dxa"/>
            <w:tcBorders>
              <w:top w:val="nil"/>
              <w:left w:val="nil"/>
              <w:bottom w:val="nil"/>
              <w:right w:val="single" w:color="008000" w:sz="2" w:space="0"/>
            </w:tcBorders>
            <w:shd w:val="clear" w:color="auto" w:fill="CCFFCC"/>
            <w:vAlign w:val="center"/>
          </w:tcPr>
          <w:p>
            <w:pPr>
              <w:autoSpaceDE w:val="0"/>
              <w:autoSpaceDN w:val="0"/>
              <w:adjustRightInd w:val="0"/>
              <w:spacing w:line="300" w:lineRule="atLeast"/>
              <w:rPr>
                <w:rFonts w:cs="Calibri"/>
              </w:rPr>
            </w:pPr>
            <w:r>
              <w:rPr>
                <w:sz w:val="24"/>
              </w:rPr>
              <w:t>Insurance institutions</w:t>
            </w:r>
            <w:r>
              <w:rPr>
                <w:rFonts w:hint="eastAsia" w:ascii="宋体" w:cs="宋体"/>
                <w:sz w:val="24"/>
                <w:vertAlign w:val="superscript"/>
                <w:lang w:val="zh-CN"/>
              </w:rPr>
              <w:t>④</w:t>
            </w:r>
          </w:p>
        </w:tc>
        <w:tc>
          <w:tcPr>
            <w:tcW w:w="1530" w:type="dxa"/>
            <w:tcBorders>
              <w:top w:val="nil"/>
              <w:left w:val="nil"/>
              <w:bottom w:val="nil"/>
              <w:right w:val="single" w:color="008000" w:sz="2" w:space="0"/>
            </w:tcBorders>
            <w:shd w:val="clear" w:color="auto" w:fill="CCFFCC"/>
            <w:vAlign w:val="center"/>
          </w:tcPr>
          <w:p>
            <w:pPr>
              <w:jc w:val="center"/>
            </w:pPr>
            <w:r>
              <w:t>-23,178</w:t>
            </w:r>
          </w:p>
        </w:tc>
        <w:tc>
          <w:tcPr>
            <w:tcW w:w="1237" w:type="dxa"/>
            <w:tcBorders>
              <w:top w:val="nil"/>
              <w:left w:val="nil"/>
              <w:bottom w:val="nil"/>
              <w:right w:val="single" w:color="008000" w:sz="2" w:space="0"/>
            </w:tcBorders>
            <w:shd w:val="clear" w:color="auto" w:fill="CCFFCC"/>
            <w:vAlign w:val="center"/>
          </w:tcPr>
          <w:p>
            <w:pPr>
              <w:jc w:val="center"/>
            </w:pPr>
            <w:r>
              <w:t>6,550</w:t>
            </w:r>
          </w:p>
        </w:tc>
        <w:tc>
          <w:tcPr>
            <w:tcW w:w="1462" w:type="dxa"/>
            <w:tcBorders>
              <w:top w:val="nil"/>
              <w:left w:val="nil"/>
              <w:bottom w:val="nil"/>
              <w:right w:val="single" w:color="008000" w:sz="2" w:space="0"/>
            </w:tcBorders>
            <w:shd w:val="clear" w:color="auto" w:fill="CCFFCC"/>
            <w:vAlign w:val="center"/>
          </w:tcPr>
          <w:p>
            <w:pPr>
              <w:jc w:val="center"/>
            </w:pPr>
            <w:r>
              <w:t>18</w:t>
            </w:r>
          </w:p>
        </w:tc>
        <w:tc>
          <w:tcPr>
            <w:tcW w:w="1465" w:type="dxa"/>
            <w:tcBorders>
              <w:top w:val="nil"/>
              <w:left w:val="nil"/>
              <w:bottom w:val="nil"/>
              <w:right w:val="nil"/>
            </w:tcBorders>
            <w:shd w:val="clear" w:color="auto" w:fill="CCFFCC"/>
            <w:vAlign w:val="center"/>
          </w:tcPr>
          <w:p>
            <w:pPr>
              <w:jc w:val="center"/>
            </w:pPr>
            <w:r>
              <w:t>20</w:t>
            </w:r>
          </w:p>
        </w:tc>
      </w:tr>
      <w:tr>
        <w:tblPrEx>
          <w:tblLayout w:type="fixed"/>
          <w:tblCellMar>
            <w:top w:w="0" w:type="dxa"/>
            <w:left w:w="0" w:type="dxa"/>
            <w:bottom w:w="0" w:type="dxa"/>
            <w:right w:w="0" w:type="dxa"/>
          </w:tblCellMar>
        </w:tblPrEx>
        <w:trPr>
          <w:trHeight w:val="369" w:hRule="atLeast"/>
          <w:jc w:val="center"/>
        </w:trPr>
        <w:tc>
          <w:tcPr>
            <w:tcW w:w="2789" w:type="dxa"/>
            <w:tcBorders>
              <w:top w:val="nil"/>
              <w:left w:val="nil"/>
              <w:bottom w:val="nil"/>
              <w:right w:val="single" w:color="008000" w:sz="2" w:space="0"/>
            </w:tcBorders>
            <w:shd w:val="clear" w:color="auto" w:fill="FFFFFF"/>
            <w:vAlign w:val="center"/>
          </w:tcPr>
          <w:p>
            <w:pPr>
              <w:tabs>
                <w:tab w:val="center" w:pos="4320"/>
                <w:tab w:val="right" w:pos="8640"/>
              </w:tabs>
              <w:autoSpaceDE w:val="0"/>
              <w:autoSpaceDN w:val="0"/>
              <w:adjustRightInd w:val="0"/>
              <w:spacing w:line="300" w:lineRule="atLeast"/>
              <w:rPr>
                <w:rFonts w:cs="Calibri"/>
              </w:rPr>
            </w:pPr>
            <w:r>
              <w:rPr>
                <w:sz w:val="24"/>
              </w:rPr>
              <w:t>Foreign-funded banks</w:t>
            </w:r>
          </w:p>
        </w:tc>
        <w:tc>
          <w:tcPr>
            <w:tcW w:w="1530" w:type="dxa"/>
            <w:tcBorders>
              <w:top w:val="nil"/>
              <w:left w:val="nil"/>
              <w:bottom w:val="nil"/>
              <w:right w:val="single" w:color="008000" w:sz="2" w:space="0"/>
            </w:tcBorders>
            <w:shd w:val="clear" w:color="auto" w:fill="FFFFFF"/>
            <w:vAlign w:val="center"/>
          </w:tcPr>
          <w:p>
            <w:pPr>
              <w:jc w:val="center"/>
            </w:pPr>
            <w:r>
              <w:t>31,198</w:t>
            </w:r>
          </w:p>
        </w:tc>
        <w:tc>
          <w:tcPr>
            <w:tcW w:w="1237" w:type="dxa"/>
            <w:tcBorders>
              <w:top w:val="nil"/>
              <w:left w:val="nil"/>
              <w:bottom w:val="nil"/>
              <w:right w:val="single" w:color="008000" w:sz="2" w:space="0"/>
            </w:tcBorders>
            <w:shd w:val="clear" w:color="auto" w:fill="FFFFFF"/>
            <w:vAlign w:val="center"/>
          </w:tcPr>
          <w:p>
            <w:pPr>
              <w:jc w:val="center"/>
            </w:pPr>
            <w:r>
              <w:t>45,490</w:t>
            </w:r>
          </w:p>
        </w:tc>
        <w:tc>
          <w:tcPr>
            <w:tcW w:w="1462" w:type="dxa"/>
            <w:tcBorders>
              <w:top w:val="nil"/>
              <w:left w:val="nil"/>
              <w:bottom w:val="nil"/>
              <w:right w:val="single" w:color="008000" w:sz="2" w:space="0"/>
            </w:tcBorders>
            <w:shd w:val="clear" w:color="auto" w:fill="FFFFFF"/>
            <w:vAlign w:val="center"/>
          </w:tcPr>
          <w:p>
            <w:pPr>
              <w:jc w:val="center"/>
            </w:pPr>
            <w:r>
              <w:t>4,444</w:t>
            </w:r>
          </w:p>
        </w:tc>
        <w:tc>
          <w:tcPr>
            <w:tcW w:w="1465" w:type="dxa"/>
            <w:tcBorders>
              <w:top w:val="nil"/>
              <w:left w:val="nil"/>
              <w:bottom w:val="nil"/>
              <w:right w:val="nil"/>
            </w:tcBorders>
            <w:shd w:val="clear" w:color="auto" w:fill="FFFFFF"/>
            <w:vAlign w:val="center"/>
          </w:tcPr>
          <w:p>
            <w:pPr>
              <w:jc w:val="center"/>
            </w:pPr>
            <w:r>
              <w:t>4,682</w:t>
            </w:r>
          </w:p>
        </w:tc>
      </w:tr>
      <w:tr>
        <w:tblPrEx>
          <w:tblLayout w:type="fixed"/>
          <w:tblCellMar>
            <w:top w:w="0" w:type="dxa"/>
            <w:left w:w="0" w:type="dxa"/>
            <w:bottom w:w="0" w:type="dxa"/>
            <w:right w:w="0" w:type="dxa"/>
          </w:tblCellMar>
        </w:tblPrEx>
        <w:trPr>
          <w:trHeight w:val="369" w:hRule="atLeast"/>
          <w:jc w:val="center"/>
        </w:trPr>
        <w:tc>
          <w:tcPr>
            <w:tcW w:w="2789" w:type="dxa"/>
            <w:tcBorders>
              <w:top w:val="nil"/>
              <w:left w:val="nil"/>
              <w:bottom w:val="single" w:color="008000" w:sz="8" w:space="0"/>
              <w:right w:val="single" w:color="008000" w:sz="2" w:space="0"/>
            </w:tcBorders>
            <w:shd w:val="clear" w:color="auto" w:fill="CCFFCC"/>
            <w:vAlign w:val="center"/>
          </w:tcPr>
          <w:p>
            <w:pPr>
              <w:tabs>
                <w:tab w:val="center" w:pos="4320"/>
                <w:tab w:val="right" w:pos="8640"/>
              </w:tabs>
              <w:autoSpaceDE w:val="0"/>
              <w:autoSpaceDN w:val="0"/>
              <w:adjustRightInd w:val="0"/>
              <w:spacing w:line="300" w:lineRule="atLeast"/>
              <w:rPr>
                <w:rFonts w:cs="Calibri"/>
              </w:rPr>
            </w:pPr>
            <w:r>
              <w:rPr>
                <w:sz w:val="24"/>
              </w:rPr>
              <w:t>Other financial institutions and vehicles</w:t>
            </w:r>
            <w:r>
              <w:rPr>
                <w:rFonts w:hint="eastAsia" w:ascii="宋体" w:cs="宋体"/>
                <w:sz w:val="24"/>
                <w:vertAlign w:val="superscript"/>
              </w:rPr>
              <w:t>⑤</w:t>
            </w:r>
          </w:p>
        </w:tc>
        <w:tc>
          <w:tcPr>
            <w:tcW w:w="1530" w:type="dxa"/>
            <w:tcBorders>
              <w:top w:val="nil"/>
              <w:left w:val="nil"/>
              <w:bottom w:val="single" w:color="339966" w:sz="8" w:space="0"/>
              <w:right w:val="single" w:color="008000" w:sz="2" w:space="0"/>
            </w:tcBorders>
            <w:shd w:val="clear" w:color="auto" w:fill="CCFFCC"/>
            <w:vAlign w:val="center"/>
          </w:tcPr>
          <w:p>
            <w:pPr>
              <w:jc w:val="center"/>
            </w:pPr>
            <w:r>
              <w:t>368,963</w:t>
            </w:r>
          </w:p>
        </w:tc>
        <w:tc>
          <w:tcPr>
            <w:tcW w:w="1237" w:type="dxa"/>
            <w:tcBorders>
              <w:top w:val="nil"/>
              <w:left w:val="nil"/>
              <w:bottom w:val="single" w:color="339966" w:sz="8" w:space="0"/>
              <w:right w:val="single" w:color="008000" w:sz="2" w:space="0"/>
            </w:tcBorders>
            <w:shd w:val="clear" w:color="auto" w:fill="CCFFCC"/>
            <w:vAlign w:val="center"/>
          </w:tcPr>
          <w:p>
            <w:pPr>
              <w:jc w:val="center"/>
            </w:pPr>
            <w:r>
              <w:t>554,151</w:t>
            </w:r>
          </w:p>
        </w:tc>
        <w:tc>
          <w:tcPr>
            <w:tcW w:w="1462" w:type="dxa"/>
            <w:tcBorders>
              <w:top w:val="nil"/>
              <w:left w:val="nil"/>
              <w:bottom w:val="single" w:color="339966" w:sz="8" w:space="0"/>
              <w:right w:val="single" w:color="008000" w:sz="2" w:space="0"/>
            </w:tcBorders>
            <w:shd w:val="clear" w:color="auto" w:fill="CCFFCC"/>
            <w:vAlign w:val="center"/>
          </w:tcPr>
          <w:p>
            <w:pPr>
              <w:jc w:val="center"/>
            </w:pPr>
            <w:r>
              <w:t>15,739</w:t>
            </w:r>
          </w:p>
        </w:tc>
        <w:tc>
          <w:tcPr>
            <w:tcW w:w="1465" w:type="dxa"/>
            <w:tcBorders>
              <w:top w:val="nil"/>
              <w:left w:val="nil"/>
              <w:bottom w:val="single" w:color="339966" w:sz="8" w:space="0"/>
              <w:right w:val="nil"/>
            </w:tcBorders>
            <w:shd w:val="clear" w:color="auto" w:fill="CCFFCC"/>
            <w:vAlign w:val="center"/>
          </w:tcPr>
          <w:p>
            <w:pPr>
              <w:jc w:val="center"/>
            </w:pPr>
            <w:r>
              <w:t>27,393</w:t>
            </w:r>
          </w:p>
        </w:tc>
      </w:tr>
    </w:tbl>
    <w:p>
      <w:pPr>
        <w:autoSpaceDE w:val="0"/>
        <w:autoSpaceDN w:val="0"/>
        <w:adjustRightInd w:val="0"/>
        <w:rPr>
          <w:sz w:val="24"/>
        </w:rPr>
      </w:pPr>
      <w:r>
        <w:rPr>
          <w:sz w:val="24"/>
        </w:rPr>
        <w:t>Notes</w:t>
      </w:r>
      <w:r>
        <w:rPr>
          <w:rFonts w:hint="eastAsia" w:ascii="宋体" w:cs="宋体"/>
          <w:sz w:val="24"/>
        </w:rPr>
        <w:t>：①</w:t>
      </w:r>
      <w:r>
        <w:rPr>
          <w:sz w:val="24"/>
        </w:rPr>
        <w:t xml:space="preserve"> Chinese-funded large banks are the Industrial and Commercial Bank of China, the Agricultural Bank of China, the Bank of China, the China Construction Bank, the China Development Bank, the Bank of Communications, and the Postal Savings Bank of China. </w:t>
      </w:r>
    </w:p>
    <w:p>
      <w:pPr>
        <w:autoSpaceDE w:val="0"/>
        <w:autoSpaceDN w:val="0"/>
        <w:adjustRightInd w:val="0"/>
        <w:rPr>
          <w:sz w:val="24"/>
        </w:rPr>
      </w:pPr>
      <w:r>
        <w:rPr>
          <w:rFonts w:hint="eastAsia" w:ascii="宋体" w:cs="宋体"/>
          <w:sz w:val="24"/>
        </w:rPr>
        <w:t>②</w:t>
      </w:r>
      <w:r>
        <w:rPr>
          <w:sz w:val="24"/>
        </w:rPr>
        <w:t xml:space="preserve"> Chinese-funded small- and medium-sized banks refer to the China Merchants Bank and sixteen other medium-sized banks, small-sized city commercial banks, rural commercial banks, rural cooperative banks, and village and township banks. </w:t>
      </w:r>
    </w:p>
    <w:p>
      <w:pPr>
        <w:autoSpaceDE w:val="0"/>
        <w:autoSpaceDN w:val="0"/>
        <w:adjustRightInd w:val="0"/>
        <w:rPr>
          <w:sz w:val="24"/>
        </w:rPr>
      </w:pPr>
      <w:r>
        <w:rPr>
          <w:rFonts w:hint="eastAsia" w:ascii="宋体" w:cs="宋体"/>
          <w:sz w:val="24"/>
        </w:rPr>
        <w:t>③</w:t>
      </w:r>
      <w:r>
        <w:rPr>
          <w:sz w:val="24"/>
        </w:rPr>
        <w:t xml:space="preserve"> Securities institutions include securities firms and </w:t>
      </w:r>
      <w:r>
        <w:rPr>
          <w:rFonts w:hint="eastAsia"/>
          <w:sz w:val="24"/>
        </w:rPr>
        <w:t>asset</w:t>
      </w:r>
      <w:r>
        <w:rPr>
          <w:sz w:val="24"/>
        </w:rPr>
        <w:t xml:space="preserve"> management companies. </w:t>
      </w:r>
    </w:p>
    <w:p>
      <w:pPr>
        <w:autoSpaceDE w:val="0"/>
        <w:autoSpaceDN w:val="0"/>
        <w:adjustRightInd w:val="0"/>
        <w:rPr>
          <w:sz w:val="24"/>
        </w:rPr>
      </w:pPr>
      <w:r>
        <w:rPr>
          <w:rFonts w:hint="eastAsia" w:ascii="宋体" w:cs="宋体"/>
          <w:sz w:val="24"/>
        </w:rPr>
        <w:t>④</w:t>
      </w:r>
      <w:r>
        <w:rPr>
          <w:sz w:val="24"/>
        </w:rPr>
        <w:t xml:space="preserve"> Insurance institutions include insurance firms and corporate annuities. </w:t>
      </w:r>
    </w:p>
    <w:p>
      <w:pPr>
        <w:autoSpaceDE w:val="0"/>
        <w:autoSpaceDN w:val="0"/>
        <w:adjustRightInd w:val="0"/>
        <w:rPr>
          <w:sz w:val="24"/>
        </w:rPr>
      </w:pPr>
      <w:r>
        <w:rPr>
          <w:rFonts w:hint="eastAsia" w:ascii="宋体" w:cs="宋体"/>
          <w:sz w:val="24"/>
        </w:rPr>
        <w:t>⑤</w:t>
      </w:r>
      <w:r>
        <w:rPr>
          <w:sz w:val="24"/>
        </w:rPr>
        <w:t xml:space="preserve"> Other financial institutions and vehicles include urban credit cooperatives, rural credit cooperatives, finance companies, trust and investment companies, financial leasing companies, asset-management companies, social-security funds, </w:t>
      </w:r>
      <w:r>
        <w:rPr>
          <w:rFonts w:hint="eastAsia"/>
          <w:sz w:val="24"/>
        </w:rPr>
        <w:t xml:space="preserve">mutual </w:t>
      </w:r>
      <w:r>
        <w:rPr>
          <w:sz w:val="24"/>
        </w:rPr>
        <w:t xml:space="preserve">funds, wealth management products, trust plans, and other investment vehicles. Some of these financial institutions and vehicles do not participate in the inter-bank lending market. </w:t>
      </w:r>
    </w:p>
    <w:p>
      <w:pPr>
        <w:autoSpaceDE w:val="0"/>
        <w:autoSpaceDN w:val="0"/>
        <w:adjustRightInd w:val="0"/>
        <w:rPr>
          <w:sz w:val="24"/>
        </w:rPr>
      </w:pPr>
      <w:r>
        <w:rPr>
          <w:rFonts w:hint="eastAsia" w:ascii="宋体" w:cs="宋体"/>
          <w:sz w:val="24"/>
        </w:rPr>
        <w:t>⑥</w:t>
      </w:r>
      <w:r>
        <w:rPr>
          <w:sz w:val="24"/>
        </w:rPr>
        <w:t xml:space="preserve"> A negative sign indicates net lending and a positive sign indicates net borrowing. </w:t>
      </w:r>
    </w:p>
    <w:p>
      <w:pPr>
        <w:autoSpaceDE w:val="0"/>
        <w:autoSpaceDN w:val="0"/>
        <w:adjustRightInd w:val="0"/>
        <w:rPr>
          <w:b/>
          <w:bCs/>
          <w:sz w:val="24"/>
        </w:rPr>
      </w:pPr>
      <w:r>
        <w:rPr>
          <w:sz w:val="24"/>
        </w:rPr>
        <w:t xml:space="preserve">Source: China Foreign Exchange Trade System </w:t>
      </w:r>
    </w:p>
    <w:p>
      <w:pPr>
        <w:autoSpaceDE w:val="0"/>
        <w:autoSpaceDN w:val="0"/>
        <w:adjustRightInd w:val="0"/>
        <w:snapToGrid w:val="0"/>
        <w:ind w:firstLine="480"/>
        <w:rPr>
          <w:rFonts w:eastAsia="楷体_GB2312"/>
          <w:kern w:val="0"/>
          <w:sz w:val="24"/>
        </w:rPr>
      </w:pPr>
    </w:p>
    <w:p>
      <w:pPr>
        <w:autoSpaceDE w:val="0"/>
        <w:autoSpaceDN w:val="0"/>
        <w:adjustRightInd w:val="0"/>
        <w:rPr>
          <w:kern w:val="0"/>
          <w:sz w:val="24"/>
        </w:rPr>
      </w:pPr>
      <w:r>
        <w:rPr>
          <w:kern w:val="0"/>
          <w:sz w:val="24"/>
        </w:rPr>
        <w:t xml:space="preserve">In terms of financing among financial institutions, the flow of funds displayed the following characteristics. First, both Chinese-funded large banks and insurance institutions were net </w:t>
      </w:r>
      <w:r>
        <w:rPr>
          <w:rFonts w:hint="eastAsia"/>
          <w:kern w:val="0"/>
          <w:sz w:val="24"/>
        </w:rPr>
        <w:t>len</w:t>
      </w:r>
      <w:r>
        <w:rPr>
          <w:kern w:val="0"/>
          <w:sz w:val="24"/>
        </w:rPr>
        <w:t>ders. Specifically, net lending by large banks through repos and inter-bank lending totaled RMB 75.6 trillion in H1, whereas insurance institutions have been net lenders since Q3 2016, with net lending through repos and inter-bank lending amounting to RMB 2.3 trillion in H1. Second, other financial institutions and vehicles and securities institutions were the main net borrowers. In particular, net borrowing by other financial institutions and vehicles totaled RMB 38.5 trillion in H1, accounting for 49.4 percent of the total amount of net borrowing, 1.9 percentage points more than that in Q1; net borrowing by securities institutions posted RMB 24.5 trillion in H1, accounting for 31.5 percent of the total amount of net borrowing, 1.7 percentage points higher than that in Q1.</w:t>
      </w:r>
    </w:p>
    <w:p>
      <w:pPr>
        <w:autoSpaceDE w:val="0"/>
        <w:autoSpaceDN w:val="0"/>
        <w:adjustRightInd w:val="0"/>
        <w:rPr>
          <w:kern w:val="0"/>
          <w:sz w:val="24"/>
        </w:rPr>
      </w:pPr>
    </w:p>
    <w:p>
      <w:pPr>
        <w:autoSpaceDE w:val="0"/>
        <w:autoSpaceDN w:val="0"/>
        <w:adjustRightInd w:val="0"/>
        <w:rPr>
          <w:kern w:val="0"/>
          <w:sz w:val="24"/>
        </w:rPr>
      </w:pPr>
      <w:r>
        <w:rPr>
          <w:kern w:val="0"/>
          <w:sz w:val="24"/>
        </w:rPr>
        <w:t xml:space="preserve">Interest-rate swap trading was brisk. In H1, 61,192 RMB interest-rate swap deals were reached, an increase of 50.0 percent year on year, with the notional principal volume totaling RMB 5,534.38 billion, an increase of 26.7 percent year on year. In terms of the maturity structure, contracts with maturities of up to one year traded most briskly and the volume of their aggregate notional principal posted RMB 4,198.20 billion, accounting for 75.9 percent of the total. In terms of the reference rates, the 7-day fixing repo rate and the Shibor are the two major floating reference rates for RMB interest-rate swap transactions. The notional principal of the interest swaps </w:t>
      </w:r>
      <w:r>
        <w:rPr>
          <w:rFonts w:hint="eastAsia"/>
          <w:kern w:val="0"/>
          <w:sz w:val="24"/>
        </w:rPr>
        <w:t>with</w:t>
      </w:r>
      <w:r>
        <w:rPr>
          <w:kern w:val="0"/>
          <w:sz w:val="24"/>
        </w:rPr>
        <w:t xml:space="preserve"> the two reference rates as benchmarks accounted for 88.9 percent and 10.9 percent of the total respectively.</w:t>
      </w:r>
    </w:p>
    <w:p>
      <w:pPr>
        <w:autoSpaceDE w:val="0"/>
        <w:autoSpaceDN w:val="0"/>
        <w:adjustRightInd w:val="0"/>
        <w:rPr>
          <w:b/>
          <w:kern w:val="0"/>
          <w:sz w:val="24"/>
        </w:rPr>
      </w:pPr>
    </w:p>
    <w:p>
      <w:pPr>
        <w:pStyle w:val="4"/>
        <w:jc w:val="center"/>
        <w:rPr>
          <w:rFonts w:ascii="Times New Roman" w:hAnsi="Times New Roman" w:cs="Times New Roman"/>
          <w:b/>
          <w:sz w:val="24"/>
          <w:szCs w:val="24"/>
        </w:rPr>
      </w:pPr>
      <w:bookmarkStart w:id="101" w:name="_Toc492909032"/>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10</w:t>
      </w:r>
      <w:r>
        <w:rPr>
          <w:rFonts w:ascii="Times New Roman" w:hAnsi="Times New Roman" w:cs="Times New Roman"/>
          <w:b/>
          <w:sz w:val="24"/>
          <w:szCs w:val="24"/>
        </w:rPr>
        <w:fldChar w:fldCharType="end"/>
      </w:r>
      <w:r>
        <w:rPr>
          <w:rFonts w:ascii="Times New Roman" w:hAnsi="Times New Roman" w:cs="Times New Roman"/>
          <w:b/>
          <w:bCs/>
          <w:sz w:val="24"/>
          <w:szCs w:val="24"/>
        </w:rPr>
        <w:t xml:space="preserve"> Transactions of Interest-Rate Swaps in H1 2017</w:t>
      </w:r>
      <w:bookmarkEnd w:id="101"/>
    </w:p>
    <w:tbl>
      <w:tblPr>
        <w:tblStyle w:val="20"/>
        <w:tblW w:w="8332" w:type="dxa"/>
        <w:jc w:val="center"/>
        <w:tblInd w:w="0" w:type="dxa"/>
        <w:tblLayout w:type="fixed"/>
        <w:tblCellMar>
          <w:top w:w="0" w:type="dxa"/>
          <w:left w:w="12" w:type="dxa"/>
          <w:bottom w:w="0" w:type="dxa"/>
          <w:right w:w="12" w:type="dxa"/>
        </w:tblCellMar>
      </w:tblPr>
      <w:tblGrid>
        <w:gridCol w:w="1147"/>
        <w:gridCol w:w="2410"/>
        <w:gridCol w:w="4775"/>
      </w:tblGrid>
      <w:tr>
        <w:tblPrEx>
          <w:tblLayout w:type="fixed"/>
          <w:tblCellMar>
            <w:top w:w="0" w:type="dxa"/>
            <w:left w:w="12" w:type="dxa"/>
            <w:bottom w:w="0" w:type="dxa"/>
            <w:right w:w="12" w:type="dxa"/>
          </w:tblCellMar>
        </w:tblPrEx>
        <w:trPr>
          <w:trHeight w:val="340" w:hRule="atLeast"/>
          <w:jc w:val="center"/>
        </w:trPr>
        <w:tc>
          <w:tcPr>
            <w:tcW w:w="1147" w:type="dxa"/>
            <w:tcBorders>
              <w:top w:val="single" w:color="339966" w:sz="8" w:space="0"/>
              <w:left w:val="nil"/>
              <w:bottom w:val="single" w:color="339966" w:sz="2" w:space="0"/>
              <w:right w:val="single" w:color="339966" w:sz="2" w:space="0"/>
            </w:tcBorders>
            <w:shd w:val="clear" w:color="auto" w:fill="CCFFCC"/>
            <w:vAlign w:val="center"/>
          </w:tcPr>
          <w:p>
            <w:pPr>
              <w:keepNext/>
              <w:keepLines/>
              <w:autoSpaceDE w:val="0"/>
              <w:autoSpaceDN w:val="0"/>
              <w:adjustRightInd w:val="0"/>
              <w:jc w:val="center"/>
              <w:rPr>
                <w:rFonts w:cs="Calibri"/>
              </w:rPr>
            </w:pPr>
          </w:p>
        </w:tc>
        <w:tc>
          <w:tcPr>
            <w:tcW w:w="2410" w:type="dxa"/>
            <w:tcBorders>
              <w:top w:val="single" w:color="339966" w:sz="4" w:space="0"/>
              <w:left w:val="single" w:color="339966" w:sz="2" w:space="0"/>
              <w:bottom w:val="single" w:color="339966" w:sz="2" w:space="0"/>
              <w:right w:val="single" w:color="339966" w:sz="2" w:space="0"/>
            </w:tcBorders>
            <w:shd w:val="clear" w:color="auto" w:fill="CCFFCC"/>
            <w:vAlign w:val="center"/>
          </w:tcPr>
          <w:p>
            <w:pPr>
              <w:autoSpaceDE w:val="0"/>
              <w:autoSpaceDN w:val="0"/>
              <w:adjustRightInd w:val="0"/>
              <w:jc w:val="center"/>
              <w:rPr>
                <w:rFonts w:cs="Calibri"/>
              </w:rPr>
            </w:pPr>
            <w:r>
              <w:rPr>
                <w:szCs w:val="21"/>
              </w:rPr>
              <w:t>Transactions (lots)</w:t>
            </w:r>
          </w:p>
        </w:tc>
        <w:tc>
          <w:tcPr>
            <w:tcW w:w="4775" w:type="dxa"/>
            <w:tcBorders>
              <w:top w:val="single" w:color="339966" w:sz="4" w:space="0"/>
              <w:left w:val="single" w:color="339966" w:sz="2" w:space="0"/>
              <w:bottom w:val="single" w:color="339966" w:sz="2" w:space="0"/>
              <w:right w:val="single" w:color="339966" w:sz="2" w:space="0"/>
            </w:tcBorders>
            <w:shd w:val="clear" w:color="auto" w:fill="CCFFCC"/>
            <w:vAlign w:val="center"/>
          </w:tcPr>
          <w:p>
            <w:pPr>
              <w:autoSpaceDE w:val="0"/>
              <w:autoSpaceDN w:val="0"/>
              <w:adjustRightInd w:val="0"/>
              <w:jc w:val="center"/>
              <w:rPr>
                <w:rFonts w:cs="Calibri"/>
              </w:rPr>
            </w:pPr>
            <w:r>
              <w:rPr>
                <w:szCs w:val="21"/>
              </w:rPr>
              <w:t>Amount of the notional principal (RMB 100 million)</w:t>
            </w:r>
          </w:p>
        </w:tc>
      </w:tr>
      <w:tr>
        <w:tblPrEx>
          <w:tblLayout w:type="fixed"/>
          <w:tblCellMar>
            <w:top w:w="0" w:type="dxa"/>
            <w:left w:w="12" w:type="dxa"/>
            <w:bottom w:w="0" w:type="dxa"/>
            <w:right w:w="12" w:type="dxa"/>
          </w:tblCellMar>
        </w:tblPrEx>
        <w:trPr>
          <w:trHeight w:val="340" w:hRule="atLeast"/>
          <w:jc w:val="center"/>
        </w:trPr>
        <w:tc>
          <w:tcPr>
            <w:tcW w:w="1147" w:type="dxa"/>
            <w:tcBorders>
              <w:top w:val="single" w:color="339966" w:sz="2" w:space="0"/>
              <w:left w:val="nil"/>
              <w:bottom w:val="single" w:color="339966" w:sz="2" w:space="0"/>
              <w:right w:val="single" w:color="339966" w:sz="2" w:space="0"/>
            </w:tcBorders>
            <w:shd w:val="clear" w:color="000000" w:fill="FFFFFF"/>
            <w:vAlign w:val="center"/>
          </w:tcPr>
          <w:p>
            <w:pPr>
              <w:autoSpaceDE w:val="0"/>
              <w:autoSpaceDN w:val="0"/>
              <w:adjustRightInd w:val="0"/>
              <w:jc w:val="center"/>
              <w:rPr>
                <w:rFonts w:cs="Calibri"/>
              </w:rPr>
            </w:pPr>
            <w:r>
              <w:rPr>
                <w:szCs w:val="21"/>
              </w:rPr>
              <w:t>H1 2017</w:t>
            </w:r>
          </w:p>
        </w:tc>
        <w:tc>
          <w:tcPr>
            <w:tcW w:w="2410" w:type="dxa"/>
            <w:tcBorders>
              <w:top w:val="single" w:color="339966" w:sz="2" w:space="0"/>
              <w:left w:val="single" w:color="339966" w:sz="2" w:space="0"/>
              <w:bottom w:val="single" w:color="339966" w:sz="2" w:space="0"/>
              <w:right w:val="single" w:color="339966" w:sz="2" w:space="0"/>
            </w:tcBorders>
            <w:shd w:val="clear" w:color="000000" w:fill="FFFFFF"/>
            <w:vAlign w:val="center"/>
          </w:tcPr>
          <w:p>
            <w:pPr>
              <w:autoSpaceDE w:val="0"/>
              <w:autoSpaceDN w:val="0"/>
              <w:adjustRightInd w:val="0"/>
              <w:ind w:left="1260" w:hanging="1260"/>
              <w:jc w:val="center"/>
              <w:rPr>
                <w:szCs w:val="21"/>
              </w:rPr>
            </w:pPr>
            <w:r>
              <w:rPr>
                <w:szCs w:val="21"/>
              </w:rPr>
              <w:t>61,192</w:t>
            </w:r>
          </w:p>
        </w:tc>
        <w:tc>
          <w:tcPr>
            <w:tcW w:w="4775" w:type="dxa"/>
            <w:tcBorders>
              <w:top w:val="single" w:color="339966" w:sz="2" w:space="0"/>
              <w:left w:val="single" w:color="339966" w:sz="2" w:space="0"/>
              <w:bottom w:val="single" w:color="339966" w:sz="2" w:space="0"/>
              <w:right w:val="single" w:color="339966" w:sz="2" w:space="0"/>
            </w:tcBorders>
            <w:shd w:val="clear" w:color="000000" w:fill="FFFFFF"/>
            <w:vAlign w:val="center"/>
          </w:tcPr>
          <w:p>
            <w:pPr>
              <w:autoSpaceDE w:val="0"/>
              <w:autoSpaceDN w:val="0"/>
              <w:adjustRightInd w:val="0"/>
              <w:ind w:left="1260" w:hanging="1260"/>
              <w:jc w:val="center"/>
              <w:rPr>
                <w:szCs w:val="21"/>
              </w:rPr>
            </w:pPr>
            <w:r>
              <w:rPr>
                <w:szCs w:val="21"/>
              </w:rPr>
              <w:t>55,343.8</w:t>
            </w:r>
          </w:p>
        </w:tc>
      </w:tr>
      <w:tr>
        <w:tblPrEx>
          <w:tblLayout w:type="fixed"/>
          <w:tblCellMar>
            <w:top w:w="0" w:type="dxa"/>
            <w:left w:w="12" w:type="dxa"/>
            <w:bottom w:w="0" w:type="dxa"/>
            <w:right w:w="12" w:type="dxa"/>
          </w:tblCellMar>
        </w:tblPrEx>
        <w:trPr>
          <w:trHeight w:val="340" w:hRule="atLeast"/>
          <w:jc w:val="center"/>
        </w:trPr>
        <w:tc>
          <w:tcPr>
            <w:tcW w:w="1147" w:type="dxa"/>
            <w:tcBorders>
              <w:top w:val="single" w:color="339966" w:sz="2" w:space="0"/>
              <w:left w:val="nil"/>
              <w:bottom w:val="single" w:color="339966" w:sz="8" w:space="0"/>
              <w:right w:val="single" w:color="339966" w:sz="2" w:space="0"/>
            </w:tcBorders>
            <w:shd w:val="clear" w:color="auto" w:fill="CCFFCC"/>
            <w:vAlign w:val="center"/>
          </w:tcPr>
          <w:p>
            <w:pPr>
              <w:autoSpaceDE w:val="0"/>
              <w:autoSpaceDN w:val="0"/>
              <w:adjustRightInd w:val="0"/>
              <w:jc w:val="center"/>
              <w:rPr>
                <w:rFonts w:cs="Calibri"/>
              </w:rPr>
            </w:pPr>
            <w:r>
              <w:rPr>
                <w:szCs w:val="21"/>
              </w:rPr>
              <w:t>H1 2016</w:t>
            </w:r>
          </w:p>
        </w:tc>
        <w:tc>
          <w:tcPr>
            <w:tcW w:w="2410" w:type="dxa"/>
            <w:tcBorders>
              <w:top w:val="single" w:color="339966" w:sz="2" w:space="0"/>
              <w:left w:val="single" w:color="339966" w:sz="2" w:space="0"/>
              <w:bottom w:val="single" w:color="339966" w:sz="8" w:space="0"/>
              <w:right w:val="single" w:color="339966" w:sz="2" w:space="0"/>
            </w:tcBorders>
            <w:shd w:val="clear" w:color="auto" w:fill="CCFFCC"/>
            <w:vAlign w:val="center"/>
          </w:tcPr>
          <w:p>
            <w:pPr>
              <w:autoSpaceDE w:val="0"/>
              <w:autoSpaceDN w:val="0"/>
              <w:adjustRightInd w:val="0"/>
              <w:ind w:left="1260" w:hanging="1260"/>
              <w:jc w:val="center"/>
              <w:rPr>
                <w:szCs w:val="21"/>
              </w:rPr>
            </w:pPr>
            <w:r>
              <w:rPr>
                <w:szCs w:val="21"/>
              </w:rPr>
              <w:t>40,795</w:t>
            </w:r>
          </w:p>
        </w:tc>
        <w:tc>
          <w:tcPr>
            <w:tcW w:w="4775" w:type="dxa"/>
            <w:tcBorders>
              <w:top w:val="single" w:color="339966" w:sz="2" w:space="0"/>
              <w:left w:val="single" w:color="339966" w:sz="2" w:space="0"/>
              <w:bottom w:val="single" w:color="339966" w:sz="8" w:space="0"/>
              <w:right w:val="single" w:color="339966" w:sz="2" w:space="0"/>
            </w:tcBorders>
            <w:shd w:val="clear" w:color="auto" w:fill="CCFFCC"/>
            <w:vAlign w:val="center"/>
          </w:tcPr>
          <w:p>
            <w:pPr>
              <w:autoSpaceDE w:val="0"/>
              <w:autoSpaceDN w:val="0"/>
              <w:adjustRightInd w:val="0"/>
              <w:ind w:left="1260" w:hanging="1260"/>
              <w:jc w:val="center"/>
              <w:rPr>
                <w:szCs w:val="21"/>
              </w:rPr>
            </w:pPr>
            <w:r>
              <w:rPr>
                <w:szCs w:val="21"/>
              </w:rPr>
              <w:t>43,693.5</w:t>
            </w:r>
          </w:p>
        </w:tc>
      </w:tr>
    </w:tbl>
    <w:p>
      <w:pPr>
        <w:autoSpaceDE w:val="0"/>
        <w:autoSpaceDN w:val="0"/>
        <w:adjustRightInd w:val="0"/>
        <w:rPr>
          <w:sz w:val="24"/>
        </w:rPr>
      </w:pPr>
      <w:r>
        <w:rPr>
          <w:sz w:val="24"/>
        </w:rPr>
        <w:t xml:space="preserve">Source: China Foreign Exchange Trade System </w:t>
      </w:r>
    </w:p>
    <w:p>
      <w:pPr>
        <w:autoSpaceDE w:val="0"/>
        <w:autoSpaceDN w:val="0"/>
        <w:adjustRightInd w:val="0"/>
        <w:rPr>
          <w:kern w:val="0"/>
          <w:sz w:val="24"/>
        </w:rPr>
      </w:pPr>
    </w:p>
    <w:p>
      <w:pPr>
        <w:autoSpaceDE w:val="0"/>
        <w:autoSpaceDN w:val="0"/>
        <w:adjustRightInd w:val="0"/>
        <w:rPr>
          <w:kern w:val="0"/>
          <w:sz w:val="24"/>
        </w:rPr>
      </w:pPr>
      <w:r>
        <w:rPr>
          <w:kern w:val="0"/>
          <w:sz w:val="24"/>
        </w:rPr>
        <w:t xml:space="preserve">Growth of the </w:t>
      </w:r>
      <w:r>
        <w:rPr>
          <w:rFonts w:hint="eastAsia"/>
          <w:kern w:val="0"/>
          <w:sz w:val="24"/>
        </w:rPr>
        <w:t xml:space="preserve">inter-bank </w:t>
      </w:r>
      <w:r>
        <w:rPr>
          <w:kern w:val="0"/>
          <w:sz w:val="24"/>
        </w:rPr>
        <w:t xml:space="preserve">CD market leveled off and the CD business made further progress. By end-June, 527 financial institutions had disclosed their annual </w:t>
      </w:r>
      <w:r>
        <w:rPr>
          <w:rFonts w:hint="eastAsia"/>
          <w:kern w:val="0"/>
          <w:sz w:val="24"/>
        </w:rPr>
        <w:t xml:space="preserve">CD </w:t>
      </w:r>
      <w:r>
        <w:rPr>
          <w:kern w:val="0"/>
          <w:sz w:val="24"/>
        </w:rPr>
        <w:t xml:space="preserve">issuance plans for 2017, among which 377 had already completed their issuances on the inter-bank market. In H1, a total of 12,600 inter-bank CDs were issued on the inter-bank market, raising RMB 9.52 trillion. Trading volume on the secondary market totaled RMB 47.17 trillion. In Q2, CD issuances registered a total of RMB 4.53 trillion, a decline of RMB 0.46 </w:t>
      </w:r>
      <w:r>
        <w:rPr>
          <w:rFonts w:hint="eastAsia"/>
          <w:kern w:val="0"/>
          <w:sz w:val="24"/>
        </w:rPr>
        <w:t>trillion</w:t>
      </w:r>
      <w:r>
        <w:rPr>
          <w:kern w:val="0"/>
          <w:sz w:val="24"/>
        </w:rPr>
        <w:t xml:space="preserve"> from Q1. Both the issuances and trading of CDs were priced based on the Shibor, and the correlation between the issuance interest rates and the medium- and long-end Shibor remained strong. In June, the average weighted issuance interest rate of 3-month inter-bank CDs was 4.88 percent, 21 basis points higher than that of the 3-month Shibor. In H1, a total of 11,400 CDs was issued by financial institutions, raising RMB 3.12 trillion, an increase of RMB 0.43 trillion year on year. </w:t>
      </w:r>
    </w:p>
    <w:p>
      <w:pPr>
        <w:autoSpaceDE w:val="0"/>
        <w:autoSpaceDN w:val="0"/>
        <w:adjustRightInd w:val="0"/>
        <w:rPr>
          <w:kern w:val="0"/>
          <w:sz w:val="24"/>
        </w:rPr>
      </w:pPr>
    </w:p>
    <w:p>
      <w:pPr>
        <w:autoSpaceDE w:val="0"/>
        <w:autoSpaceDN w:val="0"/>
        <w:adjustRightInd w:val="0"/>
        <w:rPr>
          <w:kern w:val="0"/>
          <w:sz w:val="24"/>
        </w:rPr>
      </w:pPr>
      <w:r>
        <w:rPr>
          <w:kern w:val="0"/>
          <w:sz w:val="24"/>
        </w:rPr>
        <w:t xml:space="preserve">Money-market interest rates </w:t>
      </w:r>
      <w:r>
        <w:rPr>
          <w:rFonts w:hint="eastAsia"/>
          <w:kern w:val="0"/>
          <w:sz w:val="24"/>
        </w:rPr>
        <w:t>moved up</w:t>
      </w:r>
      <w:r>
        <w:rPr>
          <w:kern w:val="0"/>
          <w:sz w:val="24"/>
        </w:rPr>
        <w:t xml:space="preserve">. As financial institutions </w:t>
      </w:r>
      <w:r>
        <w:rPr>
          <w:rFonts w:hint="eastAsia"/>
          <w:kern w:val="0"/>
          <w:sz w:val="24"/>
        </w:rPr>
        <w:t>took</w:t>
      </w:r>
      <w:r>
        <w:rPr>
          <w:kern w:val="0"/>
          <w:sz w:val="24"/>
        </w:rPr>
        <w:t xml:space="preserve"> an</w:t>
      </w:r>
      <w:r>
        <w:rPr>
          <w:rFonts w:hint="eastAsia"/>
          <w:kern w:val="0"/>
          <w:sz w:val="24"/>
        </w:rPr>
        <w:t xml:space="preserve"> initiative to</w:t>
      </w:r>
      <w:r>
        <w:rPr>
          <w:kern w:val="0"/>
          <w:sz w:val="24"/>
        </w:rPr>
        <w:t xml:space="preserve"> adjust assets and liabilities, in late March activities in the inter-bank market began to decline, pushing up the interest rates. In May, market interest</w:t>
      </w:r>
      <w:r>
        <w:rPr>
          <w:rFonts w:hint="eastAsia"/>
          <w:kern w:val="0"/>
          <w:sz w:val="24"/>
        </w:rPr>
        <w:t xml:space="preserve"> rates</w:t>
      </w:r>
      <w:r>
        <w:rPr>
          <w:kern w:val="0"/>
          <w:sz w:val="24"/>
        </w:rPr>
        <w:t xml:space="preserve"> declined as expectations stabilized. In June, the weighted average interest rate of inter-bank lending was 2.94 percent, up 32 and 50 basis points respectively from March 2017 and December 2016; the weighted average interest rate of pledged repos reached 3.03 percent, up 19 and 47 basis points respectively from March 2017 and December 2016. In June, the weighted average interest rate of repos among deposit-taking institutions with rate securities as pledges was 2.83 percent, 20 basis points lower than the weighted average interest rate of pledged repos in the inter-bank market. Shibor rates </w:t>
      </w:r>
      <w:r>
        <w:rPr>
          <w:rFonts w:hint="eastAsia"/>
          <w:kern w:val="0"/>
          <w:sz w:val="24"/>
        </w:rPr>
        <w:t xml:space="preserve">were </w:t>
      </w:r>
      <w:r>
        <w:rPr>
          <w:kern w:val="0"/>
          <w:sz w:val="24"/>
        </w:rPr>
        <w:t>up. At end-June, the overnight and 7-day Shibor posted 2.62 percent and 2.85 percent respectively, up 39 and 30 basis points from end-2016. The 3-month and 1-year Shibor posted 4.5 percent and 4.42 percent respectively, up 123 and 105 basis points from end-2016.</w:t>
      </w:r>
    </w:p>
    <w:p>
      <w:pPr>
        <w:autoSpaceDE w:val="0"/>
        <w:autoSpaceDN w:val="0"/>
        <w:adjustRightInd w:val="0"/>
        <w:rPr>
          <w:kern w:val="0"/>
          <w:sz w:val="24"/>
        </w:rPr>
      </w:pPr>
    </w:p>
    <w:p>
      <w:pPr>
        <w:rPr>
          <w:b/>
          <w:sz w:val="24"/>
        </w:rPr>
      </w:pPr>
      <w:r>
        <w:rPr>
          <w:rFonts w:hint="eastAsia"/>
          <w:b/>
          <w:sz w:val="24"/>
        </w:rPr>
        <w:t>2.</w:t>
      </w:r>
      <w:r>
        <w:rPr>
          <w:b/>
          <w:sz w:val="24"/>
        </w:rPr>
        <w:t>The bond market yield curve flattened and shifted upward, and the trading volume and issuance of spot bonds declined</w:t>
      </w:r>
    </w:p>
    <w:p>
      <w:pPr>
        <w:autoSpaceDE w:val="0"/>
        <w:autoSpaceDN w:val="0"/>
        <w:adjustRightInd w:val="0"/>
        <w:rPr>
          <w:kern w:val="0"/>
          <w:sz w:val="24"/>
        </w:rPr>
      </w:pPr>
      <w:r>
        <w:rPr>
          <w:kern w:val="0"/>
          <w:sz w:val="24"/>
        </w:rPr>
        <w:t>In H1, institutions tended to issue and trade more cautiously. The volume of spot bond trading on the inter-bank market posted RMB 44.6 trillion, representing an average daily turnover of RMB 362.3 billion and a decrease of 21.9 percent year on year. With respect to the trading entities, Chinese-funded small- and medium-sized banks and securities institutions were net bond sellers, with their net sales totaling RMB 2.2 trillion; other financial institutions and vehicles were net bond buyers, with their net purchases totaling RMB 1.7 trillion. In terms of products, a total of RMB 4.8 trillion of spot government bonds was traded, accounting for 10.9 percent of the total spot bond transactions on the inter-bank market; turnovers of spot financial bonds and corporate debenture bonds were RMB 30.6 trillion and RMB 8.7 trillion, respectively, accounting for 68.6 percent and 19.4 percent, respectively, of the total spot bond transactions on the inter-bank market. Separately, the volume of spot bond trading on the stock exchanges totaled RMB 2.6 trillion, an increase of 19.7 percent year on year.</w:t>
      </w:r>
      <w:bookmarkStart w:id="102" w:name="OLE_LINK4"/>
    </w:p>
    <w:p>
      <w:pPr>
        <w:autoSpaceDE w:val="0"/>
        <w:autoSpaceDN w:val="0"/>
        <w:adjustRightInd w:val="0"/>
        <w:rPr>
          <w:kern w:val="0"/>
          <w:sz w:val="24"/>
        </w:rPr>
      </w:pPr>
    </w:p>
    <w:bookmarkEnd w:id="102"/>
    <w:p>
      <w:pPr>
        <w:keepNext/>
        <w:autoSpaceDE w:val="0"/>
        <w:autoSpaceDN w:val="0"/>
        <w:adjustRightInd w:val="0"/>
        <w:jc w:val="center"/>
        <w:rPr>
          <w:b/>
          <w:bCs/>
          <w:sz w:val="24"/>
        </w:rPr>
      </w:pPr>
      <w:bookmarkStart w:id="103" w:name="_Toc492909039"/>
      <w:r>
        <w:rPr>
          <w:b/>
          <w:bCs/>
          <w:sz w:val="24"/>
        </w:rPr>
        <w:t xml:space="preserve">Figure </w:t>
      </w:r>
      <w:r>
        <w:rPr>
          <w:b/>
          <w:bCs/>
          <w:sz w:val="24"/>
        </w:rPr>
        <w:fldChar w:fldCharType="begin"/>
      </w:r>
      <w:r>
        <w:rPr>
          <w:b/>
          <w:bCs/>
          <w:sz w:val="24"/>
        </w:rPr>
        <w:instrText xml:space="preserve"> SEQ Figure \* ARABIC </w:instrText>
      </w:r>
      <w:r>
        <w:rPr>
          <w:b/>
          <w:bCs/>
          <w:sz w:val="24"/>
        </w:rPr>
        <w:fldChar w:fldCharType="separate"/>
      </w:r>
      <w:r>
        <w:rPr>
          <w:b/>
          <w:bCs/>
          <w:sz w:val="24"/>
        </w:rPr>
        <w:t>4</w:t>
      </w:r>
      <w:r>
        <w:rPr>
          <w:b/>
          <w:bCs/>
          <w:sz w:val="24"/>
        </w:rPr>
        <w:fldChar w:fldCharType="end"/>
      </w:r>
      <w:r>
        <w:rPr>
          <w:b/>
          <w:bCs/>
          <w:sz w:val="24"/>
        </w:rPr>
        <w:t xml:space="preserve"> Yield Curve of Government Securities on the Inter-bank Market</w:t>
      </w:r>
      <w:bookmarkEnd w:id="103"/>
    </w:p>
    <w:p>
      <w:pPr>
        <w:autoSpaceDE w:val="0"/>
        <w:autoSpaceDN w:val="0"/>
        <w:adjustRightInd w:val="0"/>
        <w:rPr>
          <w:rFonts w:ascii="楷体_GB2312" w:eastAsia="楷体_GB2312"/>
          <w:sz w:val="24"/>
        </w:rPr>
      </w:pPr>
      <w:r>
        <w:rPr>
          <w:rFonts w:ascii="仿宋_GB2312" w:hAnsi="华文楷体" w:eastAsia="仿宋_GB2312"/>
          <w:b/>
          <w:color w:val="FF0000"/>
          <w:sz w:val="28"/>
        </w:rPr>
        <w:drawing>
          <wp:inline distT="0" distB="0" distL="0" distR="0">
            <wp:extent cx="5267960" cy="242951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rPr>
          <w:rFonts w:ascii="楷体_GB2312" w:eastAsia="楷体_GB2312"/>
          <w:sz w:val="24"/>
        </w:rPr>
      </w:pPr>
    </w:p>
    <w:p>
      <w:pPr>
        <w:autoSpaceDE w:val="0"/>
        <w:autoSpaceDN w:val="0"/>
        <w:adjustRightInd w:val="0"/>
        <w:rPr>
          <w:sz w:val="24"/>
        </w:rPr>
      </w:pPr>
      <w:r>
        <w:rPr>
          <w:sz w:val="24"/>
        </w:rPr>
        <w:t xml:space="preserve">Source: China Central Depository &amp; Clearing Co., Ltd. </w:t>
      </w:r>
    </w:p>
    <w:p>
      <w:pPr>
        <w:autoSpaceDE w:val="0"/>
        <w:autoSpaceDN w:val="0"/>
        <w:adjustRightInd w:val="0"/>
        <w:rPr>
          <w:kern w:val="0"/>
          <w:sz w:val="24"/>
        </w:rPr>
      </w:pPr>
    </w:p>
    <w:p>
      <w:pPr>
        <w:autoSpaceDE w:val="0"/>
        <w:autoSpaceDN w:val="0"/>
        <w:adjustRightInd w:val="0"/>
        <w:rPr>
          <w:kern w:val="0"/>
          <w:sz w:val="24"/>
        </w:rPr>
      </w:pPr>
      <w:r>
        <w:rPr>
          <w:kern w:val="0"/>
          <w:sz w:val="24"/>
        </w:rPr>
        <w:t>The bond market yield curve flattened and shifted upward. Since April, with strengthened financial regulation, steady and improved domestic economic performance</w:t>
      </w:r>
      <w:r>
        <w:rPr>
          <w:rFonts w:hint="eastAsia"/>
          <w:kern w:val="0"/>
          <w:sz w:val="24"/>
        </w:rPr>
        <w:t>,</w:t>
      </w:r>
      <w:r>
        <w:rPr>
          <w:kern w:val="0"/>
          <w:sz w:val="24"/>
        </w:rPr>
        <w:t xml:space="preserve"> and </w:t>
      </w:r>
      <w:r>
        <w:rPr>
          <w:rFonts w:hint="eastAsia"/>
          <w:kern w:val="0"/>
          <w:sz w:val="24"/>
        </w:rPr>
        <w:t>stronger</w:t>
      </w:r>
      <w:r>
        <w:rPr>
          <w:kern w:val="0"/>
          <w:sz w:val="24"/>
        </w:rPr>
        <w:t xml:space="preserve"> expectations of normalization by the US Federal Reserve, there was a remarkable rise in the yield of government securities and the yield curve flattened further. Starting from late May, expectations </w:t>
      </w:r>
      <w:r>
        <w:rPr>
          <w:rFonts w:hint="eastAsia"/>
          <w:kern w:val="0"/>
          <w:sz w:val="24"/>
        </w:rPr>
        <w:t>of stronger</w:t>
      </w:r>
      <w:r>
        <w:rPr>
          <w:kern w:val="0"/>
          <w:sz w:val="24"/>
        </w:rPr>
        <w:t xml:space="preserve"> regulation </w:t>
      </w:r>
      <w:r>
        <w:rPr>
          <w:rFonts w:hint="eastAsia"/>
          <w:kern w:val="0"/>
          <w:sz w:val="24"/>
        </w:rPr>
        <w:t>weakened</w:t>
      </w:r>
      <w:r>
        <w:rPr>
          <w:kern w:val="0"/>
          <w:sz w:val="24"/>
        </w:rPr>
        <w:t xml:space="preserve"> and </w:t>
      </w:r>
      <w:r>
        <w:rPr>
          <w:rFonts w:hint="eastAsia"/>
          <w:kern w:val="0"/>
          <w:sz w:val="24"/>
        </w:rPr>
        <w:t>liquidity</w:t>
      </w:r>
      <w:r>
        <w:rPr>
          <w:kern w:val="0"/>
          <w:sz w:val="24"/>
        </w:rPr>
        <w:t xml:space="preserve"> tended to stabilize, causing the yield of government securities to fall. At end-June, the yields of 1-year, 3-year, 5-year, 7-year, and 10-year government bonds were up 60 basis points, 48 basis points, 41 basis points, 39 basis points, and 29 basis points from end-March. At end-June, the spread between 1-year and 10-year government bonds narrowed by 31 basis points to 11 basis points.</w:t>
      </w:r>
    </w:p>
    <w:p>
      <w:pPr>
        <w:autoSpaceDE w:val="0"/>
        <w:autoSpaceDN w:val="0"/>
        <w:adjustRightInd w:val="0"/>
        <w:rPr>
          <w:kern w:val="0"/>
          <w:sz w:val="24"/>
        </w:rPr>
      </w:pPr>
    </w:p>
    <w:p>
      <w:pPr>
        <w:autoSpaceDE w:val="0"/>
        <w:autoSpaceDN w:val="0"/>
        <w:adjustRightInd w:val="0"/>
        <w:rPr>
          <w:kern w:val="0"/>
          <w:sz w:val="24"/>
        </w:rPr>
      </w:pPr>
      <w:r>
        <w:rPr>
          <w:rFonts w:hint="eastAsia"/>
          <w:kern w:val="0"/>
          <w:sz w:val="24"/>
        </w:rPr>
        <w:t>Inter-bank market b</w:t>
      </w:r>
      <w:r>
        <w:rPr>
          <w:kern w:val="0"/>
          <w:sz w:val="24"/>
        </w:rPr>
        <w:t xml:space="preserve">ond indices declined slightly. The China Bond Composite Index (net price) declined from 100.73 points at end-March to 99.77 points at end-June, representing a decrease of 0.95 percent. The China Bond Composite Index (full price) declined from 115.89 points at end-March to 114.87 points at end-June, a decrease of 0.88 percent. The </w:t>
      </w:r>
      <w:r>
        <w:rPr>
          <w:rFonts w:hint="eastAsia"/>
          <w:kern w:val="0"/>
          <w:sz w:val="24"/>
        </w:rPr>
        <w:t>Shanghai Securities Exchange T-Bond</w:t>
      </w:r>
      <w:r>
        <w:rPr>
          <w:kern w:val="0"/>
          <w:sz w:val="24"/>
        </w:rPr>
        <w:t xml:space="preserve"> Index increased from 160.18 points at end-March to 160.41 points at end-June, an increase of 0.14 percent.</w:t>
      </w:r>
    </w:p>
    <w:p>
      <w:pPr>
        <w:autoSpaceDE w:val="0"/>
        <w:autoSpaceDN w:val="0"/>
        <w:adjustRightInd w:val="0"/>
        <w:rPr>
          <w:kern w:val="0"/>
          <w:sz w:val="24"/>
        </w:rPr>
      </w:pPr>
    </w:p>
    <w:p>
      <w:pPr>
        <w:autoSpaceDE w:val="0"/>
        <w:autoSpaceDN w:val="0"/>
        <w:adjustRightInd w:val="0"/>
        <w:rPr>
          <w:kern w:val="0"/>
          <w:sz w:val="24"/>
        </w:rPr>
      </w:pPr>
      <w:r>
        <w:rPr>
          <w:kern w:val="0"/>
          <w:sz w:val="24"/>
        </w:rPr>
        <w:t>The volume of bond issuances declined significantly. In H1, a total of RMB 17.6 trillion of bonds was issued, a decrease of 2 percent year on year, among which issuances of inter-bank CDs grew rapidly whereas issuances of local government bonds and corporate bonds dropped notably year on year. At end-June, outstanding bonds posted RMB 68.6 trillion, an increase of 19.4 percent year on year.</w:t>
      </w:r>
    </w:p>
    <w:p>
      <w:pPr>
        <w:autoSpaceDE w:val="0"/>
        <w:autoSpaceDN w:val="0"/>
        <w:adjustRightInd w:val="0"/>
        <w:rPr>
          <w:kern w:val="0"/>
          <w:sz w:val="24"/>
        </w:rPr>
      </w:pPr>
    </w:p>
    <w:p>
      <w:pPr>
        <w:pStyle w:val="4"/>
        <w:jc w:val="center"/>
        <w:rPr>
          <w:rFonts w:ascii="Times New Roman" w:hAnsi="Times New Roman" w:cs="Times New Roman"/>
          <w:b/>
          <w:sz w:val="24"/>
          <w:szCs w:val="24"/>
        </w:rPr>
      </w:pPr>
      <w:bookmarkStart w:id="104" w:name="_Toc492909033"/>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11</w:t>
      </w:r>
      <w:r>
        <w:rPr>
          <w:rFonts w:ascii="Times New Roman" w:hAnsi="Times New Roman" w:cs="Times New Roman"/>
          <w:b/>
          <w:sz w:val="24"/>
          <w:szCs w:val="24"/>
        </w:rPr>
        <w:fldChar w:fldCharType="end"/>
      </w:r>
      <w:r>
        <w:rPr>
          <w:rFonts w:ascii="Times New Roman" w:hAnsi="Times New Roman" w:cs="Times New Roman"/>
          <w:b/>
          <w:bCs/>
          <w:sz w:val="24"/>
          <w:szCs w:val="24"/>
        </w:rPr>
        <w:t xml:space="preserve"> Bond Issuances in All Categories in H1 2017</w:t>
      </w:r>
      <w:bookmarkEnd w:id="104"/>
    </w:p>
    <w:p>
      <w:pPr>
        <w:keepNext/>
        <w:wordWrap w:val="0"/>
        <w:autoSpaceDE w:val="0"/>
        <w:autoSpaceDN w:val="0"/>
        <w:adjustRightInd w:val="0"/>
        <w:jc w:val="right"/>
        <w:rPr>
          <w:b/>
          <w:bCs/>
          <w:sz w:val="24"/>
        </w:rPr>
      </w:pPr>
      <w:r>
        <w:rPr>
          <w:b/>
          <w:sz w:val="24"/>
        </w:rPr>
        <w:t>Unit: RMB 100 million</w:t>
      </w:r>
    </w:p>
    <w:tbl>
      <w:tblPr>
        <w:tblStyle w:val="20"/>
        <w:tblW w:w="8280" w:type="dxa"/>
        <w:jc w:val="center"/>
        <w:tblInd w:w="0" w:type="dxa"/>
        <w:tblLayout w:type="fixed"/>
        <w:tblCellMar>
          <w:top w:w="0" w:type="dxa"/>
          <w:left w:w="0" w:type="dxa"/>
          <w:bottom w:w="0" w:type="dxa"/>
          <w:right w:w="0" w:type="dxa"/>
        </w:tblCellMar>
      </w:tblPr>
      <w:tblGrid>
        <w:gridCol w:w="4140"/>
        <w:gridCol w:w="1800"/>
        <w:gridCol w:w="2340"/>
      </w:tblGrid>
      <w:tr>
        <w:tblPrEx>
          <w:tblLayout w:type="fixed"/>
          <w:tblCellMar>
            <w:top w:w="0" w:type="dxa"/>
            <w:left w:w="0" w:type="dxa"/>
            <w:bottom w:w="0" w:type="dxa"/>
            <w:right w:w="0" w:type="dxa"/>
          </w:tblCellMar>
        </w:tblPrEx>
        <w:trPr>
          <w:trHeight w:val="315" w:hRule="atLeast"/>
          <w:jc w:val="center"/>
        </w:trPr>
        <w:tc>
          <w:tcPr>
            <w:tcW w:w="4140" w:type="dxa"/>
            <w:tcBorders>
              <w:top w:val="single" w:color="008000" w:sz="8" w:space="0"/>
              <w:left w:val="nil"/>
              <w:bottom w:val="single" w:color="008000" w:sz="4" w:space="0"/>
              <w:right w:val="single" w:color="008000" w:sz="6" w:space="0"/>
            </w:tcBorders>
            <w:shd w:val="clear" w:color="000000" w:fill="FFFFFF"/>
            <w:vAlign w:val="center"/>
          </w:tcPr>
          <w:p>
            <w:pPr>
              <w:autoSpaceDE w:val="0"/>
              <w:autoSpaceDN w:val="0"/>
              <w:adjustRightInd w:val="0"/>
              <w:jc w:val="center"/>
              <w:rPr>
                <w:rFonts w:cs="Calibri"/>
              </w:rPr>
            </w:pPr>
            <w:r>
              <w:rPr>
                <w:sz w:val="24"/>
              </w:rPr>
              <w:t>Type of bond</w:t>
            </w:r>
          </w:p>
        </w:tc>
        <w:tc>
          <w:tcPr>
            <w:tcW w:w="1800" w:type="dxa"/>
            <w:tcBorders>
              <w:top w:val="single" w:color="008000" w:sz="8" w:space="0"/>
              <w:left w:val="nil"/>
              <w:bottom w:val="single" w:color="008000" w:sz="4" w:space="0"/>
              <w:right w:val="single" w:color="008000" w:sz="6" w:space="0"/>
            </w:tcBorders>
            <w:shd w:val="clear" w:color="000000" w:fill="FFFFFF"/>
            <w:vAlign w:val="center"/>
          </w:tcPr>
          <w:p>
            <w:pPr>
              <w:autoSpaceDE w:val="0"/>
              <w:autoSpaceDN w:val="0"/>
              <w:adjustRightInd w:val="0"/>
              <w:jc w:val="center"/>
              <w:rPr>
                <w:rFonts w:cs="Calibri"/>
              </w:rPr>
            </w:pPr>
            <w:r>
              <w:rPr>
                <w:sz w:val="24"/>
              </w:rPr>
              <w:t>Issuances</w:t>
            </w:r>
          </w:p>
        </w:tc>
        <w:tc>
          <w:tcPr>
            <w:tcW w:w="2340" w:type="dxa"/>
            <w:tcBorders>
              <w:top w:val="single" w:color="008000" w:sz="8" w:space="0"/>
              <w:left w:val="nil"/>
              <w:bottom w:val="single" w:color="008000" w:sz="4" w:space="0"/>
              <w:right w:val="nil"/>
            </w:tcBorders>
            <w:shd w:val="clear" w:color="000000" w:fill="FFFFFF"/>
            <w:vAlign w:val="center"/>
          </w:tcPr>
          <w:p>
            <w:pPr>
              <w:autoSpaceDE w:val="0"/>
              <w:autoSpaceDN w:val="0"/>
              <w:adjustRightInd w:val="0"/>
              <w:jc w:val="center"/>
              <w:rPr>
                <w:rFonts w:cs="Calibri"/>
              </w:rPr>
            </w:pPr>
            <w:r>
              <w:rPr>
                <w:sz w:val="24"/>
              </w:rPr>
              <w:t xml:space="preserve">Year-on-year growth </w:t>
            </w:r>
          </w:p>
        </w:tc>
      </w:tr>
      <w:tr>
        <w:tblPrEx>
          <w:tblLayout w:type="fixed"/>
          <w:tblCellMar>
            <w:top w:w="0" w:type="dxa"/>
            <w:left w:w="0" w:type="dxa"/>
            <w:bottom w:w="0" w:type="dxa"/>
            <w:right w:w="0" w:type="dxa"/>
          </w:tblCellMar>
        </w:tblPrEx>
        <w:trPr>
          <w:trHeight w:val="345" w:hRule="atLeast"/>
          <w:jc w:val="center"/>
        </w:trPr>
        <w:tc>
          <w:tcPr>
            <w:tcW w:w="4140" w:type="dxa"/>
            <w:tcBorders>
              <w:top w:val="single" w:color="008000" w:sz="4" w:space="0"/>
              <w:left w:val="nil"/>
              <w:bottom w:val="nil"/>
              <w:right w:val="single" w:color="008000" w:sz="6" w:space="0"/>
            </w:tcBorders>
            <w:shd w:val="clear" w:color="auto" w:fill="CCFFCC"/>
            <w:vAlign w:val="center"/>
          </w:tcPr>
          <w:p>
            <w:pPr>
              <w:autoSpaceDE w:val="0"/>
              <w:autoSpaceDN w:val="0"/>
              <w:adjustRightInd w:val="0"/>
              <w:rPr>
                <w:rFonts w:cs="Calibri"/>
              </w:rPr>
            </w:pPr>
            <w:r>
              <w:rPr>
                <w:sz w:val="24"/>
              </w:rPr>
              <w:t>Government securities</w:t>
            </w:r>
          </w:p>
        </w:tc>
        <w:tc>
          <w:tcPr>
            <w:tcW w:w="1800" w:type="dxa"/>
            <w:tcBorders>
              <w:top w:val="single" w:color="008000" w:sz="4" w:space="0"/>
              <w:left w:val="nil"/>
              <w:bottom w:val="nil"/>
              <w:right w:val="single" w:color="008000" w:sz="2" w:space="0"/>
            </w:tcBorders>
            <w:shd w:val="clear" w:color="auto" w:fill="CCFFCC"/>
          </w:tcPr>
          <w:p>
            <w:pPr>
              <w:autoSpaceDE w:val="0"/>
              <w:autoSpaceDN w:val="0"/>
              <w:adjustRightInd w:val="0"/>
              <w:jc w:val="right"/>
              <w:rPr>
                <w:sz w:val="24"/>
              </w:rPr>
            </w:pPr>
            <w:r>
              <w:rPr>
                <w:sz w:val="24"/>
              </w:rPr>
              <w:t xml:space="preserve">13,652 </w:t>
            </w:r>
          </w:p>
        </w:tc>
        <w:tc>
          <w:tcPr>
            <w:tcW w:w="2340" w:type="dxa"/>
            <w:tcBorders>
              <w:top w:val="single" w:color="008000" w:sz="4" w:space="0"/>
              <w:left w:val="single" w:color="008000" w:sz="2" w:space="0"/>
              <w:bottom w:val="nil"/>
              <w:right w:val="nil"/>
            </w:tcBorders>
            <w:shd w:val="clear" w:color="auto" w:fill="CCFFCC"/>
            <w:vAlign w:val="center"/>
          </w:tcPr>
          <w:p>
            <w:pPr>
              <w:autoSpaceDE w:val="0"/>
              <w:autoSpaceDN w:val="0"/>
              <w:adjustRightInd w:val="0"/>
              <w:jc w:val="right"/>
              <w:rPr>
                <w:sz w:val="24"/>
              </w:rPr>
            </w:pPr>
            <w:r>
              <w:rPr>
                <w:sz w:val="24"/>
              </w:rPr>
              <w:t xml:space="preserve">-25 </w:t>
            </w:r>
          </w:p>
        </w:tc>
      </w:tr>
      <w:tr>
        <w:tblPrEx>
          <w:tblLayout w:type="fixed"/>
          <w:tblCellMar>
            <w:top w:w="0" w:type="dxa"/>
            <w:left w:w="0" w:type="dxa"/>
            <w:bottom w:w="0" w:type="dxa"/>
            <w:right w:w="0" w:type="dxa"/>
          </w:tblCellMar>
        </w:tblPrEx>
        <w:trPr>
          <w:trHeight w:val="345" w:hRule="atLeast"/>
          <w:jc w:val="center"/>
        </w:trPr>
        <w:tc>
          <w:tcPr>
            <w:tcW w:w="4140" w:type="dxa"/>
            <w:tcBorders>
              <w:top w:val="single" w:color="008000" w:sz="4" w:space="0"/>
              <w:left w:val="nil"/>
              <w:bottom w:val="nil"/>
              <w:right w:val="single" w:color="008000" w:sz="6" w:space="0"/>
            </w:tcBorders>
            <w:shd w:val="clear" w:color="auto" w:fill="CCFFCC"/>
            <w:vAlign w:val="center"/>
          </w:tcPr>
          <w:p>
            <w:pPr>
              <w:autoSpaceDE w:val="0"/>
              <w:autoSpaceDN w:val="0"/>
              <w:adjustRightInd w:val="0"/>
              <w:rPr>
                <w:rFonts w:cs="Calibri"/>
              </w:rPr>
            </w:pPr>
            <w:r>
              <w:rPr>
                <w:sz w:val="24"/>
              </w:rPr>
              <w:t>Local government bonds</w:t>
            </w:r>
          </w:p>
        </w:tc>
        <w:tc>
          <w:tcPr>
            <w:tcW w:w="1800" w:type="dxa"/>
            <w:tcBorders>
              <w:top w:val="single" w:color="008000" w:sz="4" w:space="0"/>
              <w:left w:val="nil"/>
              <w:bottom w:val="nil"/>
              <w:right w:val="single" w:color="008000" w:sz="2" w:space="0"/>
            </w:tcBorders>
            <w:shd w:val="clear" w:color="auto" w:fill="CCFFCC"/>
          </w:tcPr>
          <w:p>
            <w:pPr>
              <w:autoSpaceDE w:val="0"/>
              <w:autoSpaceDN w:val="0"/>
              <w:adjustRightInd w:val="0"/>
              <w:jc w:val="right"/>
              <w:rPr>
                <w:sz w:val="24"/>
              </w:rPr>
            </w:pPr>
            <w:r>
              <w:rPr>
                <w:sz w:val="24"/>
              </w:rPr>
              <w:t xml:space="preserve">18,610 </w:t>
            </w:r>
          </w:p>
        </w:tc>
        <w:tc>
          <w:tcPr>
            <w:tcW w:w="2340" w:type="dxa"/>
            <w:tcBorders>
              <w:top w:val="single" w:color="008000" w:sz="4" w:space="0"/>
              <w:left w:val="single" w:color="008000" w:sz="2" w:space="0"/>
              <w:bottom w:val="nil"/>
              <w:right w:val="nil"/>
            </w:tcBorders>
            <w:shd w:val="clear" w:color="auto" w:fill="CCFFCC"/>
            <w:vAlign w:val="center"/>
          </w:tcPr>
          <w:p>
            <w:pPr>
              <w:autoSpaceDE w:val="0"/>
              <w:autoSpaceDN w:val="0"/>
              <w:adjustRightInd w:val="0"/>
              <w:jc w:val="right"/>
              <w:rPr>
                <w:sz w:val="24"/>
              </w:rPr>
            </w:pPr>
            <w:r>
              <w:rPr>
                <w:sz w:val="24"/>
              </w:rPr>
              <w:t xml:space="preserve">-17,145 </w:t>
            </w:r>
          </w:p>
        </w:tc>
      </w:tr>
      <w:tr>
        <w:tblPrEx>
          <w:tblLayout w:type="fixed"/>
          <w:tblCellMar>
            <w:top w:w="0" w:type="dxa"/>
            <w:left w:w="0" w:type="dxa"/>
            <w:bottom w:w="0" w:type="dxa"/>
            <w:right w:w="0" w:type="dxa"/>
          </w:tblCellMar>
        </w:tblPrEx>
        <w:trPr>
          <w:trHeight w:val="345" w:hRule="atLeast"/>
          <w:jc w:val="center"/>
        </w:trPr>
        <w:tc>
          <w:tcPr>
            <w:tcW w:w="4140" w:type="dxa"/>
            <w:tcBorders>
              <w:top w:val="nil"/>
              <w:left w:val="nil"/>
              <w:bottom w:val="nil"/>
              <w:right w:val="single" w:color="008000" w:sz="6" w:space="0"/>
            </w:tcBorders>
            <w:shd w:val="clear" w:color="000000" w:fill="FFFFFF"/>
            <w:vAlign w:val="center"/>
          </w:tcPr>
          <w:p>
            <w:pPr>
              <w:autoSpaceDE w:val="0"/>
              <w:autoSpaceDN w:val="0"/>
              <w:adjustRightInd w:val="0"/>
              <w:rPr>
                <w:rFonts w:cs="Calibri"/>
              </w:rPr>
            </w:pPr>
            <w:r>
              <w:rPr>
                <w:sz w:val="24"/>
              </w:rPr>
              <w:t xml:space="preserve">Central Bank bills </w:t>
            </w:r>
          </w:p>
        </w:tc>
        <w:tc>
          <w:tcPr>
            <w:tcW w:w="1800" w:type="dxa"/>
            <w:tcBorders>
              <w:top w:val="nil"/>
              <w:left w:val="nil"/>
              <w:bottom w:val="nil"/>
              <w:right w:val="single" w:color="008000" w:sz="2" w:space="0"/>
            </w:tcBorders>
            <w:shd w:val="clear" w:color="000000" w:fill="FFFFFF"/>
          </w:tcPr>
          <w:p>
            <w:pPr>
              <w:autoSpaceDE w:val="0"/>
              <w:autoSpaceDN w:val="0"/>
              <w:adjustRightInd w:val="0"/>
              <w:jc w:val="right"/>
              <w:rPr>
                <w:sz w:val="24"/>
              </w:rPr>
            </w:pPr>
            <w:r>
              <w:rPr>
                <w:sz w:val="24"/>
              </w:rPr>
              <w:t xml:space="preserve">0 </w:t>
            </w:r>
          </w:p>
        </w:tc>
        <w:tc>
          <w:tcPr>
            <w:tcW w:w="2340" w:type="dxa"/>
            <w:tcBorders>
              <w:top w:val="nil"/>
              <w:left w:val="single" w:color="008000" w:sz="2" w:space="0"/>
              <w:bottom w:val="nil"/>
              <w:right w:val="nil"/>
            </w:tcBorders>
            <w:shd w:val="clear" w:color="000000" w:fill="FFFFFF"/>
            <w:vAlign w:val="center"/>
          </w:tcPr>
          <w:p>
            <w:pPr>
              <w:autoSpaceDE w:val="0"/>
              <w:autoSpaceDN w:val="0"/>
              <w:adjustRightInd w:val="0"/>
              <w:jc w:val="right"/>
              <w:rPr>
                <w:sz w:val="24"/>
              </w:rPr>
            </w:pPr>
            <w:r>
              <w:rPr>
                <w:sz w:val="24"/>
              </w:rPr>
              <w:t xml:space="preserve">0 </w:t>
            </w:r>
          </w:p>
        </w:tc>
      </w:tr>
      <w:tr>
        <w:tblPrEx>
          <w:tblLayout w:type="fixed"/>
          <w:tblCellMar>
            <w:top w:w="0" w:type="dxa"/>
            <w:left w:w="0" w:type="dxa"/>
            <w:bottom w:w="0" w:type="dxa"/>
            <w:right w:w="0" w:type="dxa"/>
          </w:tblCellMar>
        </w:tblPrEx>
        <w:trPr>
          <w:trHeight w:val="330" w:hRule="atLeast"/>
          <w:jc w:val="center"/>
        </w:trPr>
        <w:tc>
          <w:tcPr>
            <w:tcW w:w="4140" w:type="dxa"/>
            <w:tcBorders>
              <w:top w:val="nil"/>
              <w:left w:val="nil"/>
              <w:bottom w:val="nil"/>
              <w:right w:val="single" w:color="008000" w:sz="6" w:space="0"/>
            </w:tcBorders>
            <w:shd w:val="clear" w:color="auto" w:fill="CCFFCC"/>
            <w:vAlign w:val="center"/>
          </w:tcPr>
          <w:p>
            <w:pPr>
              <w:tabs>
                <w:tab w:val="center" w:pos="4320"/>
                <w:tab w:val="right" w:pos="8640"/>
              </w:tabs>
              <w:autoSpaceDE w:val="0"/>
              <w:autoSpaceDN w:val="0"/>
              <w:adjustRightInd w:val="0"/>
              <w:rPr>
                <w:rFonts w:cs="Calibri"/>
              </w:rPr>
            </w:pPr>
            <w:r>
              <w:rPr>
                <w:sz w:val="24"/>
              </w:rPr>
              <w:t>Financial bonds</w:t>
            </w:r>
            <w:r>
              <w:rPr>
                <w:rFonts w:hint="eastAsia" w:ascii="宋体" w:cs="宋体"/>
                <w:sz w:val="24"/>
                <w:vertAlign w:val="superscript"/>
                <w:lang w:val="zh-CN"/>
              </w:rPr>
              <w:t>①</w:t>
            </w:r>
          </w:p>
        </w:tc>
        <w:tc>
          <w:tcPr>
            <w:tcW w:w="1800" w:type="dxa"/>
            <w:tcBorders>
              <w:top w:val="nil"/>
              <w:left w:val="single" w:color="008000" w:sz="6" w:space="0"/>
              <w:bottom w:val="nil"/>
              <w:right w:val="single" w:color="008000" w:sz="2" w:space="0"/>
            </w:tcBorders>
            <w:shd w:val="clear" w:color="auto" w:fill="CCFFCC"/>
          </w:tcPr>
          <w:p>
            <w:pPr>
              <w:autoSpaceDE w:val="0"/>
              <w:autoSpaceDN w:val="0"/>
              <w:adjustRightInd w:val="0"/>
              <w:jc w:val="right"/>
              <w:rPr>
                <w:sz w:val="24"/>
              </w:rPr>
            </w:pPr>
            <w:r>
              <w:rPr>
                <w:sz w:val="24"/>
              </w:rPr>
              <w:t xml:space="preserve">121,371 </w:t>
            </w:r>
          </w:p>
        </w:tc>
        <w:tc>
          <w:tcPr>
            <w:tcW w:w="2340" w:type="dxa"/>
            <w:tcBorders>
              <w:top w:val="nil"/>
              <w:left w:val="single" w:color="008000" w:sz="2" w:space="0"/>
              <w:bottom w:val="nil"/>
              <w:right w:val="nil"/>
            </w:tcBorders>
            <w:shd w:val="clear" w:color="auto" w:fill="CCFFCC"/>
            <w:vAlign w:val="center"/>
          </w:tcPr>
          <w:p>
            <w:pPr>
              <w:autoSpaceDE w:val="0"/>
              <w:autoSpaceDN w:val="0"/>
              <w:adjustRightInd w:val="0"/>
              <w:jc w:val="right"/>
              <w:rPr>
                <w:sz w:val="24"/>
              </w:rPr>
            </w:pPr>
            <w:r>
              <w:rPr>
                <w:sz w:val="24"/>
              </w:rPr>
              <w:t xml:space="preserve">32,985 </w:t>
            </w:r>
          </w:p>
        </w:tc>
      </w:tr>
      <w:tr>
        <w:tblPrEx>
          <w:tblLayout w:type="fixed"/>
        </w:tblPrEx>
        <w:trPr>
          <w:trHeight w:val="330" w:hRule="atLeast"/>
          <w:jc w:val="center"/>
        </w:trPr>
        <w:tc>
          <w:tcPr>
            <w:tcW w:w="4140" w:type="dxa"/>
            <w:tcBorders>
              <w:top w:val="nil"/>
              <w:left w:val="nil"/>
              <w:bottom w:val="nil"/>
              <w:right w:val="single" w:color="008000" w:sz="6" w:space="0"/>
            </w:tcBorders>
            <w:shd w:val="clear" w:color="000000" w:fill="FFFFFF"/>
            <w:vAlign w:val="center"/>
          </w:tcPr>
          <w:p>
            <w:pPr>
              <w:autoSpaceDE w:val="0"/>
              <w:autoSpaceDN w:val="0"/>
              <w:adjustRightInd w:val="0"/>
              <w:rPr>
                <w:rFonts w:cs="Calibri"/>
              </w:rPr>
            </w:pPr>
            <w:r>
              <w:rPr>
                <w:sz w:val="24"/>
              </w:rPr>
              <w:t xml:space="preserve">   Of which: Financial bonds issued by the China Development Bank and policy financial bonds </w:t>
            </w:r>
          </w:p>
        </w:tc>
        <w:tc>
          <w:tcPr>
            <w:tcW w:w="1800" w:type="dxa"/>
            <w:tcBorders>
              <w:top w:val="nil"/>
              <w:left w:val="single" w:color="008000" w:sz="6" w:space="0"/>
              <w:bottom w:val="nil"/>
              <w:right w:val="single" w:color="008000" w:sz="2" w:space="0"/>
            </w:tcBorders>
            <w:shd w:val="clear" w:color="000000" w:fill="FFFFFF"/>
          </w:tcPr>
          <w:p>
            <w:pPr>
              <w:autoSpaceDE w:val="0"/>
              <w:autoSpaceDN w:val="0"/>
              <w:adjustRightInd w:val="0"/>
              <w:jc w:val="right"/>
              <w:rPr>
                <w:sz w:val="24"/>
              </w:rPr>
            </w:pPr>
            <w:r>
              <w:rPr>
                <w:sz w:val="24"/>
              </w:rPr>
              <w:t xml:space="preserve">16,273 </w:t>
            </w:r>
          </w:p>
        </w:tc>
        <w:tc>
          <w:tcPr>
            <w:tcW w:w="2340" w:type="dxa"/>
            <w:tcBorders>
              <w:top w:val="nil"/>
              <w:left w:val="single" w:color="008000" w:sz="2" w:space="0"/>
              <w:bottom w:val="nil"/>
              <w:right w:val="nil"/>
            </w:tcBorders>
            <w:shd w:val="clear" w:color="000000" w:fill="FFFFFF"/>
          </w:tcPr>
          <w:p>
            <w:pPr>
              <w:autoSpaceDE w:val="0"/>
              <w:autoSpaceDN w:val="0"/>
              <w:adjustRightInd w:val="0"/>
              <w:jc w:val="right"/>
              <w:rPr>
                <w:sz w:val="24"/>
              </w:rPr>
            </w:pPr>
            <w:r>
              <w:rPr>
                <w:sz w:val="24"/>
              </w:rPr>
              <w:t xml:space="preserve">-3,751 </w:t>
            </w:r>
          </w:p>
        </w:tc>
      </w:tr>
      <w:tr>
        <w:tblPrEx>
          <w:tblLayout w:type="fixed"/>
          <w:tblCellMar>
            <w:top w:w="0" w:type="dxa"/>
            <w:left w:w="0" w:type="dxa"/>
            <w:bottom w:w="0" w:type="dxa"/>
            <w:right w:w="0" w:type="dxa"/>
          </w:tblCellMar>
        </w:tblPrEx>
        <w:trPr>
          <w:trHeight w:val="330" w:hRule="atLeast"/>
          <w:jc w:val="center"/>
        </w:trPr>
        <w:tc>
          <w:tcPr>
            <w:tcW w:w="4140" w:type="dxa"/>
            <w:tcBorders>
              <w:top w:val="nil"/>
              <w:left w:val="nil"/>
              <w:bottom w:val="nil"/>
              <w:right w:val="single" w:color="008000" w:sz="6" w:space="0"/>
            </w:tcBorders>
            <w:shd w:val="clear" w:color="000000" w:fill="FFFFFF"/>
            <w:vAlign w:val="center"/>
          </w:tcPr>
          <w:p>
            <w:pPr>
              <w:autoSpaceDE w:val="0"/>
              <w:autoSpaceDN w:val="0"/>
              <w:adjustRightInd w:val="0"/>
              <w:rPr>
                <w:sz w:val="24"/>
              </w:rPr>
            </w:pPr>
            <w:r>
              <w:rPr>
                <w:sz w:val="24"/>
              </w:rPr>
              <w:t xml:space="preserve">          Inter-bank certificates of deposits</w:t>
            </w:r>
          </w:p>
        </w:tc>
        <w:tc>
          <w:tcPr>
            <w:tcW w:w="1800" w:type="dxa"/>
            <w:tcBorders>
              <w:top w:val="nil"/>
              <w:left w:val="single" w:color="008000" w:sz="6" w:space="0"/>
              <w:bottom w:val="nil"/>
              <w:right w:val="single" w:color="008000" w:sz="2" w:space="0"/>
            </w:tcBorders>
            <w:shd w:val="clear" w:color="000000" w:fill="FFFFFF"/>
          </w:tcPr>
          <w:p>
            <w:pPr>
              <w:autoSpaceDE w:val="0"/>
              <w:autoSpaceDN w:val="0"/>
              <w:adjustRightInd w:val="0"/>
              <w:jc w:val="right"/>
              <w:rPr>
                <w:sz w:val="24"/>
              </w:rPr>
            </w:pPr>
            <w:r>
              <w:rPr>
                <w:sz w:val="24"/>
              </w:rPr>
              <w:t xml:space="preserve">95,225 </w:t>
            </w:r>
          </w:p>
        </w:tc>
        <w:tc>
          <w:tcPr>
            <w:tcW w:w="2340" w:type="dxa"/>
            <w:tcBorders>
              <w:top w:val="nil"/>
              <w:left w:val="single" w:color="008000" w:sz="2" w:space="0"/>
              <w:bottom w:val="nil"/>
              <w:right w:val="nil"/>
            </w:tcBorders>
            <w:shd w:val="clear" w:color="000000" w:fill="FFFFFF"/>
            <w:vAlign w:val="center"/>
          </w:tcPr>
          <w:p>
            <w:pPr>
              <w:autoSpaceDE w:val="0"/>
              <w:autoSpaceDN w:val="0"/>
              <w:adjustRightInd w:val="0"/>
              <w:jc w:val="right"/>
              <w:rPr>
                <w:sz w:val="24"/>
              </w:rPr>
            </w:pPr>
            <w:r>
              <w:rPr>
                <w:sz w:val="24"/>
              </w:rPr>
              <w:t xml:space="preserve">35,010 </w:t>
            </w:r>
          </w:p>
        </w:tc>
      </w:tr>
      <w:tr>
        <w:tblPrEx>
          <w:tblLayout w:type="fixed"/>
          <w:tblCellMar>
            <w:top w:w="0" w:type="dxa"/>
            <w:left w:w="0" w:type="dxa"/>
            <w:bottom w:w="0" w:type="dxa"/>
            <w:right w:w="0" w:type="dxa"/>
          </w:tblCellMar>
        </w:tblPrEx>
        <w:trPr>
          <w:trHeight w:val="330" w:hRule="atLeast"/>
          <w:jc w:val="center"/>
        </w:trPr>
        <w:tc>
          <w:tcPr>
            <w:tcW w:w="4140" w:type="dxa"/>
            <w:tcBorders>
              <w:top w:val="nil"/>
              <w:left w:val="nil"/>
              <w:bottom w:val="nil"/>
              <w:right w:val="single" w:color="008000" w:sz="6" w:space="0"/>
            </w:tcBorders>
            <w:shd w:val="clear" w:color="auto" w:fill="CCFFCC"/>
            <w:vAlign w:val="center"/>
          </w:tcPr>
          <w:p>
            <w:pPr>
              <w:autoSpaceDE w:val="0"/>
              <w:autoSpaceDN w:val="0"/>
              <w:adjustRightInd w:val="0"/>
              <w:rPr>
                <w:rFonts w:cs="Calibri"/>
              </w:rPr>
            </w:pPr>
            <w:r>
              <w:rPr>
                <w:sz w:val="24"/>
              </w:rPr>
              <w:t>Corporate debenture bonds</w:t>
            </w:r>
            <w:r>
              <w:rPr>
                <w:rFonts w:hint="eastAsia" w:ascii="宋体" w:cs="宋体"/>
                <w:sz w:val="24"/>
                <w:vertAlign w:val="superscript"/>
                <w:lang w:val="zh-CN"/>
              </w:rPr>
              <w:t>②</w:t>
            </w:r>
          </w:p>
        </w:tc>
        <w:tc>
          <w:tcPr>
            <w:tcW w:w="1800" w:type="dxa"/>
            <w:tcBorders>
              <w:top w:val="nil"/>
              <w:left w:val="single" w:color="008000" w:sz="6" w:space="0"/>
              <w:bottom w:val="nil"/>
              <w:right w:val="single" w:color="008000" w:sz="2" w:space="0"/>
            </w:tcBorders>
            <w:shd w:val="clear" w:color="auto" w:fill="CCFFCC"/>
          </w:tcPr>
          <w:p>
            <w:pPr>
              <w:autoSpaceDE w:val="0"/>
              <w:autoSpaceDN w:val="0"/>
              <w:adjustRightInd w:val="0"/>
              <w:jc w:val="right"/>
              <w:rPr>
                <w:sz w:val="24"/>
              </w:rPr>
            </w:pPr>
            <w:r>
              <w:rPr>
                <w:sz w:val="24"/>
              </w:rPr>
              <w:t xml:space="preserve">22,456 </w:t>
            </w:r>
          </w:p>
        </w:tc>
        <w:tc>
          <w:tcPr>
            <w:tcW w:w="2340" w:type="dxa"/>
            <w:tcBorders>
              <w:top w:val="nil"/>
              <w:left w:val="single" w:color="008000" w:sz="2" w:space="0"/>
              <w:bottom w:val="nil"/>
              <w:right w:val="nil"/>
            </w:tcBorders>
            <w:shd w:val="clear" w:color="auto" w:fill="CCFFCC"/>
            <w:vAlign w:val="center"/>
          </w:tcPr>
          <w:p>
            <w:pPr>
              <w:autoSpaceDE w:val="0"/>
              <w:autoSpaceDN w:val="0"/>
              <w:adjustRightInd w:val="0"/>
              <w:jc w:val="right"/>
              <w:rPr>
                <w:sz w:val="24"/>
              </w:rPr>
            </w:pPr>
            <w:r>
              <w:rPr>
                <w:sz w:val="24"/>
              </w:rPr>
              <w:t xml:space="preserve">-19,493 </w:t>
            </w:r>
          </w:p>
        </w:tc>
      </w:tr>
      <w:tr>
        <w:tblPrEx>
          <w:tblLayout w:type="fixed"/>
          <w:tblCellMar>
            <w:top w:w="0" w:type="dxa"/>
            <w:left w:w="0" w:type="dxa"/>
            <w:bottom w:w="0" w:type="dxa"/>
            <w:right w:w="0" w:type="dxa"/>
          </w:tblCellMar>
        </w:tblPrEx>
        <w:trPr>
          <w:trHeight w:val="300" w:hRule="atLeast"/>
          <w:jc w:val="center"/>
        </w:trPr>
        <w:tc>
          <w:tcPr>
            <w:tcW w:w="4140" w:type="dxa"/>
            <w:tcBorders>
              <w:top w:val="nil"/>
              <w:left w:val="nil"/>
              <w:bottom w:val="nil"/>
              <w:right w:val="single" w:color="008000" w:sz="6" w:space="0"/>
            </w:tcBorders>
            <w:shd w:val="clear" w:color="000000" w:fill="FFFFFF"/>
            <w:vAlign w:val="center"/>
          </w:tcPr>
          <w:p>
            <w:pPr>
              <w:autoSpaceDE w:val="0"/>
              <w:autoSpaceDN w:val="0"/>
              <w:adjustRightInd w:val="0"/>
              <w:ind w:left="1200" w:hanging="1200"/>
              <w:rPr>
                <w:rFonts w:cs="Calibri"/>
              </w:rPr>
            </w:pPr>
            <w:r>
              <w:rPr>
                <w:sz w:val="24"/>
              </w:rPr>
              <w:t xml:space="preserve">   Of which: Debt-financing instruments of non-financial enterprises </w:t>
            </w:r>
          </w:p>
        </w:tc>
        <w:tc>
          <w:tcPr>
            <w:tcW w:w="1800" w:type="dxa"/>
            <w:tcBorders>
              <w:top w:val="nil"/>
              <w:left w:val="single" w:color="008000" w:sz="6" w:space="0"/>
              <w:bottom w:val="nil"/>
              <w:right w:val="single" w:color="008000" w:sz="2" w:space="0"/>
            </w:tcBorders>
            <w:shd w:val="clear" w:color="000000" w:fill="FFFFFF"/>
          </w:tcPr>
          <w:p>
            <w:pPr>
              <w:autoSpaceDE w:val="0"/>
              <w:autoSpaceDN w:val="0"/>
              <w:adjustRightInd w:val="0"/>
              <w:jc w:val="right"/>
              <w:rPr>
                <w:sz w:val="24"/>
              </w:rPr>
            </w:pPr>
            <w:r>
              <w:rPr>
                <w:sz w:val="24"/>
              </w:rPr>
              <w:t xml:space="preserve">16,676 </w:t>
            </w:r>
          </w:p>
        </w:tc>
        <w:tc>
          <w:tcPr>
            <w:tcW w:w="2340" w:type="dxa"/>
            <w:tcBorders>
              <w:top w:val="nil"/>
              <w:left w:val="single" w:color="008000" w:sz="2" w:space="0"/>
              <w:bottom w:val="nil"/>
              <w:right w:val="nil"/>
            </w:tcBorders>
            <w:shd w:val="clear" w:color="000000" w:fill="FFFFFF"/>
          </w:tcPr>
          <w:p>
            <w:pPr>
              <w:autoSpaceDE w:val="0"/>
              <w:autoSpaceDN w:val="0"/>
              <w:adjustRightInd w:val="0"/>
              <w:jc w:val="right"/>
              <w:rPr>
                <w:sz w:val="24"/>
              </w:rPr>
            </w:pPr>
            <w:r>
              <w:rPr>
                <w:sz w:val="24"/>
              </w:rPr>
              <w:t xml:space="preserve">-10,697 </w:t>
            </w:r>
          </w:p>
        </w:tc>
      </w:tr>
      <w:tr>
        <w:tblPrEx>
          <w:tblLayout w:type="fixed"/>
          <w:tblCellMar>
            <w:top w:w="0" w:type="dxa"/>
            <w:left w:w="0" w:type="dxa"/>
            <w:bottom w:w="0" w:type="dxa"/>
            <w:right w:w="0" w:type="dxa"/>
          </w:tblCellMar>
        </w:tblPrEx>
        <w:trPr>
          <w:trHeight w:val="300" w:hRule="atLeast"/>
          <w:jc w:val="center"/>
        </w:trPr>
        <w:tc>
          <w:tcPr>
            <w:tcW w:w="4140" w:type="dxa"/>
            <w:tcBorders>
              <w:top w:val="nil"/>
              <w:left w:val="nil"/>
              <w:bottom w:val="nil"/>
              <w:right w:val="single" w:color="008000" w:sz="6" w:space="0"/>
            </w:tcBorders>
            <w:shd w:val="clear" w:color="000000" w:fill="FFFFFF"/>
            <w:vAlign w:val="center"/>
          </w:tcPr>
          <w:p>
            <w:pPr>
              <w:autoSpaceDE w:val="0"/>
              <w:autoSpaceDN w:val="0"/>
              <w:adjustRightInd w:val="0"/>
              <w:rPr>
                <w:rFonts w:cs="Calibri"/>
              </w:rPr>
            </w:pPr>
            <w:r>
              <w:rPr>
                <w:sz w:val="24"/>
              </w:rPr>
              <w:t xml:space="preserve">          Enterprise bonds</w:t>
            </w:r>
          </w:p>
        </w:tc>
        <w:tc>
          <w:tcPr>
            <w:tcW w:w="1800" w:type="dxa"/>
            <w:tcBorders>
              <w:top w:val="nil"/>
              <w:left w:val="single" w:color="008000" w:sz="6" w:space="0"/>
              <w:bottom w:val="nil"/>
              <w:right w:val="single" w:color="008000" w:sz="2" w:space="0"/>
            </w:tcBorders>
            <w:shd w:val="clear" w:color="000000" w:fill="FFFFFF"/>
          </w:tcPr>
          <w:p>
            <w:pPr>
              <w:autoSpaceDE w:val="0"/>
              <w:autoSpaceDN w:val="0"/>
              <w:adjustRightInd w:val="0"/>
              <w:jc w:val="right"/>
              <w:rPr>
                <w:sz w:val="24"/>
              </w:rPr>
            </w:pPr>
            <w:r>
              <w:rPr>
                <w:sz w:val="24"/>
              </w:rPr>
              <w:t xml:space="preserve">2,092 </w:t>
            </w:r>
          </w:p>
        </w:tc>
        <w:tc>
          <w:tcPr>
            <w:tcW w:w="2340" w:type="dxa"/>
            <w:tcBorders>
              <w:top w:val="nil"/>
              <w:left w:val="single" w:color="008000" w:sz="2" w:space="0"/>
              <w:bottom w:val="nil"/>
              <w:right w:val="nil"/>
            </w:tcBorders>
            <w:shd w:val="clear" w:color="000000" w:fill="FFFFFF"/>
          </w:tcPr>
          <w:p>
            <w:pPr>
              <w:autoSpaceDE w:val="0"/>
              <w:autoSpaceDN w:val="0"/>
              <w:adjustRightInd w:val="0"/>
              <w:jc w:val="right"/>
              <w:rPr>
                <w:sz w:val="24"/>
              </w:rPr>
            </w:pPr>
            <w:r>
              <w:rPr>
                <w:sz w:val="24"/>
              </w:rPr>
              <w:t xml:space="preserve">-1,165 </w:t>
            </w:r>
          </w:p>
        </w:tc>
      </w:tr>
      <w:tr>
        <w:tblPrEx>
          <w:tblLayout w:type="fixed"/>
          <w:tblCellMar>
            <w:top w:w="0" w:type="dxa"/>
            <w:left w:w="0" w:type="dxa"/>
            <w:bottom w:w="0" w:type="dxa"/>
            <w:right w:w="0" w:type="dxa"/>
          </w:tblCellMar>
        </w:tblPrEx>
        <w:trPr>
          <w:trHeight w:val="300" w:hRule="atLeast"/>
          <w:jc w:val="center"/>
        </w:trPr>
        <w:tc>
          <w:tcPr>
            <w:tcW w:w="4140" w:type="dxa"/>
            <w:tcBorders>
              <w:top w:val="nil"/>
              <w:left w:val="nil"/>
              <w:bottom w:val="nil"/>
              <w:right w:val="single" w:color="008000" w:sz="6" w:space="0"/>
            </w:tcBorders>
            <w:shd w:val="clear" w:color="000000" w:fill="FFFFFF"/>
            <w:vAlign w:val="center"/>
          </w:tcPr>
          <w:p>
            <w:pPr>
              <w:autoSpaceDE w:val="0"/>
              <w:autoSpaceDN w:val="0"/>
              <w:adjustRightInd w:val="0"/>
              <w:rPr>
                <w:rFonts w:cs="Calibri"/>
              </w:rPr>
            </w:pPr>
            <w:r>
              <w:rPr>
                <w:sz w:val="24"/>
              </w:rPr>
              <w:t xml:space="preserve">          Corporate bonds</w:t>
            </w:r>
          </w:p>
        </w:tc>
        <w:tc>
          <w:tcPr>
            <w:tcW w:w="1800" w:type="dxa"/>
            <w:tcBorders>
              <w:top w:val="nil"/>
              <w:left w:val="single" w:color="008000" w:sz="6" w:space="0"/>
              <w:bottom w:val="nil"/>
              <w:right w:val="single" w:color="008000" w:sz="2" w:space="0"/>
            </w:tcBorders>
            <w:shd w:val="clear" w:color="000000" w:fill="FFFFFF"/>
          </w:tcPr>
          <w:p>
            <w:pPr>
              <w:autoSpaceDE w:val="0"/>
              <w:autoSpaceDN w:val="0"/>
              <w:adjustRightInd w:val="0"/>
              <w:jc w:val="right"/>
              <w:rPr>
                <w:sz w:val="24"/>
              </w:rPr>
            </w:pPr>
            <w:r>
              <w:rPr>
                <w:sz w:val="24"/>
              </w:rPr>
              <w:t xml:space="preserve">3,688 </w:t>
            </w:r>
          </w:p>
        </w:tc>
        <w:tc>
          <w:tcPr>
            <w:tcW w:w="2340" w:type="dxa"/>
            <w:tcBorders>
              <w:top w:val="nil"/>
              <w:left w:val="single" w:color="008000" w:sz="2" w:space="0"/>
              <w:bottom w:val="nil"/>
              <w:right w:val="nil"/>
            </w:tcBorders>
            <w:shd w:val="clear" w:color="000000" w:fill="FFFFFF"/>
          </w:tcPr>
          <w:p>
            <w:pPr>
              <w:autoSpaceDE w:val="0"/>
              <w:autoSpaceDN w:val="0"/>
              <w:adjustRightInd w:val="0"/>
              <w:jc w:val="right"/>
              <w:rPr>
                <w:sz w:val="24"/>
              </w:rPr>
            </w:pPr>
            <w:r>
              <w:rPr>
                <w:sz w:val="24"/>
              </w:rPr>
              <w:t xml:space="preserve">-7,445 </w:t>
            </w:r>
          </w:p>
        </w:tc>
      </w:tr>
      <w:tr>
        <w:tblPrEx>
          <w:tblLayout w:type="fixed"/>
        </w:tblPrEx>
        <w:trPr>
          <w:trHeight w:val="300" w:hRule="atLeast"/>
          <w:jc w:val="center"/>
        </w:trPr>
        <w:tc>
          <w:tcPr>
            <w:tcW w:w="4140" w:type="dxa"/>
            <w:tcBorders>
              <w:top w:val="nil"/>
              <w:left w:val="nil"/>
              <w:bottom w:val="nil"/>
              <w:right w:val="single" w:color="008000" w:sz="6" w:space="0"/>
            </w:tcBorders>
            <w:shd w:val="clear" w:color="000000" w:fill="FFFFFF"/>
            <w:vAlign w:val="center"/>
          </w:tcPr>
          <w:p>
            <w:pPr>
              <w:autoSpaceDE w:val="0"/>
              <w:autoSpaceDN w:val="0"/>
              <w:adjustRightInd w:val="0"/>
              <w:rPr>
                <w:rFonts w:cs="Calibri"/>
              </w:rPr>
            </w:pPr>
            <w:r>
              <w:rPr>
                <w:sz w:val="24"/>
              </w:rPr>
              <w:t>Bonds issued by international institutions</w:t>
            </w:r>
          </w:p>
        </w:tc>
        <w:tc>
          <w:tcPr>
            <w:tcW w:w="1800" w:type="dxa"/>
            <w:tcBorders>
              <w:top w:val="nil"/>
              <w:left w:val="single" w:color="008000" w:sz="6" w:space="0"/>
              <w:bottom w:val="nil"/>
              <w:right w:val="single" w:color="008000" w:sz="2" w:space="0"/>
            </w:tcBorders>
            <w:shd w:val="clear" w:color="000000" w:fill="FFFFFF"/>
          </w:tcPr>
          <w:p>
            <w:pPr>
              <w:autoSpaceDE w:val="0"/>
              <w:autoSpaceDN w:val="0"/>
              <w:adjustRightInd w:val="0"/>
              <w:jc w:val="right"/>
              <w:rPr>
                <w:sz w:val="24"/>
              </w:rPr>
            </w:pPr>
            <w:r>
              <w:rPr>
                <w:sz w:val="24"/>
              </w:rPr>
              <w:t xml:space="preserve">233 </w:t>
            </w:r>
          </w:p>
        </w:tc>
        <w:tc>
          <w:tcPr>
            <w:tcW w:w="2340" w:type="dxa"/>
            <w:tcBorders>
              <w:top w:val="nil"/>
              <w:left w:val="single" w:color="008000" w:sz="2" w:space="0"/>
              <w:bottom w:val="nil"/>
              <w:right w:val="nil"/>
            </w:tcBorders>
            <w:shd w:val="clear" w:color="000000" w:fill="FFFFFF"/>
          </w:tcPr>
          <w:p>
            <w:pPr>
              <w:autoSpaceDE w:val="0"/>
              <w:autoSpaceDN w:val="0"/>
              <w:adjustRightInd w:val="0"/>
              <w:jc w:val="right"/>
              <w:rPr>
                <w:sz w:val="24"/>
              </w:rPr>
            </w:pPr>
            <w:r>
              <w:rPr>
                <w:sz w:val="24"/>
              </w:rPr>
              <w:t xml:space="preserve">127 </w:t>
            </w:r>
          </w:p>
        </w:tc>
      </w:tr>
      <w:tr>
        <w:tblPrEx>
          <w:tblLayout w:type="fixed"/>
          <w:tblCellMar>
            <w:top w:w="0" w:type="dxa"/>
            <w:left w:w="0" w:type="dxa"/>
            <w:bottom w:w="0" w:type="dxa"/>
            <w:right w:w="0" w:type="dxa"/>
          </w:tblCellMar>
        </w:tblPrEx>
        <w:trPr>
          <w:trHeight w:val="300" w:hRule="atLeast"/>
          <w:jc w:val="center"/>
        </w:trPr>
        <w:tc>
          <w:tcPr>
            <w:tcW w:w="4140" w:type="dxa"/>
            <w:tcBorders>
              <w:top w:val="nil"/>
              <w:left w:val="nil"/>
              <w:bottom w:val="single" w:color="008000" w:sz="8" w:space="0"/>
              <w:right w:val="single" w:color="008000" w:sz="6" w:space="0"/>
            </w:tcBorders>
            <w:shd w:val="clear" w:color="auto" w:fill="CCFFCC"/>
            <w:vAlign w:val="center"/>
          </w:tcPr>
          <w:p>
            <w:pPr>
              <w:autoSpaceDE w:val="0"/>
              <w:autoSpaceDN w:val="0"/>
              <w:adjustRightInd w:val="0"/>
              <w:rPr>
                <w:rFonts w:cs="Calibri"/>
              </w:rPr>
            </w:pPr>
            <w:r>
              <w:rPr>
                <w:sz w:val="24"/>
              </w:rPr>
              <w:t xml:space="preserve">Total </w:t>
            </w:r>
          </w:p>
        </w:tc>
        <w:tc>
          <w:tcPr>
            <w:tcW w:w="1800" w:type="dxa"/>
            <w:tcBorders>
              <w:top w:val="nil"/>
              <w:left w:val="nil"/>
              <w:bottom w:val="single" w:color="008000" w:sz="8" w:space="0"/>
              <w:right w:val="single" w:color="008000" w:sz="2" w:space="0"/>
            </w:tcBorders>
            <w:shd w:val="clear" w:color="auto" w:fill="CCFFCC"/>
          </w:tcPr>
          <w:p>
            <w:pPr>
              <w:autoSpaceDE w:val="0"/>
              <w:autoSpaceDN w:val="0"/>
              <w:adjustRightInd w:val="0"/>
              <w:jc w:val="right"/>
              <w:rPr>
                <w:sz w:val="24"/>
              </w:rPr>
            </w:pPr>
            <w:r>
              <w:rPr>
                <w:rFonts w:hint="eastAsia"/>
                <w:sz w:val="24"/>
              </w:rPr>
              <w:t>176,322</w:t>
            </w:r>
          </w:p>
        </w:tc>
        <w:tc>
          <w:tcPr>
            <w:tcW w:w="2340" w:type="dxa"/>
            <w:tcBorders>
              <w:top w:val="nil"/>
              <w:left w:val="single" w:color="008000" w:sz="2" w:space="0"/>
              <w:bottom w:val="single" w:color="008000" w:sz="8" w:space="0"/>
              <w:right w:val="nil"/>
            </w:tcBorders>
            <w:shd w:val="clear" w:color="auto" w:fill="CCFFCC"/>
            <w:vAlign w:val="center"/>
          </w:tcPr>
          <w:p>
            <w:pPr>
              <w:autoSpaceDE w:val="0"/>
              <w:autoSpaceDN w:val="0"/>
              <w:adjustRightInd w:val="0"/>
              <w:jc w:val="right"/>
              <w:rPr>
                <w:sz w:val="24"/>
              </w:rPr>
            </w:pPr>
            <w:r>
              <w:rPr>
                <w:rFonts w:hint="eastAsia"/>
                <w:sz w:val="24"/>
              </w:rPr>
              <w:t>-3</w:t>
            </w:r>
            <w:r>
              <w:rPr>
                <w:sz w:val="24"/>
              </w:rPr>
              <w:t>,</w:t>
            </w:r>
            <w:r>
              <w:rPr>
                <w:rFonts w:hint="eastAsia"/>
                <w:sz w:val="24"/>
              </w:rPr>
              <w:t>552</w:t>
            </w:r>
          </w:p>
        </w:tc>
      </w:tr>
    </w:tbl>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sz w:val="24"/>
        </w:rPr>
      </w:pPr>
      <w:r>
        <w:rPr>
          <w:sz w:val="24"/>
        </w:rPr>
        <w:t xml:space="preserve">Notes: </w:t>
      </w:r>
      <w:r>
        <w:rPr>
          <w:rFonts w:hint="eastAsia" w:ascii="宋体" w:cs="宋体"/>
          <w:sz w:val="24"/>
        </w:rPr>
        <w:t>①</w:t>
      </w:r>
      <w:r>
        <w:rPr>
          <w:sz w:val="24"/>
        </w:rPr>
        <w:t xml:space="preserve"> Including financial bonds issued by the China Development Bank, policy financial bonds, ordinary bonds, subordinated bonds, and hybrid bonds issued by commercial banks, bonds issued by securities firms, inter-bank certificates of deposits, and so forth. </w:t>
      </w:r>
    </w:p>
    <w:p>
      <w:pPr>
        <w:autoSpaceDE w:val="0"/>
        <w:autoSpaceDN w:val="0"/>
        <w:adjustRightInd w:val="0"/>
        <w:rPr>
          <w:sz w:val="24"/>
        </w:rPr>
      </w:pPr>
      <w:r>
        <w:rPr>
          <w:rFonts w:hint="eastAsia" w:ascii="宋体" w:cs="宋体"/>
          <w:sz w:val="24"/>
        </w:rPr>
        <w:t>②</w:t>
      </w:r>
      <w:r>
        <w:rPr>
          <w:sz w:val="24"/>
        </w:rPr>
        <w:t xml:space="preserve"> Corporate debenture bonds include debt-financing instruments issued by non-financial enterprises, enterprise bonds, corporate bonds, convertible bonds, bonds with detachable warrants, privately placed SME bonds, and so forth. </w:t>
      </w:r>
    </w:p>
    <w:p>
      <w:pPr>
        <w:autoSpaceDE w:val="0"/>
        <w:autoSpaceDN w:val="0"/>
        <w:adjustRightInd w:val="0"/>
        <w:rPr>
          <w:rFonts w:ascii="Times" w:hAnsi="Times" w:cs="Times"/>
          <w:sz w:val="24"/>
        </w:rPr>
      </w:pPr>
      <w:r>
        <w:rPr>
          <w:rFonts w:ascii="Times" w:hAnsi="Times" w:cs="Times"/>
          <w:sz w:val="24"/>
        </w:rPr>
        <w:t>Sources: People’s Bank of China, National Development and Reform Commission, China Securities Regulatory Commission, and China Central Clearing Co., Ltd.</w:t>
      </w:r>
    </w:p>
    <w:p>
      <w:pPr>
        <w:autoSpaceDE w:val="0"/>
        <w:autoSpaceDN w:val="0"/>
        <w:adjustRightInd w:val="0"/>
        <w:rPr>
          <w:b/>
          <w:bCs/>
          <w:sz w:val="24"/>
        </w:rPr>
      </w:pPr>
    </w:p>
    <w:p>
      <w:pPr>
        <w:autoSpaceDE w:val="0"/>
        <w:autoSpaceDN w:val="0"/>
        <w:adjustRightInd w:val="0"/>
        <w:rPr>
          <w:kern w:val="0"/>
          <w:sz w:val="24"/>
        </w:rPr>
      </w:pPr>
      <w:r>
        <w:rPr>
          <w:kern w:val="0"/>
          <w:sz w:val="24"/>
        </w:rPr>
        <w:t xml:space="preserve">The </w:t>
      </w:r>
      <w:r>
        <w:rPr>
          <w:rFonts w:hint="eastAsia"/>
          <w:kern w:val="0"/>
          <w:sz w:val="24"/>
        </w:rPr>
        <w:t>coupon</w:t>
      </w:r>
      <w:r>
        <w:rPr>
          <w:kern w:val="0"/>
          <w:sz w:val="24"/>
        </w:rPr>
        <w:t xml:space="preserve"> rates of bonds generally increased. The rate of 10-year government bonds issued in June was 3.52 percent, an increase of 12 basis points from the rate of those of the same maturity issued in March. The rate of 10-year financial bonds issued by the China Development Bank was 4.15 percent, a decline of 14 basis points from those of the same maturity issued in March. The average rate of 1-year short-term financing bills (rated A-1) issued by AAA-rated enterprises was 5.16 percent, an increase of 53 basis points from March. The average </w:t>
      </w:r>
      <w:r>
        <w:rPr>
          <w:rFonts w:hint="eastAsia"/>
          <w:kern w:val="0"/>
          <w:sz w:val="24"/>
        </w:rPr>
        <w:t xml:space="preserve">coupon </w:t>
      </w:r>
      <w:r>
        <w:rPr>
          <w:kern w:val="0"/>
          <w:sz w:val="24"/>
        </w:rPr>
        <w:t xml:space="preserve">rate of 5-year medium-term notes was 6.01 percent, an increase of 78 basis points from March. The Shibor continued to </w:t>
      </w:r>
      <w:r>
        <w:rPr>
          <w:rFonts w:hint="eastAsia"/>
          <w:kern w:val="0"/>
          <w:sz w:val="24"/>
        </w:rPr>
        <w:t>serve as an</w:t>
      </w:r>
      <w:r>
        <w:rPr>
          <w:kern w:val="0"/>
          <w:sz w:val="24"/>
        </w:rPr>
        <w:t xml:space="preserve"> important benchmark in the pricing of bonds and inter-bank CDs. In H1, a total of 66 floating-rate bonds were issued based on the Shibor, with a gross issuance volume of RMB 44.36 billion; 92 fixed-rate enterprise bonds were issued, with a gross issuance volume of RMB 89.16 billion, all based on the Shibor; and a total of RMB 135.23 billion of fixed-rate short-term financing bills was issued based on the Shibor, accounting for 68.5 percent of all fixed-rate short-term financing bills.</w:t>
      </w:r>
    </w:p>
    <w:p>
      <w:pPr>
        <w:autoSpaceDE w:val="0"/>
        <w:autoSpaceDN w:val="0"/>
        <w:adjustRightInd w:val="0"/>
        <w:rPr>
          <w:kern w:val="0"/>
          <w:sz w:val="24"/>
        </w:rPr>
      </w:pPr>
    </w:p>
    <w:p>
      <w:pPr>
        <w:rPr>
          <w:b/>
          <w:sz w:val="24"/>
        </w:rPr>
      </w:pPr>
      <w:r>
        <w:rPr>
          <w:rFonts w:hint="eastAsia"/>
          <w:b/>
          <w:sz w:val="24"/>
        </w:rPr>
        <w:t>3.</w:t>
      </w:r>
      <w:r>
        <w:rPr>
          <w:b/>
          <w:sz w:val="24"/>
        </w:rPr>
        <w:t>The outstanding volume of bill financing continued to decrease and interest rates fluctuated mildly</w:t>
      </w:r>
    </w:p>
    <w:p>
      <w:pPr>
        <w:autoSpaceDE w:val="0"/>
        <w:autoSpaceDN w:val="0"/>
        <w:adjustRightInd w:val="0"/>
        <w:rPr>
          <w:kern w:val="0"/>
          <w:sz w:val="24"/>
        </w:rPr>
      </w:pPr>
      <w:r>
        <w:rPr>
          <w:kern w:val="0"/>
          <w:sz w:val="24"/>
        </w:rPr>
        <w:t>The bill acceptance business continued to fall. In H1, commercial bills issued by enterprises totaled RMB 9.5 trillion, an increase of 0.6 percent year on year; outstanding commercial bills posted RMB 8.3 trillion, a decline of 15.6 percent year on year. The balance of bill acceptances decreased each month, revealing a decline of RMB 750.3 billion between end-June and the beginning of 2017. In terms of industries, outstanding bankers’ acceptances were mainly issued by enterprises in the manufacturing, wholesale, and retail industries; in terms of the issuing entities, small- and medium-sized enterprises issu</w:t>
      </w:r>
      <w:r>
        <w:rPr>
          <w:rFonts w:hint="eastAsia"/>
          <w:kern w:val="0"/>
          <w:sz w:val="24"/>
        </w:rPr>
        <w:t>ed</w:t>
      </w:r>
      <w:r>
        <w:rPr>
          <w:kern w:val="0"/>
          <w:sz w:val="24"/>
        </w:rPr>
        <w:t xml:space="preserve"> about two-thirds of the total.</w:t>
      </w:r>
    </w:p>
    <w:p>
      <w:pPr>
        <w:autoSpaceDE w:val="0"/>
        <w:autoSpaceDN w:val="0"/>
        <w:adjustRightInd w:val="0"/>
        <w:rPr>
          <w:kern w:val="0"/>
          <w:sz w:val="24"/>
        </w:rPr>
      </w:pPr>
    </w:p>
    <w:p>
      <w:pPr>
        <w:autoSpaceDE w:val="0"/>
        <w:autoSpaceDN w:val="0"/>
        <w:adjustRightInd w:val="0"/>
        <w:rPr>
          <w:kern w:val="0"/>
          <w:sz w:val="24"/>
        </w:rPr>
      </w:pPr>
      <w:r>
        <w:rPr>
          <w:kern w:val="0"/>
          <w:sz w:val="24"/>
        </w:rPr>
        <w:t>The outstanding volume of bill financing declined, and bill market interest rates fluctuated mildly. In H1, financial institutions discounted a total of RMB 22.4 trillion of commercial bills, a decline of 56.9 percent year on year; at end</w:t>
      </w:r>
      <w:r>
        <w:rPr>
          <w:rFonts w:hint="eastAsia"/>
          <w:kern w:val="0"/>
          <w:sz w:val="24"/>
        </w:rPr>
        <w:t>-</w:t>
      </w:r>
      <w:r>
        <w:rPr>
          <w:kern w:val="0"/>
          <w:sz w:val="24"/>
        </w:rPr>
        <w:t xml:space="preserve">June, the outstanding balance of bill discounts stood at RMB 3.9 trillion, down 27.0 percent year on year. The balance of outstanding bill financing decreased each month, revealing a decline of RMB 1,588.2 billion between end-June and the beginning of 2017. The share of outstanding bill financing among the total outstanding loans was 3.39 percent, a decrease of 1.85 percentage points year on year. Interest rates on the bill market edged up among moderate fluctuations. </w:t>
      </w:r>
    </w:p>
    <w:p>
      <w:pPr>
        <w:autoSpaceDE w:val="0"/>
        <w:autoSpaceDN w:val="0"/>
        <w:adjustRightInd w:val="0"/>
        <w:rPr>
          <w:b/>
          <w:kern w:val="0"/>
          <w:sz w:val="24"/>
        </w:rPr>
      </w:pPr>
    </w:p>
    <w:p>
      <w:pPr>
        <w:rPr>
          <w:b/>
          <w:sz w:val="24"/>
        </w:rPr>
      </w:pPr>
      <w:r>
        <w:rPr>
          <w:rFonts w:hint="eastAsia"/>
          <w:b/>
          <w:sz w:val="24"/>
        </w:rPr>
        <w:t>4.</w:t>
      </w:r>
      <w:r>
        <w:rPr>
          <w:b/>
          <w:sz w:val="24"/>
        </w:rPr>
        <w:t>The stock indices remained broadly stable, whereas the trading volume and the amount of equity financing continued to decline year on year</w:t>
      </w:r>
    </w:p>
    <w:p>
      <w:pPr>
        <w:autoSpaceDE w:val="0"/>
        <w:autoSpaceDN w:val="0"/>
        <w:adjustRightInd w:val="0"/>
        <w:rPr>
          <w:kern w:val="0"/>
          <w:sz w:val="24"/>
        </w:rPr>
      </w:pPr>
      <w:r>
        <w:rPr>
          <w:kern w:val="0"/>
          <w:sz w:val="24"/>
        </w:rPr>
        <w:t xml:space="preserve">The stock indices remained broadly stable, with a rally in the </w:t>
      </w:r>
      <w:r>
        <w:rPr>
          <w:rFonts w:hint="eastAsia"/>
          <w:kern w:val="0"/>
          <w:sz w:val="24"/>
        </w:rPr>
        <w:t xml:space="preserve">prices of </w:t>
      </w:r>
      <w:r>
        <w:rPr>
          <w:kern w:val="0"/>
          <w:sz w:val="24"/>
        </w:rPr>
        <w:t>blue chip stocks. The Shanghai Stock Exchange Composite Index closed at 3,192 points at end-June, down 0.9 percent from end-March but up 2.9 percent from end-2016. The Shenzhen Stock Exchange Component Index closed at 10,530 points, up 1 percent from end-March and up 3.5 percent from end-2016. The Shanghai Stock 50 Index closed at 2,550 points, up 8.1 percent from end-March and up 11.5 percent from end-2016. The Growth Enterprise Board (GEM Board) Index (Chinext Price Index) closed at 1,818 points, down 4.7 percent from end-March and down 7.3 percent from end-2016. The weighted average P/E ratio of the A-share market on the Shanghai Stock Exchange rose from 15.9 times at end-2016 to 17 times at end-June, whereas that of the Shenzhen Stock Exchange fell from 41.6 times to 36 times.</w:t>
      </w:r>
    </w:p>
    <w:p>
      <w:pPr>
        <w:autoSpaceDE w:val="0"/>
        <w:autoSpaceDN w:val="0"/>
        <w:adjustRightInd w:val="0"/>
        <w:rPr>
          <w:kern w:val="0"/>
          <w:sz w:val="24"/>
        </w:rPr>
      </w:pPr>
    </w:p>
    <w:p>
      <w:pPr>
        <w:autoSpaceDE w:val="0"/>
        <w:autoSpaceDN w:val="0"/>
        <w:adjustRightInd w:val="0"/>
        <w:rPr>
          <w:kern w:val="0"/>
          <w:sz w:val="24"/>
        </w:rPr>
      </w:pPr>
      <w:r>
        <w:rPr>
          <w:kern w:val="0"/>
          <w:sz w:val="24"/>
        </w:rPr>
        <w:t>Turnover on the stock markets continued to drop. In H1, the combined turnover of the Shanghai and Shenzhen Stock Exchanges was RMB 52.3 trillion and the average daily turnover was RMB 439.1 billion, a fall of 17.7 percent year on year and a decline of 2 percent from Q1. Turnover on the GEM Board totaled RMB 7.8 trillion, a decrease of 32.1 percent year on year. At end-June, the combined market capitalization of the Shanghai and Shenzhen Exchanges posted RMB 41.6 trillion, an increase of 14.5 percent year on year; and the market capitalization of the GEM Board posted RMB 3 trillion, a decrease of 1.3 percent year on year.</w:t>
      </w:r>
    </w:p>
    <w:p>
      <w:pPr>
        <w:autoSpaceDE w:val="0"/>
        <w:autoSpaceDN w:val="0"/>
        <w:adjustRightInd w:val="0"/>
        <w:rPr>
          <w:kern w:val="0"/>
          <w:sz w:val="24"/>
        </w:rPr>
      </w:pPr>
    </w:p>
    <w:p>
      <w:pPr>
        <w:autoSpaceDE w:val="0"/>
        <w:autoSpaceDN w:val="0"/>
        <w:adjustRightInd w:val="0"/>
        <w:rPr>
          <w:kern w:val="0"/>
          <w:sz w:val="24"/>
        </w:rPr>
      </w:pPr>
      <w:r>
        <w:rPr>
          <w:kern w:val="0"/>
          <w:sz w:val="24"/>
        </w:rPr>
        <w:t>The amount of equity financing declined year on year. In H1, a total of RMB 562.6 billion was raised by enterprises and financial institutions by way of IPOs, additional offerings, rights issuances, and warrant exercises on the domestic and overseas stock markets, representing a decrease of 15 percent year on year. Among this total, RMB 524.4 billion was raised on the A-share market, a decline of 18.6 percent year on year.</w:t>
      </w:r>
    </w:p>
    <w:p>
      <w:pPr>
        <w:autoSpaceDE w:val="0"/>
        <w:autoSpaceDN w:val="0"/>
        <w:adjustRightInd w:val="0"/>
        <w:rPr>
          <w:b/>
          <w:kern w:val="0"/>
          <w:sz w:val="24"/>
        </w:rPr>
      </w:pPr>
    </w:p>
    <w:p>
      <w:pPr>
        <w:rPr>
          <w:b/>
          <w:sz w:val="24"/>
        </w:rPr>
      </w:pPr>
      <w:r>
        <w:rPr>
          <w:rFonts w:hint="eastAsia"/>
          <w:b/>
          <w:sz w:val="24"/>
        </w:rPr>
        <w:t>5.</w:t>
      </w:r>
      <w:r>
        <w:rPr>
          <w:b/>
          <w:sz w:val="24"/>
        </w:rPr>
        <w:t>The growth of asset and premium income in the insurance sector moderated</w:t>
      </w:r>
    </w:p>
    <w:p>
      <w:pPr>
        <w:autoSpaceDE w:val="0"/>
        <w:autoSpaceDN w:val="0"/>
        <w:adjustRightInd w:val="0"/>
        <w:rPr>
          <w:kern w:val="0"/>
          <w:sz w:val="24"/>
        </w:rPr>
      </w:pPr>
      <w:r>
        <w:rPr>
          <w:kern w:val="0"/>
          <w:sz w:val="24"/>
        </w:rPr>
        <w:t xml:space="preserve">In H1, the total premium income in the insurance industry amounted to RMB 2.3 trillion, representing year-on-year growth of 23 percent and a deceleration of 14.3 percentage points from the same period of the last year. </w:t>
      </w:r>
      <w:r>
        <w:rPr>
          <w:rFonts w:hint="eastAsia"/>
          <w:kern w:val="0"/>
          <w:sz w:val="24"/>
        </w:rPr>
        <w:t>C</w:t>
      </w:r>
      <w:r>
        <w:rPr>
          <w:kern w:val="0"/>
          <w:sz w:val="24"/>
        </w:rPr>
        <w:t xml:space="preserve">laim and benefit payments </w:t>
      </w:r>
      <w:r>
        <w:rPr>
          <w:rFonts w:hint="eastAsia"/>
          <w:kern w:val="0"/>
          <w:sz w:val="24"/>
        </w:rPr>
        <w:t>t</w:t>
      </w:r>
      <w:r>
        <w:rPr>
          <w:kern w:val="0"/>
          <w:sz w:val="24"/>
        </w:rPr>
        <w:t>otal</w:t>
      </w:r>
      <w:r>
        <w:rPr>
          <w:rFonts w:hint="eastAsia"/>
          <w:kern w:val="0"/>
          <w:sz w:val="24"/>
        </w:rPr>
        <w:t>ed</w:t>
      </w:r>
      <w:r>
        <w:rPr>
          <w:kern w:val="0"/>
          <w:sz w:val="24"/>
        </w:rPr>
        <w:t xml:space="preserve">  RMB 578.6 billion, representing year-on-year growth of 9.9 percent. Specifically, total claim and benefit payments in the property-insurance sector increased by 6 percent year on year and those in the life-insurance sector increased by 12.7 percent.</w:t>
      </w:r>
    </w:p>
    <w:p>
      <w:pPr>
        <w:autoSpaceDE w:val="0"/>
        <w:autoSpaceDN w:val="0"/>
        <w:adjustRightInd w:val="0"/>
        <w:rPr>
          <w:kern w:val="0"/>
          <w:sz w:val="24"/>
        </w:rPr>
      </w:pPr>
    </w:p>
    <w:p>
      <w:pPr>
        <w:keepNext/>
        <w:autoSpaceDE w:val="0"/>
        <w:autoSpaceDN w:val="0"/>
        <w:adjustRightInd w:val="0"/>
        <w:jc w:val="center"/>
        <w:rPr>
          <w:b/>
          <w:bCs/>
          <w:sz w:val="24"/>
        </w:rPr>
      </w:pPr>
      <w:bookmarkStart w:id="105" w:name="_Toc492909034"/>
      <w:r>
        <w:rPr>
          <w:b/>
          <w:bCs/>
          <w:sz w:val="24"/>
        </w:rPr>
        <w:t xml:space="preserve">Table </w:t>
      </w:r>
      <w:r>
        <w:rPr>
          <w:b/>
          <w:bCs/>
          <w:sz w:val="24"/>
        </w:rPr>
        <w:fldChar w:fldCharType="begin"/>
      </w:r>
      <w:r>
        <w:rPr>
          <w:b/>
          <w:bCs/>
          <w:sz w:val="24"/>
        </w:rPr>
        <w:instrText xml:space="preserve"> SEQ Table \* ARABIC </w:instrText>
      </w:r>
      <w:r>
        <w:rPr>
          <w:b/>
          <w:bCs/>
          <w:sz w:val="24"/>
        </w:rPr>
        <w:fldChar w:fldCharType="separate"/>
      </w:r>
      <w:r>
        <w:rPr>
          <w:b/>
          <w:bCs/>
          <w:sz w:val="24"/>
        </w:rPr>
        <w:t>12</w:t>
      </w:r>
      <w:r>
        <w:rPr>
          <w:b/>
          <w:bCs/>
          <w:sz w:val="24"/>
        </w:rPr>
        <w:fldChar w:fldCharType="end"/>
      </w:r>
      <w:r>
        <w:rPr>
          <w:b/>
          <w:bCs/>
          <w:sz w:val="24"/>
        </w:rPr>
        <w:t xml:space="preserve"> Use of Insurance Funds, End-June 2017</w:t>
      </w:r>
      <w:bookmarkEnd w:id="105"/>
    </w:p>
    <w:p>
      <w:pPr>
        <w:pStyle w:val="4"/>
        <w:jc w:val="center"/>
      </w:pPr>
    </w:p>
    <w:tbl>
      <w:tblPr>
        <w:tblStyle w:val="20"/>
        <w:tblW w:w="8701" w:type="dxa"/>
        <w:jc w:val="center"/>
        <w:tblInd w:w="0" w:type="dxa"/>
        <w:tblLayout w:type="fixed"/>
        <w:tblCellMar>
          <w:top w:w="0" w:type="dxa"/>
          <w:left w:w="0" w:type="dxa"/>
          <w:bottom w:w="0" w:type="dxa"/>
          <w:right w:w="0" w:type="dxa"/>
        </w:tblCellMar>
      </w:tblPr>
      <w:tblGrid>
        <w:gridCol w:w="2490"/>
        <w:gridCol w:w="1682"/>
        <w:gridCol w:w="1490"/>
        <w:gridCol w:w="1535"/>
        <w:gridCol w:w="1504"/>
      </w:tblGrid>
      <w:tr>
        <w:tblPrEx>
          <w:tblLayout w:type="fixed"/>
          <w:tblCellMar>
            <w:top w:w="0" w:type="dxa"/>
            <w:left w:w="0" w:type="dxa"/>
            <w:bottom w:w="0" w:type="dxa"/>
            <w:right w:w="0" w:type="dxa"/>
          </w:tblCellMar>
        </w:tblPrEx>
        <w:trPr>
          <w:trHeight w:val="402" w:hRule="atLeast"/>
          <w:jc w:val="center"/>
        </w:trPr>
        <w:tc>
          <w:tcPr>
            <w:tcW w:w="2490" w:type="dxa"/>
            <w:tcBorders>
              <w:top w:val="single" w:color="339966" w:sz="8" w:space="0"/>
              <w:left w:val="nil"/>
              <w:bottom w:val="nil"/>
              <w:right w:val="single" w:color="339966" w:sz="2" w:space="0"/>
            </w:tcBorders>
            <w:shd w:val="clear" w:color="auto" w:fill="CCFFCC"/>
            <w:vAlign w:val="center"/>
          </w:tcPr>
          <w:p>
            <w:pPr>
              <w:autoSpaceDE w:val="0"/>
              <w:autoSpaceDN w:val="0"/>
              <w:adjustRightInd w:val="0"/>
              <w:rPr>
                <w:rFonts w:cs="Calibri"/>
              </w:rPr>
            </w:pPr>
          </w:p>
        </w:tc>
        <w:tc>
          <w:tcPr>
            <w:tcW w:w="3172" w:type="dxa"/>
            <w:gridSpan w:val="2"/>
            <w:tcBorders>
              <w:top w:val="single" w:color="008000" w:sz="8" w:space="0"/>
              <w:left w:val="nil"/>
              <w:bottom w:val="single" w:color="008000" w:sz="2" w:space="0"/>
              <w:right w:val="single" w:color="008000" w:sz="2" w:space="0"/>
            </w:tcBorders>
            <w:shd w:val="clear" w:color="auto" w:fill="CCFFCC"/>
            <w:vAlign w:val="center"/>
          </w:tcPr>
          <w:p>
            <w:pPr>
              <w:autoSpaceDE w:val="0"/>
              <w:autoSpaceDN w:val="0"/>
              <w:adjustRightInd w:val="0"/>
              <w:jc w:val="center"/>
              <w:rPr>
                <w:rFonts w:cs="Calibri"/>
              </w:rPr>
            </w:pPr>
            <w:r>
              <w:rPr>
                <w:szCs w:val="21"/>
              </w:rPr>
              <w:t>Outstanding balance (RMB 100 million)</w:t>
            </w:r>
          </w:p>
        </w:tc>
        <w:tc>
          <w:tcPr>
            <w:tcW w:w="3039" w:type="dxa"/>
            <w:gridSpan w:val="2"/>
            <w:tcBorders>
              <w:top w:val="single" w:color="008000" w:sz="8" w:space="0"/>
              <w:left w:val="nil"/>
              <w:bottom w:val="single" w:color="008000" w:sz="2" w:space="0"/>
              <w:right w:val="nil"/>
            </w:tcBorders>
            <w:shd w:val="clear" w:color="auto" w:fill="CCFFCC"/>
            <w:vAlign w:val="center"/>
          </w:tcPr>
          <w:p>
            <w:pPr>
              <w:autoSpaceDE w:val="0"/>
              <w:autoSpaceDN w:val="0"/>
              <w:adjustRightInd w:val="0"/>
              <w:jc w:val="center"/>
              <w:rPr>
                <w:rFonts w:cs="Calibri"/>
              </w:rPr>
            </w:pPr>
            <w:r>
              <w:rPr>
                <w:szCs w:val="21"/>
              </w:rPr>
              <w:t>As a share of total assets (%)</w:t>
            </w:r>
          </w:p>
        </w:tc>
      </w:tr>
      <w:tr>
        <w:tblPrEx>
          <w:tblLayout w:type="fixed"/>
          <w:tblCellMar>
            <w:top w:w="0" w:type="dxa"/>
            <w:left w:w="0" w:type="dxa"/>
            <w:bottom w:w="0" w:type="dxa"/>
            <w:right w:w="0" w:type="dxa"/>
          </w:tblCellMar>
        </w:tblPrEx>
        <w:trPr>
          <w:trHeight w:val="258" w:hRule="atLeast"/>
          <w:jc w:val="center"/>
        </w:trPr>
        <w:tc>
          <w:tcPr>
            <w:tcW w:w="2490" w:type="dxa"/>
            <w:tcBorders>
              <w:top w:val="nil"/>
              <w:left w:val="nil"/>
              <w:bottom w:val="single" w:color="339966" w:sz="4" w:space="0"/>
              <w:right w:val="single" w:color="339966" w:sz="2" w:space="0"/>
            </w:tcBorders>
            <w:shd w:val="clear" w:color="000000" w:fill="FFFFFF"/>
            <w:vAlign w:val="center"/>
          </w:tcPr>
          <w:p>
            <w:pPr>
              <w:keepNext/>
              <w:keepLines/>
              <w:autoSpaceDE w:val="0"/>
              <w:autoSpaceDN w:val="0"/>
              <w:adjustRightInd w:val="0"/>
              <w:rPr>
                <w:rFonts w:cs="Calibri"/>
              </w:rPr>
            </w:pPr>
          </w:p>
        </w:tc>
        <w:tc>
          <w:tcPr>
            <w:tcW w:w="1682" w:type="dxa"/>
            <w:tcBorders>
              <w:top w:val="single" w:color="008000" w:sz="2" w:space="0"/>
              <w:left w:val="nil"/>
              <w:bottom w:val="single" w:color="339966" w:sz="4" w:space="0"/>
              <w:right w:val="single" w:color="008000" w:sz="2" w:space="0"/>
            </w:tcBorders>
            <w:shd w:val="clear" w:color="000000" w:fill="FFFFFF"/>
            <w:vAlign w:val="center"/>
          </w:tcPr>
          <w:p>
            <w:pPr>
              <w:autoSpaceDE w:val="0"/>
              <w:autoSpaceDN w:val="0"/>
              <w:adjustRightInd w:val="0"/>
              <w:jc w:val="center"/>
              <w:rPr>
                <w:rFonts w:cs="Calibri"/>
              </w:rPr>
            </w:pPr>
            <w:r>
              <w:rPr>
                <w:szCs w:val="21"/>
              </w:rPr>
              <w:t>End-June 2017</w:t>
            </w:r>
          </w:p>
        </w:tc>
        <w:tc>
          <w:tcPr>
            <w:tcW w:w="1490" w:type="dxa"/>
            <w:tcBorders>
              <w:top w:val="single" w:color="008000" w:sz="2" w:space="0"/>
              <w:left w:val="nil"/>
              <w:bottom w:val="single" w:color="339966" w:sz="4" w:space="0"/>
              <w:right w:val="single" w:color="008000" w:sz="2" w:space="0"/>
            </w:tcBorders>
            <w:shd w:val="clear" w:color="000000" w:fill="FFFFFF"/>
            <w:vAlign w:val="center"/>
          </w:tcPr>
          <w:p>
            <w:pPr>
              <w:autoSpaceDE w:val="0"/>
              <w:autoSpaceDN w:val="0"/>
              <w:adjustRightInd w:val="0"/>
              <w:jc w:val="center"/>
              <w:rPr>
                <w:rFonts w:cs="Calibri"/>
              </w:rPr>
            </w:pPr>
            <w:r>
              <w:rPr>
                <w:szCs w:val="21"/>
              </w:rPr>
              <w:t>End-June 2016</w:t>
            </w:r>
          </w:p>
        </w:tc>
        <w:tc>
          <w:tcPr>
            <w:tcW w:w="1535" w:type="dxa"/>
            <w:tcBorders>
              <w:top w:val="single" w:color="008000" w:sz="2" w:space="0"/>
              <w:left w:val="nil"/>
              <w:bottom w:val="single" w:color="339966" w:sz="4" w:space="0"/>
              <w:right w:val="single" w:color="008000" w:sz="2" w:space="0"/>
            </w:tcBorders>
            <w:shd w:val="clear" w:color="000000" w:fill="FFFFFF"/>
            <w:vAlign w:val="center"/>
          </w:tcPr>
          <w:p>
            <w:pPr>
              <w:autoSpaceDE w:val="0"/>
              <w:autoSpaceDN w:val="0"/>
              <w:adjustRightInd w:val="0"/>
              <w:jc w:val="center"/>
              <w:rPr>
                <w:rFonts w:cs="Calibri"/>
              </w:rPr>
            </w:pPr>
            <w:r>
              <w:rPr>
                <w:szCs w:val="21"/>
              </w:rPr>
              <w:t>End-June 2017</w:t>
            </w:r>
          </w:p>
        </w:tc>
        <w:tc>
          <w:tcPr>
            <w:tcW w:w="1504" w:type="dxa"/>
            <w:tcBorders>
              <w:top w:val="single" w:color="008000" w:sz="2" w:space="0"/>
              <w:left w:val="nil"/>
              <w:bottom w:val="single" w:color="339966" w:sz="4" w:space="0"/>
              <w:right w:val="nil"/>
            </w:tcBorders>
            <w:shd w:val="clear" w:color="000000" w:fill="FFFFFF"/>
            <w:vAlign w:val="center"/>
          </w:tcPr>
          <w:p>
            <w:pPr>
              <w:autoSpaceDE w:val="0"/>
              <w:autoSpaceDN w:val="0"/>
              <w:adjustRightInd w:val="0"/>
              <w:jc w:val="center"/>
              <w:rPr>
                <w:rFonts w:cs="Calibri"/>
              </w:rPr>
            </w:pPr>
            <w:r>
              <w:rPr>
                <w:szCs w:val="21"/>
              </w:rPr>
              <w:t>End-June 2016</w:t>
            </w:r>
          </w:p>
        </w:tc>
      </w:tr>
      <w:tr>
        <w:tblPrEx>
          <w:tblLayout w:type="fixed"/>
          <w:tblCellMar>
            <w:top w:w="0" w:type="dxa"/>
            <w:left w:w="0" w:type="dxa"/>
            <w:bottom w:w="0" w:type="dxa"/>
            <w:right w:w="0" w:type="dxa"/>
          </w:tblCellMar>
        </w:tblPrEx>
        <w:trPr>
          <w:trHeight w:val="402" w:hRule="atLeast"/>
          <w:jc w:val="center"/>
        </w:trPr>
        <w:tc>
          <w:tcPr>
            <w:tcW w:w="2490" w:type="dxa"/>
            <w:tcBorders>
              <w:top w:val="single" w:color="339966" w:sz="4" w:space="0"/>
              <w:left w:val="nil"/>
              <w:bottom w:val="nil"/>
              <w:right w:val="single" w:color="339966" w:sz="2" w:space="0"/>
            </w:tcBorders>
            <w:shd w:val="clear" w:color="auto" w:fill="CCFFCC"/>
            <w:vAlign w:val="center"/>
          </w:tcPr>
          <w:p>
            <w:pPr>
              <w:autoSpaceDE w:val="0"/>
              <w:autoSpaceDN w:val="0"/>
              <w:adjustRightInd w:val="0"/>
              <w:rPr>
                <w:rFonts w:cs="Calibri"/>
              </w:rPr>
            </w:pPr>
            <w:r>
              <w:rPr>
                <w:szCs w:val="21"/>
              </w:rPr>
              <w:t xml:space="preserve">Total assets </w:t>
            </w:r>
          </w:p>
        </w:tc>
        <w:tc>
          <w:tcPr>
            <w:tcW w:w="1682" w:type="dxa"/>
            <w:tcBorders>
              <w:top w:val="single" w:color="339966" w:sz="4" w:space="0"/>
              <w:left w:val="nil"/>
              <w:bottom w:val="nil"/>
              <w:right w:val="single" w:color="008000" w:sz="2" w:space="0"/>
            </w:tcBorders>
            <w:shd w:val="clear" w:color="auto" w:fill="CCFFCC"/>
          </w:tcPr>
          <w:p>
            <w:pPr>
              <w:autoSpaceDE w:val="0"/>
              <w:autoSpaceDN w:val="0"/>
              <w:adjustRightInd w:val="0"/>
              <w:ind w:left="-42" w:right="273"/>
              <w:jc w:val="right"/>
              <w:rPr>
                <w:color w:val="000000"/>
                <w:szCs w:val="21"/>
              </w:rPr>
            </w:pPr>
            <w:r>
              <w:rPr>
                <w:color w:val="000000"/>
                <w:szCs w:val="21"/>
              </w:rPr>
              <w:t>164</w:t>
            </w:r>
            <w:r>
              <w:rPr>
                <w:rFonts w:hint="eastAsia"/>
                <w:color w:val="000000"/>
                <w:szCs w:val="21"/>
              </w:rPr>
              <w:t>,</w:t>
            </w:r>
            <w:r>
              <w:rPr>
                <w:color w:val="000000"/>
                <w:szCs w:val="21"/>
              </w:rPr>
              <w:t xml:space="preserve">304 </w:t>
            </w:r>
          </w:p>
        </w:tc>
        <w:tc>
          <w:tcPr>
            <w:tcW w:w="1490" w:type="dxa"/>
            <w:tcBorders>
              <w:top w:val="single" w:color="339966" w:sz="4" w:space="0"/>
              <w:left w:val="single" w:color="008000" w:sz="2" w:space="0"/>
              <w:bottom w:val="nil"/>
              <w:right w:val="single" w:color="008000" w:sz="2" w:space="0"/>
            </w:tcBorders>
            <w:shd w:val="clear" w:color="auto" w:fill="CCFFCC"/>
          </w:tcPr>
          <w:p>
            <w:pPr>
              <w:autoSpaceDE w:val="0"/>
              <w:autoSpaceDN w:val="0"/>
              <w:adjustRightInd w:val="0"/>
              <w:ind w:left="-42" w:right="273"/>
              <w:jc w:val="right"/>
              <w:rPr>
                <w:color w:val="000000"/>
                <w:szCs w:val="21"/>
              </w:rPr>
            </w:pPr>
            <w:r>
              <w:rPr>
                <w:color w:val="000000"/>
                <w:szCs w:val="21"/>
              </w:rPr>
              <w:t>142,661</w:t>
            </w:r>
          </w:p>
        </w:tc>
        <w:tc>
          <w:tcPr>
            <w:tcW w:w="1535" w:type="dxa"/>
            <w:tcBorders>
              <w:top w:val="single" w:color="339966" w:sz="4" w:space="0"/>
              <w:left w:val="single" w:color="008000" w:sz="2" w:space="0"/>
              <w:bottom w:val="nil"/>
              <w:right w:val="single" w:color="008000" w:sz="2" w:space="0"/>
            </w:tcBorders>
            <w:shd w:val="clear" w:color="auto" w:fill="CCFFCC"/>
          </w:tcPr>
          <w:p>
            <w:pPr>
              <w:autoSpaceDE w:val="0"/>
              <w:autoSpaceDN w:val="0"/>
              <w:adjustRightInd w:val="0"/>
              <w:ind w:left="-42" w:right="273"/>
              <w:jc w:val="right"/>
              <w:rPr>
                <w:color w:val="000000"/>
                <w:szCs w:val="21"/>
              </w:rPr>
            </w:pPr>
            <w:r>
              <w:rPr>
                <w:color w:val="000000"/>
                <w:szCs w:val="21"/>
              </w:rPr>
              <w:t>100</w:t>
            </w:r>
          </w:p>
        </w:tc>
        <w:tc>
          <w:tcPr>
            <w:tcW w:w="1504" w:type="dxa"/>
            <w:tcBorders>
              <w:top w:val="single" w:color="339966" w:sz="4" w:space="0"/>
              <w:left w:val="single" w:color="008000" w:sz="2" w:space="0"/>
              <w:bottom w:val="nil"/>
              <w:right w:val="nil"/>
            </w:tcBorders>
            <w:shd w:val="clear" w:color="auto" w:fill="CCFFCC"/>
          </w:tcPr>
          <w:p>
            <w:pPr>
              <w:autoSpaceDE w:val="0"/>
              <w:autoSpaceDN w:val="0"/>
              <w:adjustRightInd w:val="0"/>
              <w:ind w:left="-42" w:right="273"/>
              <w:jc w:val="right"/>
              <w:rPr>
                <w:color w:val="000000"/>
                <w:szCs w:val="21"/>
              </w:rPr>
            </w:pPr>
            <w:r>
              <w:rPr>
                <w:color w:val="000000"/>
                <w:szCs w:val="21"/>
              </w:rPr>
              <w:t>100</w:t>
            </w:r>
          </w:p>
        </w:tc>
      </w:tr>
      <w:tr>
        <w:tblPrEx>
          <w:tblLayout w:type="fixed"/>
          <w:tblCellMar>
            <w:top w:w="0" w:type="dxa"/>
            <w:left w:w="0" w:type="dxa"/>
            <w:bottom w:w="0" w:type="dxa"/>
            <w:right w:w="0" w:type="dxa"/>
          </w:tblCellMar>
        </w:tblPrEx>
        <w:trPr>
          <w:trHeight w:val="402" w:hRule="atLeast"/>
          <w:jc w:val="center"/>
        </w:trPr>
        <w:tc>
          <w:tcPr>
            <w:tcW w:w="2490" w:type="dxa"/>
            <w:tcBorders>
              <w:top w:val="nil"/>
              <w:left w:val="nil"/>
              <w:bottom w:val="nil"/>
              <w:right w:val="single" w:color="339966" w:sz="2" w:space="0"/>
            </w:tcBorders>
            <w:shd w:val="clear" w:color="000000" w:fill="FFFFFF"/>
            <w:vAlign w:val="center"/>
          </w:tcPr>
          <w:p>
            <w:pPr>
              <w:autoSpaceDE w:val="0"/>
              <w:autoSpaceDN w:val="0"/>
              <w:adjustRightInd w:val="0"/>
              <w:ind w:firstLine="210" w:firstLineChars="100"/>
              <w:rPr>
                <w:rFonts w:cs="Calibri"/>
              </w:rPr>
            </w:pPr>
            <w:r>
              <w:rPr>
                <w:szCs w:val="21"/>
              </w:rPr>
              <w:t>Of which: Bank deposits</w:t>
            </w:r>
          </w:p>
        </w:tc>
        <w:tc>
          <w:tcPr>
            <w:tcW w:w="1682" w:type="dxa"/>
            <w:tcBorders>
              <w:top w:val="nil"/>
              <w:left w:val="nil"/>
              <w:bottom w:val="nil"/>
              <w:right w:val="single" w:color="008000" w:sz="2" w:space="0"/>
            </w:tcBorders>
            <w:shd w:val="clear" w:color="000000" w:fill="FFFFFF"/>
          </w:tcPr>
          <w:p>
            <w:pPr>
              <w:autoSpaceDE w:val="0"/>
              <w:autoSpaceDN w:val="0"/>
              <w:adjustRightInd w:val="0"/>
              <w:ind w:left="-42" w:right="273"/>
              <w:jc w:val="right"/>
              <w:rPr>
                <w:color w:val="000000"/>
                <w:szCs w:val="21"/>
              </w:rPr>
            </w:pPr>
            <w:r>
              <w:rPr>
                <w:color w:val="000000"/>
                <w:szCs w:val="21"/>
              </w:rPr>
              <w:t xml:space="preserve">21,593 </w:t>
            </w:r>
          </w:p>
        </w:tc>
        <w:tc>
          <w:tcPr>
            <w:tcW w:w="1490" w:type="dxa"/>
            <w:tcBorders>
              <w:top w:val="nil"/>
              <w:left w:val="single" w:color="008000" w:sz="2" w:space="0"/>
              <w:bottom w:val="nil"/>
              <w:right w:val="single" w:color="008000" w:sz="2" w:space="0"/>
            </w:tcBorders>
            <w:shd w:val="clear" w:color="000000" w:fill="FFFFFF"/>
          </w:tcPr>
          <w:p>
            <w:pPr>
              <w:autoSpaceDE w:val="0"/>
              <w:autoSpaceDN w:val="0"/>
              <w:adjustRightInd w:val="0"/>
              <w:ind w:left="-42" w:right="273"/>
              <w:jc w:val="right"/>
              <w:rPr>
                <w:color w:val="000000"/>
                <w:szCs w:val="21"/>
              </w:rPr>
            </w:pPr>
            <w:r>
              <w:rPr>
                <w:color w:val="000000"/>
                <w:szCs w:val="21"/>
              </w:rPr>
              <w:t>23,605</w:t>
            </w:r>
          </w:p>
        </w:tc>
        <w:tc>
          <w:tcPr>
            <w:tcW w:w="1535" w:type="dxa"/>
            <w:tcBorders>
              <w:top w:val="nil"/>
              <w:left w:val="single" w:color="008000" w:sz="2" w:space="0"/>
              <w:bottom w:val="nil"/>
              <w:right w:val="single" w:color="008000" w:sz="2" w:space="0"/>
            </w:tcBorders>
            <w:shd w:val="clear" w:color="000000" w:fill="FFFFFF"/>
            <w:vAlign w:val="center"/>
          </w:tcPr>
          <w:p>
            <w:pPr>
              <w:autoSpaceDE w:val="0"/>
              <w:autoSpaceDN w:val="0"/>
              <w:adjustRightInd w:val="0"/>
              <w:ind w:left="-42" w:right="273"/>
              <w:jc w:val="right"/>
              <w:rPr>
                <w:color w:val="000000"/>
                <w:szCs w:val="21"/>
              </w:rPr>
            </w:pPr>
            <w:r>
              <w:rPr>
                <w:color w:val="000000"/>
                <w:szCs w:val="21"/>
              </w:rPr>
              <w:t xml:space="preserve">13.1 </w:t>
            </w:r>
          </w:p>
        </w:tc>
        <w:tc>
          <w:tcPr>
            <w:tcW w:w="1504" w:type="dxa"/>
            <w:tcBorders>
              <w:top w:val="nil"/>
              <w:left w:val="single" w:color="008000" w:sz="2" w:space="0"/>
              <w:bottom w:val="nil"/>
              <w:right w:val="nil"/>
            </w:tcBorders>
            <w:shd w:val="clear" w:color="000000" w:fill="FFFFFF"/>
          </w:tcPr>
          <w:p>
            <w:pPr>
              <w:autoSpaceDE w:val="0"/>
              <w:autoSpaceDN w:val="0"/>
              <w:adjustRightInd w:val="0"/>
              <w:ind w:left="-42" w:right="273"/>
              <w:jc w:val="right"/>
              <w:rPr>
                <w:color w:val="000000"/>
                <w:szCs w:val="21"/>
              </w:rPr>
            </w:pPr>
            <w:r>
              <w:rPr>
                <w:color w:val="000000"/>
                <w:szCs w:val="21"/>
              </w:rPr>
              <w:t>16.5</w:t>
            </w:r>
          </w:p>
        </w:tc>
      </w:tr>
      <w:tr>
        <w:tblPrEx>
          <w:tblLayout w:type="fixed"/>
          <w:tblCellMar>
            <w:top w:w="0" w:type="dxa"/>
            <w:left w:w="0" w:type="dxa"/>
            <w:bottom w:w="0" w:type="dxa"/>
            <w:right w:w="0" w:type="dxa"/>
          </w:tblCellMar>
        </w:tblPrEx>
        <w:trPr>
          <w:trHeight w:val="374" w:hRule="atLeast"/>
          <w:jc w:val="center"/>
        </w:trPr>
        <w:tc>
          <w:tcPr>
            <w:tcW w:w="2490" w:type="dxa"/>
            <w:tcBorders>
              <w:top w:val="nil"/>
              <w:left w:val="nil"/>
              <w:bottom w:val="single" w:color="339966" w:sz="8" w:space="0"/>
              <w:right w:val="single" w:color="339966" w:sz="2" w:space="0"/>
            </w:tcBorders>
            <w:shd w:val="clear" w:color="auto" w:fill="CCFFCC"/>
            <w:vAlign w:val="center"/>
          </w:tcPr>
          <w:p>
            <w:pPr>
              <w:autoSpaceDE w:val="0"/>
              <w:autoSpaceDN w:val="0"/>
              <w:adjustRightInd w:val="0"/>
              <w:ind w:left="1470" w:hanging="1260"/>
              <w:rPr>
                <w:rFonts w:cs="Calibri"/>
              </w:rPr>
            </w:pPr>
            <w:r>
              <w:rPr>
                <w:szCs w:val="21"/>
              </w:rPr>
              <w:t xml:space="preserve">        </w:t>
            </w:r>
            <w:r>
              <w:rPr>
                <w:rFonts w:hint="eastAsia"/>
                <w:szCs w:val="21"/>
              </w:rPr>
              <w:t xml:space="preserve">         </w:t>
            </w:r>
            <w:r>
              <w:rPr>
                <w:szCs w:val="21"/>
              </w:rPr>
              <w:t xml:space="preserve">Investments </w:t>
            </w:r>
          </w:p>
        </w:tc>
        <w:tc>
          <w:tcPr>
            <w:tcW w:w="1682" w:type="dxa"/>
            <w:tcBorders>
              <w:top w:val="nil"/>
              <w:left w:val="nil"/>
              <w:bottom w:val="single" w:color="339966" w:sz="8" w:space="0"/>
              <w:right w:val="single" w:color="008000" w:sz="2" w:space="0"/>
            </w:tcBorders>
            <w:shd w:val="clear" w:color="auto" w:fill="CCFFCC"/>
          </w:tcPr>
          <w:p>
            <w:pPr>
              <w:autoSpaceDE w:val="0"/>
              <w:autoSpaceDN w:val="0"/>
              <w:adjustRightInd w:val="0"/>
              <w:ind w:left="-42" w:right="273"/>
              <w:jc w:val="right"/>
              <w:rPr>
                <w:color w:val="000000"/>
                <w:szCs w:val="21"/>
              </w:rPr>
            </w:pPr>
            <w:r>
              <w:rPr>
                <w:color w:val="000000"/>
                <w:szCs w:val="21"/>
              </w:rPr>
              <w:t xml:space="preserve">123,406 </w:t>
            </w:r>
          </w:p>
        </w:tc>
        <w:tc>
          <w:tcPr>
            <w:tcW w:w="1490" w:type="dxa"/>
            <w:tcBorders>
              <w:top w:val="nil"/>
              <w:left w:val="single" w:color="008000" w:sz="2" w:space="0"/>
              <w:bottom w:val="single" w:color="339966" w:sz="8" w:space="0"/>
              <w:right w:val="single" w:color="008000" w:sz="2" w:space="0"/>
            </w:tcBorders>
            <w:shd w:val="clear" w:color="auto" w:fill="CCFFCC"/>
          </w:tcPr>
          <w:p>
            <w:pPr>
              <w:autoSpaceDE w:val="0"/>
              <w:autoSpaceDN w:val="0"/>
              <w:adjustRightInd w:val="0"/>
              <w:ind w:left="-42" w:right="273"/>
              <w:jc w:val="right"/>
              <w:rPr>
                <w:color w:val="000000"/>
                <w:szCs w:val="21"/>
              </w:rPr>
            </w:pPr>
            <w:r>
              <w:rPr>
                <w:color w:val="000000"/>
                <w:szCs w:val="21"/>
              </w:rPr>
              <w:t>102,024</w:t>
            </w:r>
          </w:p>
        </w:tc>
        <w:tc>
          <w:tcPr>
            <w:tcW w:w="1535" w:type="dxa"/>
            <w:tcBorders>
              <w:top w:val="nil"/>
              <w:left w:val="single" w:color="008000" w:sz="2" w:space="0"/>
              <w:bottom w:val="single" w:color="339966" w:sz="8" w:space="0"/>
              <w:right w:val="single" w:color="008000" w:sz="2" w:space="0"/>
            </w:tcBorders>
            <w:shd w:val="clear" w:color="auto" w:fill="CCFFCC"/>
            <w:vAlign w:val="center"/>
          </w:tcPr>
          <w:p>
            <w:pPr>
              <w:autoSpaceDE w:val="0"/>
              <w:autoSpaceDN w:val="0"/>
              <w:adjustRightInd w:val="0"/>
              <w:ind w:left="-42" w:right="273"/>
              <w:jc w:val="right"/>
              <w:rPr>
                <w:color w:val="000000"/>
                <w:szCs w:val="21"/>
              </w:rPr>
            </w:pPr>
            <w:r>
              <w:rPr>
                <w:color w:val="000000"/>
                <w:szCs w:val="21"/>
              </w:rPr>
              <w:t xml:space="preserve">75.1 </w:t>
            </w:r>
          </w:p>
        </w:tc>
        <w:tc>
          <w:tcPr>
            <w:tcW w:w="1504" w:type="dxa"/>
            <w:tcBorders>
              <w:top w:val="nil"/>
              <w:left w:val="single" w:color="008000" w:sz="2" w:space="0"/>
              <w:bottom w:val="single" w:color="339966" w:sz="8" w:space="0"/>
              <w:right w:val="nil"/>
            </w:tcBorders>
            <w:shd w:val="clear" w:color="auto" w:fill="CCFFCC"/>
          </w:tcPr>
          <w:p>
            <w:pPr>
              <w:autoSpaceDE w:val="0"/>
              <w:autoSpaceDN w:val="0"/>
              <w:adjustRightInd w:val="0"/>
              <w:ind w:left="-42" w:right="273"/>
              <w:jc w:val="right"/>
              <w:rPr>
                <w:color w:val="000000"/>
                <w:szCs w:val="21"/>
              </w:rPr>
            </w:pPr>
            <w:r>
              <w:rPr>
                <w:color w:val="000000"/>
                <w:szCs w:val="21"/>
              </w:rPr>
              <w:t>71.5</w:t>
            </w:r>
          </w:p>
        </w:tc>
      </w:tr>
    </w:tbl>
    <w:p>
      <w:pPr>
        <w:autoSpaceDE w:val="0"/>
        <w:autoSpaceDN w:val="0"/>
        <w:adjustRightInd w:val="0"/>
        <w:rPr>
          <w:sz w:val="24"/>
        </w:rPr>
      </w:pPr>
      <w:r>
        <w:rPr>
          <w:sz w:val="24"/>
        </w:rPr>
        <w:t xml:space="preserve">Source: China Insurance Regulatory Commission </w:t>
      </w:r>
    </w:p>
    <w:p>
      <w:pPr>
        <w:autoSpaceDE w:val="0"/>
        <w:autoSpaceDN w:val="0"/>
        <w:adjustRightInd w:val="0"/>
        <w:rPr>
          <w:kern w:val="0"/>
          <w:sz w:val="24"/>
        </w:rPr>
      </w:pPr>
    </w:p>
    <w:p>
      <w:pPr>
        <w:autoSpaceDE w:val="0"/>
        <w:autoSpaceDN w:val="0"/>
        <w:adjustRightInd w:val="0"/>
        <w:rPr>
          <w:kern w:val="0"/>
          <w:sz w:val="24"/>
        </w:rPr>
      </w:pPr>
      <w:r>
        <w:rPr>
          <w:kern w:val="0"/>
          <w:sz w:val="24"/>
        </w:rPr>
        <w:t>Growth of insurance assets moderate</w:t>
      </w:r>
      <w:r>
        <w:rPr>
          <w:rFonts w:hint="eastAsia"/>
          <w:kern w:val="0"/>
          <w:sz w:val="24"/>
        </w:rPr>
        <w:t>d</w:t>
      </w:r>
      <w:r>
        <w:rPr>
          <w:kern w:val="0"/>
          <w:sz w:val="24"/>
        </w:rPr>
        <w:t xml:space="preserve"> further. At end-June, total assets in the insurance industry posted RMB 16.4 trillion, representing year-on-year growth of 15.2 percent and a deceleration of 1.6 percentage points from Q1. Among this total, outstanding bank deposits decreased 8.5 percent year on year, whereas investment-linked assets grew by 21 percent year on year.</w:t>
      </w:r>
    </w:p>
    <w:p>
      <w:pPr>
        <w:autoSpaceDE w:val="0"/>
        <w:autoSpaceDN w:val="0"/>
        <w:adjustRightInd w:val="0"/>
        <w:rPr>
          <w:kern w:val="0"/>
          <w:sz w:val="24"/>
        </w:rPr>
      </w:pPr>
    </w:p>
    <w:p>
      <w:pPr>
        <w:rPr>
          <w:b/>
          <w:sz w:val="24"/>
        </w:rPr>
      </w:pPr>
      <w:r>
        <w:rPr>
          <w:rFonts w:hint="eastAsia"/>
          <w:b/>
          <w:sz w:val="24"/>
        </w:rPr>
        <w:t>6.</w:t>
      </w:r>
      <w:r>
        <w:rPr>
          <w:b/>
          <w:sz w:val="24"/>
        </w:rPr>
        <w:t xml:space="preserve">Rapid </w:t>
      </w:r>
      <w:r>
        <w:rPr>
          <w:rFonts w:hint="eastAsia"/>
          <w:b/>
          <w:sz w:val="24"/>
        </w:rPr>
        <w:t>g</w:t>
      </w:r>
      <w:r>
        <w:rPr>
          <w:b/>
          <w:sz w:val="24"/>
        </w:rPr>
        <w:t xml:space="preserve">rowth in </w:t>
      </w:r>
      <w:r>
        <w:rPr>
          <w:rFonts w:hint="eastAsia"/>
          <w:b/>
          <w:sz w:val="24"/>
        </w:rPr>
        <w:t>f</w:t>
      </w:r>
      <w:r>
        <w:rPr>
          <w:b/>
          <w:sz w:val="24"/>
        </w:rPr>
        <w:t xml:space="preserve">oreign </w:t>
      </w:r>
      <w:r>
        <w:rPr>
          <w:rFonts w:hint="eastAsia"/>
          <w:b/>
          <w:sz w:val="24"/>
        </w:rPr>
        <w:t>e</w:t>
      </w:r>
      <w:r>
        <w:rPr>
          <w:b/>
          <w:sz w:val="24"/>
        </w:rPr>
        <w:t xml:space="preserve">xchange </w:t>
      </w:r>
      <w:r>
        <w:rPr>
          <w:rFonts w:hint="eastAsia"/>
          <w:b/>
          <w:sz w:val="24"/>
        </w:rPr>
        <w:t>s</w:t>
      </w:r>
      <w:r>
        <w:rPr>
          <w:b/>
          <w:sz w:val="24"/>
        </w:rPr>
        <w:t xml:space="preserve">wap </w:t>
      </w:r>
      <w:r>
        <w:rPr>
          <w:rFonts w:hint="eastAsia"/>
          <w:b/>
          <w:sz w:val="24"/>
        </w:rPr>
        <w:t>deals</w:t>
      </w:r>
    </w:p>
    <w:p>
      <w:pPr>
        <w:autoSpaceDE w:val="0"/>
        <w:autoSpaceDN w:val="0"/>
        <w:adjustRightInd w:val="0"/>
        <w:rPr>
          <w:kern w:val="0"/>
          <w:sz w:val="24"/>
        </w:rPr>
      </w:pPr>
      <w:r>
        <w:rPr>
          <w:kern w:val="0"/>
          <w:sz w:val="24"/>
        </w:rPr>
        <w:t xml:space="preserve">Foreign exchange swap </w:t>
      </w:r>
      <w:r>
        <w:rPr>
          <w:rFonts w:hint="eastAsia"/>
          <w:kern w:val="0"/>
          <w:sz w:val="24"/>
        </w:rPr>
        <w:t xml:space="preserve">(FX swap) </w:t>
      </w:r>
      <w:r>
        <w:rPr>
          <w:kern w:val="0"/>
          <w:sz w:val="24"/>
        </w:rPr>
        <w:t xml:space="preserve">trade continued to grow steadily. Turnover of spot RMB/foreign-exchange </w:t>
      </w:r>
      <w:r>
        <w:rPr>
          <w:rFonts w:hint="eastAsia"/>
          <w:kern w:val="0"/>
          <w:sz w:val="24"/>
        </w:rPr>
        <w:t>swap</w:t>
      </w:r>
      <w:r>
        <w:rPr>
          <w:kern w:val="0"/>
          <w:sz w:val="24"/>
        </w:rPr>
        <w:t>s totaled USD 2.9 trillion, an increase of 14.6 percent year on year. Turnover of RMB/foreign-exchange swap transactions totaled an equivalent of USD 5.6 trillion, an increase of 25.6 percent year on year, among which overnight RMB/USD swap transactions posted USD 3.3 trillion, accounting for 60 percent of the total swap turnover. Turnover on the RMB/foreign-exchange forward market totaled USD 40.4 billion, a decrease of 8.5 percent year on year. In H1, turnover of foreign-currency pair transactions amounted to an equivalent of USD 55.8 billion, a decrease of 18.8 percent year on year. In particular, the EUR/USD pair registered the largest trading volume, accounting for 32.4 percent of the total.</w:t>
      </w:r>
    </w:p>
    <w:p>
      <w:pPr>
        <w:autoSpaceDE w:val="0"/>
        <w:autoSpaceDN w:val="0"/>
        <w:adjustRightInd w:val="0"/>
        <w:rPr>
          <w:kern w:val="0"/>
          <w:sz w:val="24"/>
        </w:rPr>
      </w:pPr>
    </w:p>
    <w:p>
      <w:pPr>
        <w:autoSpaceDE w:val="0"/>
        <w:autoSpaceDN w:val="0"/>
        <w:adjustRightInd w:val="0"/>
        <w:rPr>
          <w:kern w:val="0"/>
          <w:sz w:val="24"/>
        </w:rPr>
      </w:pPr>
      <w:r>
        <w:rPr>
          <w:kern w:val="0"/>
          <w:sz w:val="24"/>
        </w:rPr>
        <w:t xml:space="preserve">The number of participants on the foreign-exchange market increased further. At end-June, there were 601 members on the foreign-exchange spot market, 167 members on the foreign-exchange forward market, 167 members on the foreign-exchange swap market, 138 members on the currency-swap market, and 96 members on the foreign-exchange options market. </w:t>
      </w:r>
      <w:r>
        <w:rPr>
          <w:rFonts w:hint="eastAsia"/>
          <w:kern w:val="0"/>
          <w:sz w:val="24"/>
        </w:rPr>
        <w:t>T</w:t>
      </w:r>
      <w:r>
        <w:rPr>
          <w:kern w:val="0"/>
          <w:sz w:val="24"/>
        </w:rPr>
        <w:t>here were 32 market-makers on the spot market and 27 market-makers on the forward and swap markets.</w:t>
      </w:r>
    </w:p>
    <w:p>
      <w:pPr>
        <w:autoSpaceDE w:val="0"/>
        <w:autoSpaceDN w:val="0"/>
        <w:adjustRightInd w:val="0"/>
        <w:rPr>
          <w:kern w:val="0"/>
          <w:sz w:val="24"/>
        </w:rPr>
      </w:pPr>
    </w:p>
    <w:p>
      <w:pPr>
        <w:rPr>
          <w:b/>
          <w:sz w:val="24"/>
        </w:rPr>
      </w:pPr>
      <w:r>
        <w:rPr>
          <w:rFonts w:hint="eastAsia"/>
          <w:b/>
          <w:sz w:val="24"/>
        </w:rPr>
        <w:t>7.</w:t>
      </w:r>
      <w:r>
        <w:rPr>
          <w:b/>
          <w:sz w:val="24"/>
        </w:rPr>
        <w:t>The trading volume of gold continued to grow</w:t>
      </w:r>
    </w:p>
    <w:p>
      <w:pPr>
        <w:autoSpaceDE w:val="0"/>
        <w:autoSpaceDN w:val="0"/>
        <w:adjustRightInd w:val="0"/>
        <w:rPr>
          <w:kern w:val="0"/>
          <w:sz w:val="24"/>
        </w:rPr>
      </w:pPr>
      <w:r>
        <w:rPr>
          <w:kern w:val="0"/>
          <w:sz w:val="24"/>
        </w:rPr>
        <w:t xml:space="preserve">Gold prices </w:t>
      </w:r>
      <w:r>
        <w:rPr>
          <w:rFonts w:hint="eastAsia"/>
          <w:kern w:val="0"/>
          <w:sz w:val="24"/>
        </w:rPr>
        <w:t>rallied</w:t>
      </w:r>
      <w:r>
        <w:rPr>
          <w:kern w:val="0"/>
          <w:sz w:val="24"/>
        </w:rPr>
        <w:t xml:space="preserve"> amid fluctuations. In H1, with weaker-than-expected tax cuts and other fiscal </w:t>
      </w:r>
      <w:r>
        <w:rPr>
          <w:rFonts w:hint="eastAsia"/>
          <w:kern w:val="0"/>
          <w:sz w:val="24"/>
        </w:rPr>
        <w:t xml:space="preserve">stimulus </w:t>
      </w:r>
      <w:r>
        <w:rPr>
          <w:kern w:val="0"/>
          <w:sz w:val="24"/>
        </w:rPr>
        <w:t xml:space="preserve">measures in the United States as well as a rising risk aversion caused by geopolitical events, gold prices </w:t>
      </w:r>
      <w:r>
        <w:rPr>
          <w:rFonts w:hint="eastAsia"/>
          <w:kern w:val="0"/>
          <w:sz w:val="24"/>
        </w:rPr>
        <w:t>went up</w:t>
      </w:r>
      <w:r>
        <w:rPr>
          <w:kern w:val="0"/>
          <w:sz w:val="24"/>
        </w:rPr>
        <w:t xml:space="preserve"> amid fluctuations before they moderated in June. International gold prices peaked at USD 1,293.50 per ounce and reached a trough of USD 1,151.00 per ounce, closing at USD 1,242.25 per ounce at end-June, representing an increase of 7.17 percent from end-2016. Led by this trend, domestic gold prices also showed a similar rise and fall. The peak and trough prices of gold (AU9999) on the Shanghai Gold Exchange were RMB 300.00 per gram and RMB 258.00 per gram, respectively. At end-June, the price of gold closed at RMB 273.10 per gram, an increase of 3.49 percent from end-2016.</w:t>
      </w:r>
    </w:p>
    <w:p>
      <w:pPr>
        <w:autoSpaceDE w:val="0"/>
        <w:autoSpaceDN w:val="0"/>
        <w:adjustRightInd w:val="0"/>
        <w:rPr>
          <w:kern w:val="0"/>
          <w:sz w:val="24"/>
        </w:rPr>
      </w:pPr>
    </w:p>
    <w:p>
      <w:pPr>
        <w:autoSpaceDE w:val="0"/>
        <w:autoSpaceDN w:val="0"/>
        <w:adjustRightInd w:val="0"/>
        <w:rPr>
          <w:kern w:val="0"/>
          <w:sz w:val="24"/>
        </w:rPr>
      </w:pPr>
      <w:r>
        <w:rPr>
          <w:kern w:val="0"/>
          <w:sz w:val="24"/>
        </w:rPr>
        <w:t>Overall, the volume of trading on the Shanghai Gold Exchange continued to grow. In H1, the total trading volume on the Shanghai Gold Exchange registered RMB 8.92 trillion, up 12.36 percent year on year. Specifically, the volume of gold trading was 24,100 tons, a decrease of 4.56 percent year on year, and the turnover posted RMB 6.66 trillion, an increase of 2.31 percent year on year. The volume of silver trading was 557,600 tons, an increase of 38.35 percent year on year, and the turnover posted RMB 2.26 trillion, an increase of 58.38 percent year on year. The volume of platinum trading was 19.87 tons, a decline of 33.37 percent year on year, and the turnover posted RMB 4.524 billion, a decline of 29.03 percent year on year.</w:t>
      </w:r>
      <w:bookmarkStart w:id="106" w:name="_Toc411351828"/>
      <w:bookmarkStart w:id="107" w:name="_Toc423005902"/>
      <w:bookmarkStart w:id="108" w:name="_Toc453510646"/>
      <w:bookmarkStart w:id="109" w:name="_Toc464655074"/>
      <w:bookmarkStart w:id="110" w:name="_Toc464655692"/>
      <w:bookmarkStart w:id="111" w:name="_Toc472330078"/>
      <w:bookmarkStart w:id="112" w:name="_Toc476916149"/>
    </w:p>
    <w:p>
      <w:pPr>
        <w:autoSpaceDE w:val="0"/>
        <w:autoSpaceDN w:val="0"/>
        <w:adjustRightInd w:val="0"/>
        <w:rPr>
          <w:kern w:val="0"/>
          <w:sz w:val="24"/>
        </w:rPr>
      </w:pPr>
    </w:p>
    <w:p>
      <w:pPr>
        <w:pStyle w:val="3"/>
        <w:numPr>
          <w:ilvl w:val="0"/>
          <w:numId w:val="0"/>
        </w:numPr>
        <w:jc w:val="both"/>
        <w:rPr>
          <w:rFonts w:cs="Times New Roman"/>
          <w:color w:val="000000"/>
        </w:rPr>
      </w:pPr>
      <w:bookmarkStart w:id="113" w:name="_Toc492904385"/>
      <w:r>
        <w:rPr>
          <w:rFonts w:cs="Times New Roman"/>
          <w:color w:val="000000"/>
        </w:rPr>
        <w:t>II. The Development of Institutional Arrangements in Financial Markets</w:t>
      </w:r>
      <w:bookmarkEnd w:id="106"/>
      <w:bookmarkEnd w:id="107"/>
      <w:bookmarkEnd w:id="108"/>
      <w:bookmarkEnd w:id="109"/>
      <w:bookmarkEnd w:id="110"/>
      <w:bookmarkEnd w:id="111"/>
      <w:bookmarkEnd w:id="112"/>
      <w:bookmarkEnd w:id="113"/>
    </w:p>
    <w:p>
      <w:pPr>
        <w:pStyle w:val="29"/>
        <w:widowControl w:val="0"/>
        <w:numPr>
          <w:ilvl w:val="0"/>
          <w:numId w:val="2"/>
        </w:numPr>
        <w:spacing w:before="60" w:after="60" w:line="240" w:lineRule="auto"/>
        <w:contextualSpacing w:val="0"/>
        <w:jc w:val="both"/>
        <w:rPr>
          <w:b/>
          <w:bCs/>
          <w:iCs/>
          <w:kern w:val="2"/>
          <w:szCs w:val="28"/>
        </w:rPr>
      </w:pPr>
      <w:r>
        <w:rPr>
          <w:rFonts w:hint="eastAsia"/>
          <w:b/>
          <w:bCs/>
          <w:iCs/>
          <w:kern w:val="2"/>
          <w:szCs w:val="28"/>
        </w:rPr>
        <w:t xml:space="preserve">Measures </w:t>
      </w:r>
      <w:bookmarkStart w:id="166" w:name="_GoBack"/>
      <w:bookmarkEnd w:id="166"/>
      <w:r>
        <w:rPr>
          <w:rFonts w:hint="eastAsia"/>
          <w:b/>
          <w:bCs/>
          <w:iCs/>
          <w:kern w:val="2"/>
          <w:szCs w:val="28"/>
        </w:rPr>
        <w:t xml:space="preserve">to develop the inter-bank bond market </w:t>
      </w:r>
    </w:p>
    <w:p>
      <w:pPr>
        <w:rPr>
          <w:sz w:val="24"/>
        </w:rPr>
      </w:pPr>
      <w:r>
        <w:rPr>
          <w:rFonts w:eastAsia="宋体"/>
          <w:sz w:val="24"/>
        </w:rPr>
        <w:t>Bond market access between Mainland China and Hong Kong (Bond Connect) was launched in a proactive and prudent manner. The</w:t>
      </w:r>
      <w:r>
        <w:rPr>
          <w:color w:val="000000"/>
          <w:sz w:val="24"/>
        </w:rPr>
        <w:t xml:space="preserve"> </w:t>
      </w:r>
      <w:r>
        <w:rPr>
          <w:color w:val="auto"/>
          <w:u w:val="none"/>
        </w:rPr>
        <w:fldChar w:fldCharType="begin"/>
      </w:r>
      <w:r>
        <w:rPr>
          <w:color w:val="auto"/>
          <w:u w:val="none"/>
        </w:rPr>
        <w:instrText xml:space="preserve"> HYPERLINK "http://www.pbc.gov.cn/goutongjiaoliu/113456/113469/3330621/index.html" \t "_blank" </w:instrText>
      </w:r>
      <w:r>
        <w:rPr>
          <w:color w:val="auto"/>
          <w:u w:val="none"/>
        </w:rPr>
        <w:fldChar w:fldCharType="separate"/>
      </w:r>
      <w:r>
        <w:rPr>
          <w:rStyle w:val="17"/>
          <w:i/>
          <w:color w:val="auto"/>
          <w:sz w:val="24"/>
          <w:u w:val="none"/>
        </w:rPr>
        <w:t>Interim Administrative Measures for the Bond Trading Link between China and Hong Kong</w:t>
      </w:r>
      <w:r>
        <w:rPr>
          <w:rStyle w:val="17"/>
          <w:i/>
          <w:color w:val="auto"/>
          <w:sz w:val="24"/>
          <w:u w:val="none"/>
        </w:rPr>
        <w:fldChar w:fldCharType="end"/>
      </w:r>
      <w:r>
        <w:rPr>
          <w:i/>
          <w:color w:val="auto"/>
          <w:sz w:val="24"/>
          <w:u w:val="none"/>
        </w:rPr>
        <w:t xml:space="preserve"> </w:t>
      </w:r>
      <w:r>
        <w:rPr>
          <w:sz w:val="24"/>
        </w:rPr>
        <w:t xml:space="preserve">and other supporting documents were released. The PBC and the Hong Kong Monetary Authority reached a consensus on the principles for cross-border regulatory cooperation and other Bond Connect issues, and signed a </w:t>
      </w:r>
      <w:r>
        <w:rPr>
          <w:i/>
          <w:sz w:val="24"/>
        </w:rPr>
        <w:t>Memorandum of Understanding on Strengthening Supervisory Cooperation under Bond Connect</w:t>
      </w:r>
      <w:r>
        <w:rPr>
          <w:sz w:val="24"/>
        </w:rPr>
        <w:t xml:space="preserve">. On July 3, 2017, Bond Connect operations were officially </w:t>
      </w:r>
      <w:r>
        <w:rPr>
          <w:rFonts w:hint="eastAsia"/>
          <w:sz w:val="24"/>
        </w:rPr>
        <w:t>launched</w:t>
      </w:r>
      <w:r>
        <w:rPr>
          <w:sz w:val="24"/>
        </w:rPr>
        <w:t xml:space="preserve">, according to which </w:t>
      </w:r>
      <w:r>
        <w:rPr>
          <w:rFonts w:hint="eastAsia"/>
          <w:sz w:val="24"/>
        </w:rPr>
        <w:t xml:space="preserve">offshore </w:t>
      </w:r>
      <w:r>
        <w:rPr>
          <w:sz w:val="24"/>
        </w:rPr>
        <w:t xml:space="preserve">investors can </w:t>
      </w:r>
      <w:r>
        <w:rPr>
          <w:rFonts w:hint="eastAsia"/>
          <w:sz w:val="24"/>
        </w:rPr>
        <w:t>participate in subscription</w:t>
      </w:r>
      <w:r>
        <w:rPr>
          <w:sz w:val="24"/>
        </w:rPr>
        <w:t>s</w:t>
      </w:r>
      <w:r>
        <w:rPr>
          <w:rFonts w:hint="eastAsia"/>
          <w:sz w:val="24"/>
        </w:rPr>
        <w:t xml:space="preserve"> on</w:t>
      </w:r>
      <w:r>
        <w:rPr>
          <w:sz w:val="24"/>
        </w:rPr>
        <w:t xml:space="preserve"> the inter-bank bond market through northbound trading,</w:t>
      </w:r>
      <w:r>
        <w:rPr>
          <w:rFonts w:hint="eastAsia"/>
          <w:sz w:val="24"/>
        </w:rPr>
        <w:t xml:space="preserve"> which is based on the connection of </w:t>
      </w:r>
      <w:r>
        <w:rPr>
          <w:sz w:val="24"/>
        </w:rPr>
        <w:t xml:space="preserve">the </w:t>
      </w:r>
      <w:r>
        <w:rPr>
          <w:rFonts w:hint="eastAsia"/>
          <w:sz w:val="24"/>
        </w:rPr>
        <w:t xml:space="preserve">financial </w:t>
      </w:r>
      <w:r>
        <w:rPr>
          <w:sz w:val="24"/>
        </w:rPr>
        <w:t>infrastructu</w:t>
      </w:r>
      <w:r>
        <w:rPr>
          <w:rFonts w:hint="eastAsia"/>
          <w:sz w:val="24"/>
        </w:rPr>
        <w:t xml:space="preserve">re between Mainland </w:t>
      </w:r>
      <w:r>
        <w:rPr>
          <w:sz w:val="24"/>
        </w:rPr>
        <w:t xml:space="preserve">China </w:t>
      </w:r>
      <w:r>
        <w:rPr>
          <w:rFonts w:hint="eastAsia"/>
          <w:sz w:val="24"/>
        </w:rPr>
        <w:t>and Hong Kong</w:t>
      </w:r>
      <w:r>
        <w:rPr>
          <w:sz w:val="24"/>
        </w:rPr>
        <w:t xml:space="preserve">. During the first month after the launch of Bond Connect operations, the China Development Bank, the Agricultural Development Bank, and other institutions issued bonds in the amount of RMB 51.5 billion to both domestic and </w:t>
      </w:r>
      <w:r>
        <w:rPr>
          <w:rFonts w:hint="eastAsia"/>
          <w:sz w:val="24"/>
        </w:rPr>
        <w:t>overseas</w:t>
      </w:r>
      <w:r>
        <w:rPr>
          <w:sz w:val="24"/>
        </w:rPr>
        <w:t xml:space="preserve"> investors. </w:t>
      </w:r>
    </w:p>
    <w:p>
      <w:pPr>
        <w:rPr>
          <w:rFonts w:eastAsiaTheme="minorEastAsia"/>
          <w:sz w:val="24"/>
        </w:rPr>
      </w:pPr>
    </w:p>
    <w:p>
      <w:pPr>
        <w:rPr>
          <w:rFonts w:eastAsiaTheme="minorEastAsia"/>
          <w:sz w:val="24"/>
        </w:rPr>
      </w:pPr>
      <w:r>
        <w:rPr>
          <w:rFonts w:eastAsiaTheme="minorEastAsia"/>
          <w:sz w:val="24"/>
        </w:rPr>
        <w:t>The</w:t>
      </w:r>
      <w:r>
        <w:rPr>
          <w:rFonts w:hint="eastAsia" w:eastAsiaTheme="minorEastAsia"/>
          <w:sz w:val="24"/>
        </w:rPr>
        <w:t xml:space="preserve"> inter-bank bond market was </w:t>
      </w:r>
      <w:r>
        <w:rPr>
          <w:rFonts w:eastAsiaTheme="minorEastAsia"/>
          <w:sz w:val="24"/>
        </w:rPr>
        <w:t xml:space="preserve">further </w:t>
      </w:r>
      <w:r>
        <w:rPr>
          <w:rFonts w:hint="eastAsia" w:eastAsiaTheme="minorEastAsia"/>
          <w:sz w:val="24"/>
        </w:rPr>
        <w:t>opened up in a steady manner, with a view to facilitating investment</w:t>
      </w:r>
      <w:r>
        <w:rPr>
          <w:rFonts w:eastAsiaTheme="minorEastAsia"/>
          <w:sz w:val="24"/>
        </w:rPr>
        <w:t>s</w:t>
      </w:r>
      <w:r>
        <w:rPr>
          <w:rFonts w:hint="eastAsia" w:eastAsiaTheme="minorEastAsia"/>
          <w:sz w:val="24"/>
        </w:rPr>
        <w:t xml:space="preserve"> by overseas institutional investors. </w:t>
      </w:r>
      <w:r>
        <w:rPr>
          <w:rFonts w:eastAsiaTheme="minorEastAsia"/>
          <w:sz w:val="24"/>
        </w:rPr>
        <w:t>F</w:t>
      </w:r>
      <w:r>
        <w:rPr>
          <w:rFonts w:hint="eastAsia" w:eastAsiaTheme="minorEastAsia"/>
          <w:sz w:val="24"/>
        </w:rPr>
        <w:t xml:space="preserve">irst, </w:t>
      </w:r>
      <w:r>
        <w:rPr>
          <w:rFonts w:eastAsiaTheme="minorEastAsia"/>
          <w:sz w:val="24"/>
        </w:rPr>
        <w:t xml:space="preserve">the </w:t>
      </w:r>
      <w:r>
        <w:rPr>
          <w:rFonts w:hint="eastAsia" w:eastAsiaTheme="minorEastAsia"/>
          <w:sz w:val="24"/>
        </w:rPr>
        <w:t>operating hours for settling bond transactions involving overseas institutional investors were extended, and T+2 settlement</w:t>
      </w:r>
      <w:r>
        <w:rPr>
          <w:rFonts w:eastAsiaTheme="minorEastAsia"/>
          <w:sz w:val="24"/>
        </w:rPr>
        <w:t>s</w:t>
      </w:r>
      <w:r>
        <w:rPr>
          <w:rFonts w:hint="eastAsia" w:eastAsiaTheme="minorEastAsia"/>
          <w:sz w:val="24"/>
        </w:rPr>
        <w:t xml:space="preserve"> w</w:t>
      </w:r>
      <w:r>
        <w:rPr>
          <w:rFonts w:eastAsiaTheme="minorEastAsia"/>
          <w:sz w:val="24"/>
        </w:rPr>
        <w:t>ere</w:t>
      </w:r>
      <w:r>
        <w:rPr>
          <w:rFonts w:hint="eastAsia" w:eastAsiaTheme="minorEastAsia"/>
          <w:sz w:val="24"/>
        </w:rPr>
        <w:t xml:space="preserve"> made available. </w:t>
      </w:r>
      <w:r>
        <w:rPr>
          <w:rFonts w:eastAsiaTheme="minorEastAsia"/>
          <w:sz w:val="24"/>
        </w:rPr>
        <w:t>S</w:t>
      </w:r>
      <w:r>
        <w:rPr>
          <w:rFonts w:hint="eastAsia" w:eastAsiaTheme="minorEastAsia"/>
          <w:sz w:val="24"/>
        </w:rPr>
        <w:t>econd, a new English column on access by overseas institutional investors to the inter-bank bond market was added to the PBC</w:t>
      </w:r>
      <w:r>
        <w:rPr>
          <w:rFonts w:eastAsiaTheme="minorEastAsia"/>
          <w:sz w:val="24"/>
        </w:rPr>
        <w:t>’</w:t>
      </w:r>
      <w:r>
        <w:rPr>
          <w:rFonts w:hint="eastAsia" w:eastAsiaTheme="minorEastAsia"/>
          <w:sz w:val="24"/>
        </w:rPr>
        <w:t xml:space="preserve">s website, whose content has been constantly </w:t>
      </w:r>
      <w:r>
        <w:rPr>
          <w:rFonts w:eastAsiaTheme="minorEastAsia"/>
          <w:sz w:val="24"/>
        </w:rPr>
        <w:t>upgraded</w:t>
      </w:r>
      <w:r>
        <w:rPr>
          <w:rFonts w:hint="eastAsia" w:eastAsiaTheme="minorEastAsia"/>
          <w:sz w:val="24"/>
        </w:rPr>
        <w:t xml:space="preserve">, to provide </w:t>
      </w:r>
      <w:r>
        <w:rPr>
          <w:rFonts w:eastAsiaTheme="minorEastAsia"/>
          <w:sz w:val="24"/>
        </w:rPr>
        <w:t>English</w:t>
      </w:r>
      <w:r>
        <w:rPr>
          <w:rFonts w:hint="eastAsia" w:eastAsiaTheme="minorEastAsia"/>
          <w:sz w:val="24"/>
        </w:rPr>
        <w:t xml:space="preserve"> information to overseas institutional investors. </w:t>
      </w:r>
      <w:r>
        <w:rPr>
          <w:rFonts w:eastAsiaTheme="minorEastAsia"/>
          <w:sz w:val="24"/>
        </w:rPr>
        <w:t>I</w:t>
      </w:r>
      <w:r>
        <w:rPr>
          <w:rFonts w:hint="eastAsia" w:eastAsiaTheme="minorEastAsia"/>
          <w:sz w:val="24"/>
        </w:rPr>
        <w:t xml:space="preserve">n addition, PBC Public Notice [2017] No. 7 was released to </w:t>
      </w:r>
      <w:r>
        <w:rPr>
          <w:rFonts w:eastAsiaTheme="minorEastAsia"/>
          <w:sz w:val="24"/>
        </w:rPr>
        <w:t>promote</w:t>
      </w:r>
      <w:r>
        <w:rPr>
          <w:rFonts w:hint="eastAsia" w:eastAsiaTheme="minorEastAsia"/>
          <w:sz w:val="24"/>
        </w:rPr>
        <w:t xml:space="preserve"> eligible overseas credit</w:t>
      </w:r>
      <w:r>
        <w:rPr>
          <w:rFonts w:eastAsiaTheme="minorEastAsia"/>
          <w:sz w:val="24"/>
        </w:rPr>
        <w:t>-</w:t>
      </w:r>
      <w:r>
        <w:rPr>
          <w:rFonts w:hint="eastAsia" w:eastAsiaTheme="minorEastAsia"/>
          <w:sz w:val="24"/>
        </w:rPr>
        <w:t>rating agencies to c</w:t>
      </w:r>
      <w:r>
        <w:rPr>
          <w:rFonts w:eastAsiaTheme="minorEastAsia"/>
          <w:sz w:val="24"/>
        </w:rPr>
        <w:t>arry out</w:t>
      </w:r>
      <w:r>
        <w:rPr>
          <w:rFonts w:hint="eastAsia" w:eastAsiaTheme="minorEastAsia"/>
          <w:sz w:val="24"/>
        </w:rPr>
        <w:t xml:space="preserve"> credit</w:t>
      </w:r>
      <w:r>
        <w:rPr>
          <w:rFonts w:eastAsiaTheme="minorEastAsia"/>
          <w:sz w:val="24"/>
        </w:rPr>
        <w:t>-</w:t>
      </w:r>
      <w:r>
        <w:rPr>
          <w:rFonts w:hint="eastAsia" w:eastAsiaTheme="minorEastAsia"/>
          <w:sz w:val="24"/>
        </w:rPr>
        <w:t>rating business on China</w:t>
      </w:r>
      <w:r>
        <w:rPr>
          <w:rFonts w:eastAsiaTheme="minorEastAsia"/>
          <w:sz w:val="24"/>
        </w:rPr>
        <w:t>’</w:t>
      </w:r>
      <w:r>
        <w:rPr>
          <w:rFonts w:hint="eastAsia" w:eastAsiaTheme="minorEastAsia"/>
          <w:sz w:val="24"/>
        </w:rPr>
        <w:t>s inter-bank bond market, to regulate credit</w:t>
      </w:r>
      <w:r>
        <w:rPr>
          <w:rFonts w:eastAsiaTheme="minorEastAsia"/>
          <w:sz w:val="24"/>
        </w:rPr>
        <w:t>-</w:t>
      </w:r>
      <w:r>
        <w:rPr>
          <w:rFonts w:hint="eastAsia" w:eastAsiaTheme="minorEastAsia"/>
          <w:sz w:val="24"/>
        </w:rPr>
        <w:t xml:space="preserve">rating business on the inter-bank bond market, and to promote sound and stable development of the inter-bank bond market. </w:t>
      </w:r>
      <w:r>
        <w:rPr>
          <w:rFonts w:eastAsiaTheme="minorEastAsia"/>
          <w:sz w:val="24"/>
        </w:rPr>
        <w:t>A</w:t>
      </w:r>
      <w:r>
        <w:rPr>
          <w:rFonts w:hint="eastAsia" w:eastAsiaTheme="minorEastAsia"/>
          <w:sz w:val="24"/>
        </w:rPr>
        <w:t xml:space="preserve">s of end-June, a total of 506 overseas institutional investors </w:t>
      </w:r>
      <w:r>
        <w:rPr>
          <w:rFonts w:eastAsiaTheme="minorEastAsia"/>
          <w:sz w:val="24"/>
        </w:rPr>
        <w:t xml:space="preserve">had </w:t>
      </w:r>
      <w:r>
        <w:rPr>
          <w:rFonts w:hint="eastAsia" w:eastAsiaTheme="minorEastAsia"/>
          <w:sz w:val="24"/>
        </w:rPr>
        <w:t>entered the inter-bank bond market, including foreign central banks or monetary authorities, sovereign wealth funds, international organizations, RMB clearing banks in Hong Kong and Macao, overseas banks</w:t>
      </w:r>
      <w:r>
        <w:rPr>
          <w:rFonts w:eastAsiaTheme="minorEastAsia"/>
          <w:sz w:val="24"/>
        </w:rPr>
        <w:t xml:space="preserve"> </w:t>
      </w:r>
      <w:r>
        <w:rPr>
          <w:rFonts w:hint="eastAsia" w:eastAsiaTheme="minorEastAsia"/>
          <w:sz w:val="24"/>
        </w:rPr>
        <w:t>participating in RMB settlement</w:t>
      </w:r>
      <w:r>
        <w:rPr>
          <w:rFonts w:eastAsiaTheme="minorEastAsia"/>
          <w:sz w:val="24"/>
        </w:rPr>
        <w:t>s</w:t>
      </w:r>
      <w:r>
        <w:rPr>
          <w:rFonts w:hint="eastAsia" w:eastAsiaTheme="minorEastAsia"/>
          <w:sz w:val="24"/>
        </w:rPr>
        <w:t xml:space="preserve"> for cross-border trade transactions, overseas insurance companies, </w:t>
      </w:r>
      <w:r>
        <w:rPr>
          <w:rFonts w:eastAsiaTheme="minorEastAsia"/>
          <w:sz w:val="24"/>
        </w:rPr>
        <w:t xml:space="preserve">and </w:t>
      </w:r>
      <w:r>
        <w:rPr>
          <w:rFonts w:hint="eastAsia" w:eastAsiaTheme="minorEastAsia"/>
          <w:sz w:val="24"/>
        </w:rPr>
        <w:t xml:space="preserve">RMB Qualified </w:t>
      </w:r>
      <w:r>
        <w:rPr>
          <w:rFonts w:eastAsiaTheme="minorEastAsia"/>
          <w:sz w:val="24"/>
        </w:rPr>
        <w:t>Foreign</w:t>
      </w:r>
      <w:r>
        <w:rPr>
          <w:rFonts w:hint="eastAsia" w:eastAsiaTheme="minorEastAsia"/>
          <w:sz w:val="24"/>
        </w:rPr>
        <w:t xml:space="preserve"> Institutional Investors (RQFII) and Qualified </w:t>
      </w:r>
      <w:r>
        <w:rPr>
          <w:rFonts w:eastAsiaTheme="minorEastAsia"/>
          <w:sz w:val="24"/>
        </w:rPr>
        <w:t>Foreign</w:t>
      </w:r>
      <w:r>
        <w:rPr>
          <w:rFonts w:hint="eastAsia" w:eastAsiaTheme="minorEastAsia"/>
          <w:sz w:val="24"/>
        </w:rPr>
        <w:t xml:space="preserve"> Institutional Investors (QFII), with combined investments of about RMB 850 billion.</w:t>
      </w:r>
    </w:p>
    <w:p>
      <w:pPr>
        <w:rPr>
          <w:rFonts w:eastAsiaTheme="minorEastAsia"/>
          <w:sz w:val="24"/>
        </w:rPr>
      </w:pPr>
    </w:p>
    <w:p>
      <w:pPr>
        <w:rPr>
          <w:rFonts w:eastAsiaTheme="minorEastAsia"/>
          <w:sz w:val="24"/>
        </w:rPr>
      </w:pPr>
      <w:r>
        <w:rPr>
          <w:rFonts w:eastAsiaTheme="minorEastAsia"/>
          <w:sz w:val="24"/>
        </w:rPr>
        <w:t>M</w:t>
      </w:r>
      <w:r>
        <w:rPr>
          <w:rFonts w:hint="eastAsia" w:eastAsiaTheme="minorEastAsia"/>
          <w:sz w:val="24"/>
        </w:rPr>
        <w:t>oreover, the government securities market</w:t>
      </w:r>
      <w:r>
        <w:rPr>
          <w:rFonts w:eastAsiaTheme="minorEastAsia"/>
          <w:sz w:val="24"/>
        </w:rPr>
        <w:t>-</w:t>
      </w:r>
      <w:r>
        <w:rPr>
          <w:rFonts w:hint="eastAsia" w:eastAsiaTheme="minorEastAsia"/>
          <w:sz w:val="24"/>
        </w:rPr>
        <w:t xml:space="preserve">making mechanism was officially launched in collaboration with the Ministry of Finance to improve the yield curve of government securities. </w:t>
      </w:r>
    </w:p>
    <w:p>
      <w:pPr>
        <w:rPr>
          <w:rFonts w:eastAsiaTheme="minorEastAsia"/>
          <w:sz w:val="24"/>
        </w:rPr>
      </w:pPr>
    </w:p>
    <w:p>
      <w:pPr>
        <w:pStyle w:val="29"/>
        <w:widowControl w:val="0"/>
        <w:numPr>
          <w:ilvl w:val="0"/>
          <w:numId w:val="2"/>
        </w:numPr>
        <w:spacing w:line="240" w:lineRule="auto"/>
        <w:contextualSpacing w:val="0"/>
        <w:jc w:val="both"/>
        <w:rPr>
          <w:rFonts w:eastAsia="仿宋_GB2312"/>
          <w:b/>
          <w:bCs/>
        </w:rPr>
      </w:pPr>
      <w:r>
        <w:rPr>
          <w:rFonts w:eastAsia="仿宋_GB2312"/>
          <w:b/>
          <w:bCs/>
        </w:rPr>
        <w:t>I</w:t>
      </w:r>
      <w:r>
        <w:rPr>
          <w:rFonts w:hint="eastAsia" w:eastAsia="仿宋_GB2312"/>
          <w:b/>
          <w:bCs/>
        </w:rPr>
        <w:t xml:space="preserve">nstitutional arrangements and </w:t>
      </w:r>
      <w:r>
        <w:rPr>
          <w:rFonts w:hint="eastAsia" w:eastAsia="仿宋_GB2312"/>
          <w:b/>
          <w:bCs/>
          <w:lang w:eastAsia="zh-CN"/>
        </w:rPr>
        <w:t>regulation</w:t>
      </w:r>
      <w:r>
        <w:rPr>
          <w:rFonts w:hint="eastAsia" w:eastAsia="仿宋_GB2312"/>
          <w:b/>
          <w:bCs/>
        </w:rPr>
        <w:t xml:space="preserve"> </w:t>
      </w:r>
      <w:r>
        <w:rPr>
          <w:rFonts w:hint="eastAsia"/>
          <w:b/>
          <w:bCs/>
        </w:rPr>
        <w:t>of</w:t>
      </w:r>
      <w:r>
        <w:rPr>
          <w:rFonts w:hint="eastAsia" w:eastAsia="仿宋_GB2312"/>
          <w:b/>
          <w:bCs/>
        </w:rPr>
        <w:t xml:space="preserve"> the capital market were strengthened</w:t>
      </w:r>
    </w:p>
    <w:p>
      <w:pPr>
        <w:rPr>
          <w:rFonts w:eastAsiaTheme="minorEastAsia"/>
          <w:sz w:val="24"/>
        </w:rPr>
      </w:pPr>
      <w:r>
        <w:rPr>
          <w:rFonts w:eastAsiaTheme="minorEastAsia"/>
          <w:sz w:val="24"/>
        </w:rPr>
        <w:t>The e</w:t>
      </w:r>
      <w:r>
        <w:rPr>
          <w:rFonts w:hint="eastAsia" w:eastAsiaTheme="minorEastAsia"/>
          <w:sz w:val="24"/>
        </w:rPr>
        <w:t xml:space="preserve">stablishment of institutional arrangements for a multi-layered capital market made progress. </w:t>
      </w:r>
      <w:r>
        <w:rPr>
          <w:rFonts w:eastAsiaTheme="minorEastAsia"/>
          <w:sz w:val="24"/>
        </w:rPr>
        <w:t>T</w:t>
      </w:r>
      <w:r>
        <w:rPr>
          <w:rFonts w:hint="eastAsia" w:eastAsiaTheme="minorEastAsia"/>
          <w:sz w:val="24"/>
        </w:rPr>
        <w:t>he China S</w:t>
      </w:r>
      <w:r>
        <w:rPr>
          <w:rFonts w:eastAsiaTheme="minorEastAsia"/>
          <w:sz w:val="24"/>
        </w:rPr>
        <w:t>e</w:t>
      </w:r>
      <w:r>
        <w:rPr>
          <w:rFonts w:hint="eastAsia" w:eastAsiaTheme="minorEastAsia"/>
          <w:sz w:val="24"/>
        </w:rPr>
        <w:t>curities R</w:t>
      </w:r>
      <w:r>
        <w:rPr>
          <w:rFonts w:eastAsiaTheme="minorEastAsia"/>
          <w:sz w:val="24"/>
        </w:rPr>
        <w:t>e</w:t>
      </w:r>
      <w:r>
        <w:rPr>
          <w:rFonts w:hint="eastAsia" w:eastAsiaTheme="minorEastAsia"/>
          <w:sz w:val="24"/>
        </w:rPr>
        <w:t xml:space="preserve">gulatory Commission (CSRC) issued the </w:t>
      </w:r>
      <w:r>
        <w:rPr>
          <w:rFonts w:hint="eastAsia" w:eastAsiaTheme="minorEastAsia"/>
          <w:i/>
          <w:sz w:val="24"/>
        </w:rPr>
        <w:t>Interim Measures on Regulation of Regional Equity Markets</w:t>
      </w:r>
      <w:r>
        <w:rPr>
          <w:rFonts w:hint="eastAsia" w:eastAsiaTheme="minorEastAsia"/>
          <w:sz w:val="24"/>
        </w:rPr>
        <w:t xml:space="preserve">, which established </w:t>
      </w:r>
      <w:r>
        <w:rPr>
          <w:rFonts w:eastAsiaTheme="minorEastAsia"/>
          <w:sz w:val="24"/>
        </w:rPr>
        <w:t>criteria</w:t>
      </w:r>
      <w:r>
        <w:rPr>
          <w:rFonts w:hint="eastAsia" w:eastAsiaTheme="minorEastAsia"/>
          <w:sz w:val="24"/>
        </w:rPr>
        <w:t xml:space="preserve"> for qualified investors and</w:t>
      </w:r>
      <w:r>
        <w:rPr>
          <w:rFonts w:hint="eastAsia" w:eastAsiaTheme="minorEastAsia"/>
          <w:sz w:val="24"/>
          <w:highlight w:val="none"/>
        </w:rPr>
        <w:t xml:space="preserve"> </w:t>
      </w:r>
      <w:r>
        <w:rPr>
          <w:rFonts w:eastAsiaTheme="minorEastAsia"/>
          <w:sz w:val="24"/>
          <w:highlight w:val="none"/>
        </w:rPr>
        <w:t xml:space="preserve">a scheme for </w:t>
      </w:r>
      <w:r>
        <w:rPr>
          <w:rFonts w:hint="eastAsia" w:eastAsiaTheme="minorEastAsia"/>
          <w:sz w:val="24"/>
          <w:highlight w:val="none"/>
        </w:rPr>
        <w:t xml:space="preserve">looking-through </w:t>
      </w:r>
      <w:r>
        <w:rPr>
          <w:rFonts w:eastAsiaTheme="minorEastAsia"/>
          <w:sz w:val="24"/>
          <w:highlight w:val="none"/>
        </w:rPr>
        <w:t xml:space="preserve">the ultimate investor and </w:t>
      </w:r>
      <w:r>
        <w:rPr>
          <w:rFonts w:hint="eastAsia" w:eastAsiaTheme="minorEastAsia"/>
          <w:sz w:val="24"/>
          <w:highlight w:val="none"/>
        </w:rPr>
        <w:t xml:space="preserve">an arrangement for </w:t>
      </w:r>
      <w:r>
        <w:rPr>
          <w:rFonts w:eastAsiaTheme="minorEastAsia"/>
          <w:sz w:val="24"/>
          <w:highlight w:val="none"/>
        </w:rPr>
        <w:t>investor</w:t>
      </w:r>
      <w:r>
        <w:rPr>
          <w:rFonts w:hint="eastAsia" w:eastAsiaTheme="minorEastAsia"/>
          <w:sz w:val="24"/>
          <w:highlight w:val="none"/>
        </w:rPr>
        <w:t>s</w:t>
      </w:r>
      <w:r>
        <w:rPr>
          <w:rFonts w:eastAsiaTheme="minorEastAsia"/>
          <w:sz w:val="24"/>
          <w:highlight w:val="none"/>
        </w:rPr>
        <w:t xml:space="preserve">’ fund management, </w:t>
      </w:r>
      <w:r>
        <w:rPr>
          <w:rFonts w:eastAsiaTheme="minorEastAsia"/>
          <w:sz w:val="24"/>
        </w:rPr>
        <w:t>clarified the scope for intermediary businesses within which operating institutions can become involved and their corresponding obligations, and</w:t>
      </w:r>
      <w:r>
        <w:rPr>
          <w:rFonts w:hint="eastAsia" w:eastAsiaTheme="minorEastAsia"/>
          <w:sz w:val="24"/>
        </w:rPr>
        <w:t xml:space="preserve"> strengthened market self-regulation. </w:t>
      </w:r>
      <w:r>
        <w:rPr>
          <w:rFonts w:eastAsiaTheme="minorEastAsia"/>
          <w:sz w:val="24"/>
        </w:rPr>
        <w:t>T</w:t>
      </w:r>
      <w:r>
        <w:rPr>
          <w:rFonts w:hint="eastAsia" w:eastAsiaTheme="minorEastAsia"/>
          <w:sz w:val="24"/>
        </w:rPr>
        <w:t xml:space="preserve">he </w:t>
      </w:r>
      <w:r>
        <w:rPr>
          <w:rFonts w:hint="eastAsia" w:eastAsiaTheme="minorEastAsia"/>
          <w:i/>
          <w:sz w:val="24"/>
        </w:rPr>
        <w:t xml:space="preserve">Measures </w:t>
      </w:r>
      <w:r>
        <w:rPr>
          <w:rFonts w:eastAsiaTheme="minorEastAsia"/>
          <w:sz w:val="24"/>
        </w:rPr>
        <w:t xml:space="preserve">unify </w:t>
      </w:r>
      <w:r>
        <w:rPr>
          <w:rFonts w:hint="eastAsia" w:eastAsiaTheme="minorEastAsia"/>
          <w:sz w:val="24"/>
        </w:rPr>
        <w:t xml:space="preserve">regional equity market businesses and regulatory rules, thus </w:t>
      </w:r>
      <w:r>
        <w:rPr>
          <w:rFonts w:eastAsiaTheme="minorEastAsia"/>
          <w:sz w:val="24"/>
        </w:rPr>
        <w:t xml:space="preserve">they </w:t>
      </w:r>
      <w:r>
        <w:rPr>
          <w:rFonts w:hint="eastAsia" w:eastAsiaTheme="minorEastAsia"/>
          <w:sz w:val="24"/>
        </w:rPr>
        <w:t xml:space="preserve">will help improve regulatory coordination, combat illegal activities, </w:t>
      </w:r>
      <w:r>
        <w:rPr>
          <w:rFonts w:eastAsiaTheme="minorEastAsia"/>
          <w:sz w:val="24"/>
        </w:rPr>
        <w:t xml:space="preserve">prevent a </w:t>
      </w:r>
      <w:r>
        <w:rPr>
          <w:rFonts w:hint="eastAsia" w:eastAsiaTheme="minorEastAsia"/>
          <w:sz w:val="24"/>
        </w:rPr>
        <w:t xml:space="preserve">regulatory </w:t>
      </w:r>
      <w:r>
        <w:rPr>
          <w:rFonts w:eastAsiaTheme="minorEastAsia"/>
          <w:sz w:val="24"/>
        </w:rPr>
        <w:t>vacuum</w:t>
      </w:r>
      <w:r>
        <w:rPr>
          <w:rFonts w:hint="eastAsia" w:eastAsiaTheme="minorEastAsia"/>
          <w:sz w:val="24"/>
        </w:rPr>
        <w:t xml:space="preserve"> and regulatory arbitrage, protect the legitimate rights and interests of investors, mitigate and resolve financial risks, and promote </w:t>
      </w:r>
      <w:r>
        <w:rPr>
          <w:rFonts w:eastAsiaTheme="minorEastAsia"/>
          <w:sz w:val="24"/>
        </w:rPr>
        <w:t xml:space="preserve">the </w:t>
      </w:r>
      <w:r>
        <w:rPr>
          <w:rFonts w:hint="eastAsia" w:eastAsiaTheme="minorEastAsia"/>
          <w:sz w:val="24"/>
        </w:rPr>
        <w:t xml:space="preserve">sound and stable development of regional equity markets. </w:t>
      </w:r>
    </w:p>
    <w:p>
      <w:pPr>
        <w:rPr>
          <w:rFonts w:eastAsiaTheme="minorEastAsia"/>
          <w:sz w:val="24"/>
        </w:rPr>
      </w:pPr>
    </w:p>
    <w:p>
      <w:pPr>
        <w:rPr>
          <w:rFonts w:eastAsiaTheme="minorEastAsia"/>
          <w:sz w:val="24"/>
        </w:rPr>
      </w:pPr>
      <w:r>
        <w:rPr>
          <w:rFonts w:eastAsiaTheme="minorEastAsia"/>
          <w:sz w:val="24"/>
        </w:rPr>
        <w:t>R</w:t>
      </w:r>
      <w:r>
        <w:rPr>
          <w:rFonts w:hint="eastAsia" w:eastAsiaTheme="minorEastAsia"/>
          <w:sz w:val="24"/>
        </w:rPr>
        <w:t>egulation of securities firms, securities investment fund management companies</w:t>
      </w:r>
      <w:r>
        <w:rPr>
          <w:rFonts w:eastAsiaTheme="minorEastAsia"/>
          <w:sz w:val="24"/>
        </w:rPr>
        <w:t>,</w:t>
      </w:r>
      <w:r>
        <w:rPr>
          <w:rFonts w:hint="eastAsia" w:eastAsiaTheme="minorEastAsia"/>
          <w:sz w:val="24"/>
        </w:rPr>
        <w:t xml:space="preserve"> and futures companies was strengthened. First, the CSRC issued the </w:t>
      </w:r>
      <w:r>
        <w:rPr>
          <w:rFonts w:eastAsiaTheme="minorEastAsia"/>
          <w:i/>
          <w:sz w:val="24"/>
        </w:rPr>
        <w:t>Measures for the Administration of Securities Fund Management Companies</w:t>
      </w:r>
      <w:r>
        <w:rPr>
          <w:rFonts w:hint="eastAsia" w:eastAsiaTheme="minorEastAsia"/>
          <w:sz w:val="24"/>
        </w:rPr>
        <w:t xml:space="preserve"> to</w:t>
      </w:r>
      <w:r>
        <w:rPr>
          <w:rFonts w:eastAsiaTheme="minorEastAsia"/>
          <w:sz w:val="24"/>
        </w:rPr>
        <w:t xml:space="preserve"> </w:t>
      </w:r>
      <w:r>
        <w:rPr>
          <w:rFonts w:hint="eastAsia" w:eastAsiaTheme="minorEastAsia"/>
          <w:sz w:val="24"/>
        </w:rPr>
        <w:t xml:space="preserve">clarify the respective </w:t>
      </w:r>
      <w:r>
        <w:rPr>
          <w:rFonts w:eastAsiaTheme="minorEastAsia"/>
          <w:sz w:val="24"/>
        </w:rPr>
        <w:t>responsibilities</w:t>
      </w:r>
      <w:r>
        <w:rPr>
          <w:rFonts w:hint="eastAsia" w:eastAsiaTheme="minorEastAsia"/>
          <w:sz w:val="24"/>
        </w:rPr>
        <w:t xml:space="preserve"> of the </w:t>
      </w:r>
      <w:r>
        <w:rPr>
          <w:rFonts w:eastAsiaTheme="minorEastAsia"/>
          <w:sz w:val="24"/>
        </w:rPr>
        <w:t>b</w:t>
      </w:r>
      <w:r>
        <w:rPr>
          <w:rFonts w:hint="eastAsia" w:eastAsiaTheme="minorEastAsia"/>
          <w:sz w:val="24"/>
        </w:rPr>
        <w:t xml:space="preserve">oard of </w:t>
      </w:r>
      <w:r>
        <w:rPr>
          <w:rFonts w:eastAsiaTheme="minorEastAsia"/>
          <w:sz w:val="24"/>
        </w:rPr>
        <w:t>d</w:t>
      </w:r>
      <w:r>
        <w:rPr>
          <w:rFonts w:hint="eastAsia" w:eastAsiaTheme="minorEastAsia"/>
          <w:sz w:val="24"/>
        </w:rPr>
        <w:t xml:space="preserve">irectors, </w:t>
      </w:r>
      <w:r>
        <w:rPr>
          <w:rFonts w:eastAsiaTheme="minorEastAsia"/>
          <w:sz w:val="24"/>
        </w:rPr>
        <w:t>the b</w:t>
      </w:r>
      <w:r>
        <w:rPr>
          <w:rFonts w:hint="eastAsia" w:eastAsiaTheme="minorEastAsia"/>
          <w:sz w:val="24"/>
        </w:rPr>
        <w:t xml:space="preserve">oard of </w:t>
      </w:r>
      <w:r>
        <w:rPr>
          <w:rFonts w:eastAsiaTheme="minorEastAsia"/>
          <w:sz w:val="24"/>
        </w:rPr>
        <w:t>s</w:t>
      </w:r>
      <w:r>
        <w:rPr>
          <w:rFonts w:hint="eastAsia" w:eastAsiaTheme="minorEastAsia"/>
          <w:sz w:val="24"/>
        </w:rPr>
        <w:t>upervisors,</w:t>
      </w:r>
      <w:r>
        <w:rPr>
          <w:rFonts w:eastAsiaTheme="minorEastAsia"/>
          <w:sz w:val="24"/>
        </w:rPr>
        <w:t xml:space="preserve"> the</w:t>
      </w:r>
      <w:r>
        <w:rPr>
          <w:rFonts w:hint="eastAsia" w:eastAsiaTheme="minorEastAsia"/>
          <w:sz w:val="24"/>
        </w:rPr>
        <w:t xml:space="preserve"> senior management</w:t>
      </w:r>
      <w:r>
        <w:rPr>
          <w:rFonts w:eastAsiaTheme="minorEastAsia"/>
          <w:sz w:val="24"/>
        </w:rPr>
        <w:t>,</w:t>
      </w:r>
      <w:r>
        <w:rPr>
          <w:rFonts w:hint="eastAsia" w:eastAsiaTheme="minorEastAsia"/>
          <w:sz w:val="24"/>
        </w:rPr>
        <w:t xml:space="preserve"> and compliance managers</w:t>
      </w:r>
      <w:r>
        <w:rPr>
          <w:rFonts w:eastAsiaTheme="minorEastAsia"/>
          <w:sz w:val="24"/>
        </w:rPr>
        <w:t xml:space="preserve"> </w:t>
      </w:r>
      <w:r>
        <w:rPr>
          <w:rFonts w:hint="eastAsia" w:eastAsiaTheme="minorEastAsia"/>
          <w:sz w:val="24"/>
        </w:rPr>
        <w:t xml:space="preserve">in order to improve compliance, strengthen </w:t>
      </w:r>
      <w:r>
        <w:rPr>
          <w:rFonts w:eastAsiaTheme="minorEastAsia"/>
          <w:sz w:val="24"/>
        </w:rPr>
        <w:t xml:space="preserve">the </w:t>
      </w:r>
      <w:r>
        <w:rPr>
          <w:rFonts w:hint="eastAsia" w:eastAsiaTheme="minorEastAsia"/>
          <w:sz w:val="24"/>
        </w:rPr>
        <w:t xml:space="preserve">accountability of those violating </w:t>
      </w:r>
      <w:r>
        <w:rPr>
          <w:rFonts w:eastAsiaTheme="minorEastAsia"/>
          <w:sz w:val="24"/>
        </w:rPr>
        <w:t xml:space="preserve">the </w:t>
      </w:r>
      <w:r>
        <w:rPr>
          <w:rFonts w:hint="eastAsia" w:eastAsiaTheme="minorEastAsia"/>
          <w:sz w:val="24"/>
        </w:rPr>
        <w:t>rules, regulations</w:t>
      </w:r>
      <w:r>
        <w:rPr>
          <w:rFonts w:eastAsiaTheme="minorEastAsia"/>
          <w:sz w:val="24"/>
        </w:rPr>
        <w:t>,</w:t>
      </w:r>
      <w:r>
        <w:rPr>
          <w:rFonts w:hint="eastAsia" w:eastAsiaTheme="minorEastAsia"/>
          <w:sz w:val="24"/>
        </w:rPr>
        <w:t xml:space="preserve"> and laws, improve </w:t>
      </w:r>
      <w:r>
        <w:rPr>
          <w:rFonts w:eastAsiaTheme="minorEastAsia"/>
          <w:sz w:val="24"/>
        </w:rPr>
        <w:t xml:space="preserve">the </w:t>
      </w:r>
      <w:r>
        <w:rPr>
          <w:rFonts w:hint="eastAsia" w:eastAsiaTheme="minorEastAsia"/>
          <w:sz w:val="24"/>
        </w:rPr>
        <w:t xml:space="preserve">effectiveness of compliance management, strengthen self-regulation, and promote sustained and healthy development of the industry. Second, the CSRC released the </w:t>
      </w:r>
      <w:r>
        <w:rPr>
          <w:rFonts w:eastAsiaTheme="minorEastAsia"/>
          <w:i/>
          <w:sz w:val="24"/>
        </w:rPr>
        <w:t>Measures for the Administration of Risk-based Regulation Indicators of Futures Companies</w:t>
      </w:r>
      <w:r>
        <w:rPr>
          <w:rFonts w:hint="eastAsia" w:eastAsiaTheme="minorEastAsia"/>
          <w:i/>
          <w:sz w:val="24"/>
        </w:rPr>
        <w:t xml:space="preserve"> </w:t>
      </w:r>
      <w:r>
        <w:rPr>
          <w:rFonts w:hint="eastAsia" w:eastAsiaTheme="minorEastAsia"/>
          <w:sz w:val="24"/>
        </w:rPr>
        <w:t xml:space="preserve">and supporting documents, which raised the minimum net capital requirement to RMB 30 million, provided for detailed </w:t>
      </w:r>
      <w:r>
        <w:rPr>
          <w:rFonts w:eastAsiaTheme="minorEastAsia"/>
          <w:sz w:val="24"/>
        </w:rPr>
        <w:t>haircut</w:t>
      </w:r>
      <w:r>
        <w:rPr>
          <w:rFonts w:hint="eastAsia" w:eastAsiaTheme="minorEastAsia"/>
          <w:sz w:val="24"/>
        </w:rPr>
        <w:t xml:space="preserve"> rules based on liquidity, recoverability</w:t>
      </w:r>
      <w:r>
        <w:rPr>
          <w:rFonts w:eastAsiaTheme="minorEastAsia"/>
          <w:sz w:val="24"/>
        </w:rPr>
        <w:t>,</w:t>
      </w:r>
      <w:r>
        <w:rPr>
          <w:rFonts w:hint="eastAsia" w:eastAsiaTheme="minorEastAsia"/>
          <w:sz w:val="24"/>
        </w:rPr>
        <w:t xml:space="preserve"> and risks, adjusted the scope and standards of risk provision</w:t>
      </w:r>
      <w:r>
        <w:rPr>
          <w:rFonts w:eastAsiaTheme="minorEastAsia"/>
          <w:sz w:val="24"/>
        </w:rPr>
        <w:t>s</w:t>
      </w:r>
      <w:r>
        <w:rPr>
          <w:rFonts w:hint="eastAsia" w:eastAsiaTheme="minorEastAsia"/>
          <w:sz w:val="24"/>
        </w:rPr>
        <w:t xml:space="preserve"> for asset management business</w:t>
      </w:r>
      <w:r>
        <w:rPr>
          <w:rFonts w:eastAsiaTheme="minorEastAsia"/>
          <w:sz w:val="24"/>
        </w:rPr>
        <w:t>es</w:t>
      </w:r>
      <w:r>
        <w:rPr>
          <w:rFonts w:hint="eastAsia" w:eastAsiaTheme="minorEastAsia"/>
          <w:sz w:val="24"/>
        </w:rPr>
        <w:t xml:space="preserve">, improved </w:t>
      </w:r>
      <w:r>
        <w:rPr>
          <w:rFonts w:eastAsiaTheme="minorEastAsia"/>
          <w:sz w:val="24"/>
        </w:rPr>
        <w:t xml:space="preserve">the </w:t>
      </w:r>
      <w:r>
        <w:rPr>
          <w:rFonts w:hint="eastAsia" w:eastAsiaTheme="minorEastAsia"/>
          <w:sz w:val="24"/>
        </w:rPr>
        <w:t xml:space="preserve">applicability and effectiveness of the system of risk-based regulation indicators </w:t>
      </w:r>
      <w:r>
        <w:rPr>
          <w:rFonts w:eastAsiaTheme="minorEastAsia"/>
          <w:sz w:val="24"/>
        </w:rPr>
        <w:t>in</w:t>
      </w:r>
      <w:r>
        <w:rPr>
          <w:rFonts w:hint="eastAsia" w:eastAsiaTheme="minorEastAsia"/>
          <w:sz w:val="24"/>
        </w:rPr>
        <w:t xml:space="preserve"> the futures industry, and strengthened </w:t>
      </w:r>
      <w:r>
        <w:rPr>
          <w:rFonts w:eastAsiaTheme="minorEastAsia"/>
          <w:sz w:val="24"/>
        </w:rPr>
        <w:t>supervision</w:t>
      </w:r>
      <w:r>
        <w:rPr>
          <w:rFonts w:hint="eastAsia" w:eastAsiaTheme="minorEastAsia"/>
          <w:sz w:val="24"/>
        </w:rPr>
        <w:t xml:space="preserve"> over futures companies. </w:t>
      </w:r>
    </w:p>
    <w:p>
      <w:pPr>
        <w:rPr>
          <w:rFonts w:eastAsiaTheme="minorEastAsia"/>
          <w:sz w:val="24"/>
        </w:rPr>
      </w:pPr>
    </w:p>
    <w:p>
      <w:pPr>
        <w:rPr>
          <w:rFonts w:eastAsiaTheme="minorEastAsia"/>
          <w:sz w:val="24"/>
        </w:rPr>
      </w:pPr>
      <w:r>
        <w:rPr>
          <w:rFonts w:eastAsiaTheme="minorEastAsia"/>
          <w:sz w:val="24"/>
        </w:rPr>
        <w:t>T</w:t>
      </w:r>
      <w:r>
        <w:rPr>
          <w:rFonts w:hint="eastAsia" w:eastAsiaTheme="minorEastAsia"/>
          <w:sz w:val="24"/>
        </w:rPr>
        <w:t>he regime for shareholding reduction</w:t>
      </w:r>
      <w:r>
        <w:rPr>
          <w:rFonts w:eastAsiaTheme="minorEastAsia"/>
          <w:sz w:val="24"/>
        </w:rPr>
        <w:t>s</w:t>
      </w:r>
      <w:r>
        <w:rPr>
          <w:rFonts w:hint="eastAsia" w:eastAsiaTheme="minorEastAsia"/>
          <w:sz w:val="24"/>
        </w:rPr>
        <w:t xml:space="preserve"> of listed companies was further improved. The CSRC issued the </w:t>
      </w:r>
      <w:r>
        <w:rPr>
          <w:rFonts w:hint="eastAsia" w:eastAsiaTheme="minorEastAsia"/>
          <w:i/>
          <w:sz w:val="24"/>
        </w:rPr>
        <w:t xml:space="preserve">Rules on </w:t>
      </w:r>
      <w:r>
        <w:rPr>
          <w:rFonts w:eastAsiaTheme="minorEastAsia"/>
          <w:i/>
          <w:sz w:val="24"/>
        </w:rPr>
        <w:t xml:space="preserve">the Sale of Shares by Major Shareholders, Directors, Supervisors, and Senior Management of Listed </w:t>
      </w:r>
      <w:r>
        <w:rPr>
          <w:rFonts w:hint="eastAsia" w:eastAsiaTheme="minorEastAsia"/>
          <w:i/>
          <w:sz w:val="24"/>
        </w:rPr>
        <w:t>Companies</w:t>
      </w:r>
      <w:r>
        <w:rPr>
          <w:rFonts w:hint="eastAsia" w:eastAsiaTheme="minorEastAsia"/>
          <w:sz w:val="24"/>
        </w:rPr>
        <w:t>, improv</w:t>
      </w:r>
      <w:r>
        <w:rPr>
          <w:rFonts w:eastAsiaTheme="minorEastAsia"/>
          <w:sz w:val="24"/>
        </w:rPr>
        <w:t>ing</w:t>
      </w:r>
      <w:r>
        <w:rPr>
          <w:rFonts w:hint="eastAsia" w:eastAsiaTheme="minorEastAsia"/>
          <w:sz w:val="24"/>
        </w:rPr>
        <w:t xml:space="preserve"> the regimes for block trading and  shareholding reduction information disclosure</w:t>
      </w:r>
      <w:r>
        <w:rPr>
          <w:rFonts w:eastAsiaTheme="minorEastAsia"/>
          <w:sz w:val="24"/>
        </w:rPr>
        <w:t>s</w:t>
      </w:r>
      <w:r>
        <w:rPr>
          <w:rFonts w:hint="eastAsia" w:eastAsiaTheme="minorEastAsia"/>
          <w:sz w:val="24"/>
        </w:rPr>
        <w:t>,</w:t>
      </w:r>
      <w:r>
        <w:rPr>
          <w:rFonts w:eastAsiaTheme="minorEastAsia"/>
          <w:sz w:val="24"/>
        </w:rPr>
        <w:t xml:space="preserve"> and</w:t>
      </w:r>
      <w:r>
        <w:rPr>
          <w:rFonts w:hint="eastAsia" w:eastAsiaTheme="minorEastAsia"/>
          <w:sz w:val="24"/>
        </w:rPr>
        <w:t xml:space="preserve"> guid</w:t>
      </w:r>
      <w:r>
        <w:rPr>
          <w:rFonts w:eastAsiaTheme="minorEastAsia"/>
          <w:sz w:val="24"/>
        </w:rPr>
        <w:t>ing</w:t>
      </w:r>
      <w:r>
        <w:rPr>
          <w:rFonts w:hint="eastAsia" w:eastAsiaTheme="minorEastAsia"/>
          <w:sz w:val="24"/>
        </w:rPr>
        <w:t xml:space="preserve"> </w:t>
      </w:r>
      <w:r>
        <w:rPr>
          <w:rFonts w:eastAsiaTheme="minorEastAsia"/>
          <w:sz w:val="24"/>
        </w:rPr>
        <w:t xml:space="preserve">the </w:t>
      </w:r>
      <w:r>
        <w:rPr>
          <w:rFonts w:hint="eastAsia" w:eastAsiaTheme="minorEastAsia"/>
          <w:sz w:val="24"/>
        </w:rPr>
        <w:t xml:space="preserve">controlling shareholders, </w:t>
      </w:r>
      <w:r>
        <w:rPr>
          <w:rFonts w:eastAsiaTheme="minorEastAsia"/>
          <w:sz w:val="24"/>
        </w:rPr>
        <w:t>d</w:t>
      </w:r>
      <w:r>
        <w:rPr>
          <w:rFonts w:hint="eastAsia" w:eastAsiaTheme="minorEastAsia"/>
          <w:sz w:val="24"/>
        </w:rPr>
        <w:t xml:space="preserve">irectors, </w:t>
      </w:r>
      <w:r>
        <w:rPr>
          <w:rFonts w:eastAsiaTheme="minorEastAsia"/>
          <w:sz w:val="24"/>
        </w:rPr>
        <w:t>b</w:t>
      </w:r>
      <w:r>
        <w:rPr>
          <w:rFonts w:hint="eastAsia" w:eastAsiaTheme="minorEastAsia"/>
          <w:sz w:val="24"/>
        </w:rPr>
        <w:t xml:space="preserve">oard of </w:t>
      </w:r>
      <w:r>
        <w:rPr>
          <w:rFonts w:eastAsiaTheme="minorEastAsia"/>
          <w:sz w:val="24"/>
        </w:rPr>
        <w:t>s</w:t>
      </w:r>
      <w:r>
        <w:rPr>
          <w:rFonts w:hint="eastAsia" w:eastAsiaTheme="minorEastAsia"/>
          <w:sz w:val="24"/>
        </w:rPr>
        <w:t>upervisors</w:t>
      </w:r>
      <w:r>
        <w:rPr>
          <w:rFonts w:eastAsiaTheme="minorEastAsia"/>
          <w:sz w:val="24"/>
        </w:rPr>
        <w:t>,</w:t>
      </w:r>
      <w:r>
        <w:rPr>
          <w:rFonts w:hint="eastAsia" w:eastAsiaTheme="minorEastAsia"/>
          <w:sz w:val="24"/>
        </w:rPr>
        <w:t xml:space="preserve"> and senior management of listed companies to</w:t>
      </w:r>
      <w:r>
        <w:rPr>
          <w:rFonts w:eastAsiaTheme="minorEastAsia"/>
          <w:sz w:val="24"/>
        </w:rPr>
        <w:t xml:space="preserve"> </w:t>
      </w:r>
      <w:r>
        <w:rPr>
          <w:rFonts w:hint="eastAsia" w:eastAsiaTheme="minorEastAsia"/>
          <w:sz w:val="24"/>
        </w:rPr>
        <w:t>reduce shareholding in a law-abiding, rational</w:t>
      </w:r>
      <w:r>
        <w:rPr>
          <w:rFonts w:eastAsiaTheme="minorEastAsia"/>
          <w:sz w:val="24"/>
        </w:rPr>
        <w:t>,</w:t>
      </w:r>
      <w:r>
        <w:rPr>
          <w:rFonts w:hint="eastAsia" w:eastAsiaTheme="minorEastAsia"/>
          <w:sz w:val="24"/>
        </w:rPr>
        <w:t xml:space="preserve"> and orderly manner, which </w:t>
      </w:r>
      <w:r>
        <w:rPr>
          <w:rFonts w:eastAsiaTheme="minorEastAsia"/>
          <w:sz w:val="24"/>
        </w:rPr>
        <w:t xml:space="preserve">will </w:t>
      </w:r>
      <w:r>
        <w:rPr>
          <w:rFonts w:hint="eastAsia" w:eastAsiaTheme="minorEastAsia"/>
          <w:sz w:val="24"/>
        </w:rPr>
        <w:t>help promote stable operation</w:t>
      </w:r>
      <w:r>
        <w:rPr>
          <w:rFonts w:eastAsiaTheme="minorEastAsia"/>
          <w:sz w:val="24"/>
        </w:rPr>
        <w:t>s</w:t>
      </w:r>
      <w:r>
        <w:rPr>
          <w:rFonts w:hint="eastAsia" w:eastAsiaTheme="minorEastAsia"/>
          <w:sz w:val="24"/>
        </w:rPr>
        <w:t xml:space="preserve"> of listed companies, reward small- and medium-sized investors, support market confidence</w:t>
      </w:r>
      <w:r>
        <w:rPr>
          <w:rFonts w:eastAsiaTheme="minorEastAsia"/>
          <w:sz w:val="24"/>
        </w:rPr>
        <w:t>,</w:t>
      </w:r>
      <w:r>
        <w:rPr>
          <w:rFonts w:hint="eastAsia" w:eastAsiaTheme="minorEastAsia"/>
          <w:sz w:val="24"/>
        </w:rPr>
        <w:t xml:space="preserve"> and protect the legitimate rights and </w:t>
      </w:r>
      <w:r>
        <w:rPr>
          <w:rFonts w:eastAsiaTheme="minorEastAsia"/>
          <w:sz w:val="24"/>
        </w:rPr>
        <w:t>interests</w:t>
      </w:r>
      <w:r>
        <w:rPr>
          <w:rFonts w:hint="eastAsia" w:eastAsiaTheme="minorEastAsia"/>
          <w:sz w:val="24"/>
        </w:rPr>
        <w:t xml:space="preserve"> of investors. </w:t>
      </w:r>
    </w:p>
    <w:p>
      <w:pPr>
        <w:rPr>
          <w:rFonts w:eastAsiaTheme="minorEastAsia"/>
          <w:sz w:val="24"/>
        </w:rPr>
      </w:pPr>
    </w:p>
    <w:p>
      <w:pPr>
        <w:pStyle w:val="29"/>
        <w:widowControl w:val="0"/>
        <w:numPr>
          <w:ilvl w:val="0"/>
          <w:numId w:val="2"/>
        </w:numPr>
        <w:spacing w:before="60" w:after="60" w:line="240" w:lineRule="auto"/>
        <w:contextualSpacing w:val="0"/>
        <w:jc w:val="both"/>
        <w:rPr>
          <w:rFonts w:eastAsia="仿宋_GB2312"/>
          <w:b/>
          <w:bCs/>
        </w:rPr>
      </w:pPr>
      <w:r>
        <w:rPr>
          <w:b/>
          <w:bCs/>
        </w:rPr>
        <w:t>I</w:t>
      </w:r>
      <w:r>
        <w:rPr>
          <w:rFonts w:hint="eastAsia"/>
          <w:b/>
          <w:bCs/>
        </w:rPr>
        <w:t>nstitutional arrangements for regulation o</w:t>
      </w:r>
      <w:r>
        <w:rPr>
          <w:b/>
          <w:bCs/>
        </w:rPr>
        <w:t>f</w:t>
      </w:r>
      <w:r>
        <w:rPr>
          <w:rFonts w:hint="eastAsia"/>
          <w:b/>
          <w:bCs/>
        </w:rPr>
        <w:t xml:space="preserve"> the insurance industry were reinforced</w:t>
      </w:r>
    </w:p>
    <w:p>
      <w:pPr>
        <w:rPr>
          <w:rFonts w:eastAsiaTheme="minorEastAsia"/>
          <w:sz w:val="24"/>
        </w:rPr>
      </w:pPr>
      <w:r>
        <w:rPr>
          <w:rFonts w:eastAsiaTheme="minorEastAsia"/>
          <w:sz w:val="24"/>
        </w:rPr>
        <w:t>F</w:t>
      </w:r>
      <w:r>
        <w:rPr>
          <w:rFonts w:hint="eastAsia" w:eastAsiaTheme="minorEastAsia"/>
          <w:sz w:val="24"/>
        </w:rPr>
        <w:t>irst, risk control</w:t>
      </w:r>
      <w:r>
        <w:rPr>
          <w:rFonts w:eastAsiaTheme="minorEastAsia"/>
          <w:sz w:val="24"/>
        </w:rPr>
        <w:t>s</w:t>
      </w:r>
      <w:r>
        <w:rPr>
          <w:rFonts w:hint="eastAsia" w:eastAsiaTheme="minorEastAsia"/>
          <w:sz w:val="24"/>
        </w:rPr>
        <w:t xml:space="preserve"> w</w:t>
      </w:r>
      <w:r>
        <w:rPr>
          <w:rFonts w:eastAsiaTheme="minorEastAsia"/>
          <w:sz w:val="24"/>
        </w:rPr>
        <w:t>ere</w:t>
      </w:r>
      <w:r>
        <w:rPr>
          <w:rFonts w:hint="eastAsia" w:eastAsiaTheme="minorEastAsia"/>
          <w:sz w:val="24"/>
        </w:rPr>
        <w:t xml:space="preserve"> strengthened. In the </w:t>
      </w:r>
      <w:r>
        <w:rPr>
          <w:rFonts w:eastAsiaTheme="minorEastAsia"/>
          <w:i/>
          <w:sz w:val="24"/>
        </w:rPr>
        <w:t>Circular of the China Insurance Regulatory Commission on Further Strengthening Insurance Regulation to Maintain the Steady and Sound Development of the Insurance Industry,</w:t>
      </w:r>
      <w:r>
        <w:rPr>
          <w:rFonts w:hint="eastAsia" w:eastAsiaTheme="minorEastAsia"/>
          <w:sz w:val="24"/>
        </w:rPr>
        <w:t xml:space="preserve"> the C</w:t>
      </w:r>
      <w:r>
        <w:rPr>
          <w:rFonts w:eastAsiaTheme="minorEastAsia"/>
          <w:sz w:val="24"/>
        </w:rPr>
        <w:t>h</w:t>
      </w:r>
      <w:r>
        <w:rPr>
          <w:rFonts w:hint="eastAsia" w:eastAsiaTheme="minorEastAsia"/>
          <w:sz w:val="24"/>
        </w:rPr>
        <w:t>ina Insurance R</w:t>
      </w:r>
      <w:r>
        <w:rPr>
          <w:rFonts w:eastAsiaTheme="minorEastAsia"/>
          <w:sz w:val="24"/>
        </w:rPr>
        <w:t>e</w:t>
      </w:r>
      <w:r>
        <w:rPr>
          <w:rFonts w:hint="eastAsia" w:eastAsiaTheme="minorEastAsia"/>
          <w:sz w:val="24"/>
        </w:rPr>
        <w:t>gulatory Commission (CIRC) identified nine notable risks in the insurance industry, namely liquidity risks, risks in investment</w:t>
      </w:r>
      <w:r>
        <w:rPr>
          <w:rFonts w:eastAsiaTheme="minorEastAsia"/>
          <w:sz w:val="24"/>
        </w:rPr>
        <w:t>s</w:t>
      </w:r>
      <w:r>
        <w:rPr>
          <w:rFonts w:hint="eastAsia" w:eastAsiaTheme="minorEastAsia"/>
          <w:sz w:val="24"/>
        </w:rPr>
        <w:t>, strategic risks, risks in new insurance businesses, risk</w:t>
      </w:r>
      <w:r>
        <w:rPr>
          <w:rFonts w:eastAsiaTheme="minorEastAsia"/>
          <w:sz w:val="24"/>
        </w:rPr>
        <w:t>s</w:t>
      </w:r>
      <w:r>
        <w:rPr>
          <w:rFonts w:hint="eastAsia" w:eastAsiaTheme="minorEastAsia"/>
          <w:sz w:val="24"/>
        </w:rPr>
        <w:t xml:space="preserve"> from external contagion, risk</w:t>
      </w:r>
      <w:r>
        <w:rPr>
          <w:rFonts w:eastAsiaTheme="minorEastAsia"/>
          <w:sz w:val="24"/>
        </w:rPr>
        <w:t>s</w:t>
      </w:r>
      <w:r>
        <w:rPr>
          <w:rFonts w:hint="eastAsia" w:eastAsiaTheme="minorEastAsia"/>
          <w:sz w:val="24"/>
        </w:rPr>
        <w:t xml:space="preserve"> of mass disturbance</w:t>
      </w:r>
      <w:r>
        <w:rPr>
          <w:rFonts w:eastAsiaTheme="minorEastAsia"/>
          <w:sz w:val="24"/>
        </w:rPr>
        <w:t>s</w:t>
      </w:r>
      <w:r>
        <w:rPr>
          <w:rFonts w:hint="eastAsia" w:eastAsiaTheme="minorEastAsia"/>
          <w:sz w:val="24"/>
        </w:rPr>
        <w:t>, risks in data authenticity and accuracy, risks of leveraged capital stock, and reputation</w:t>
      </w:r>
      <w:r>
        <w:rPr>
          <w:rFonts w:eastAsiaTheme="minorEastAsia"/>
          <w:sz w:val="24"/>
        </w:rPr>
        <w:t>al</w:t>
      </w:r>
      <w:r>
        <w:rPr>
          <w:rFonts w:hint="eastAsia" w:eastAsiaTheme="minorEastAsia"/>
          <w:sz w:val="24"/>
        </w:rPr>
        <w:t xml:space="preserve"> risks, and </w:t>
      </w:r>
      <w:r>
        <w:rPr>
          <w:rFonts w:eastAsiaTheme="minorEastAsia"/>
          <w:sz w:val="24"/>
        </w:rPr>
        <w:t xml:space="preserve">it </w:t>
      </w:r>
      <w:r>
        <w:rPr>
          <w:rFonts w:hint="eastAsia" w:eastAsiaTheme="minorEastAsia"/>
          <w:sz w:val="24"/>
        </w:rPr>
        <w:t>raised specific requirements for risk control</w:t>
      </w:r>
      <w:r>
        <w:rPr>
          <w:rFonts w:eastAsiaTheme="minorEastAsia"/>
          <w:sz w:val="24"/>
        </w:rPr>
        <w:t>s</w:t>
      </w:r>
      <w:r>
        <w:rPr>
          <w:rFonts w:hint="eastAsia" w:eastAsiaTheme="minorEastAsia"/>
          <w:sz w:val="24"/>
        </w:rPr>
        <w:t xml:space="preserve">. </w:t>
      </w:r>
      <w:r>
        <w:rPr>
          <w:rFonts w:eastAsiaTheme="minorEastAsia"/>
          <w:sz w:val="24"/>
        </w:rPr>
        <w:t>S</w:t>
      </w:r>
      <w:r>
        <w:rPr>
          <w:rFonts w:hint="eastAsia" w:eastAsiaTheme="minorEastAsia"/>
          <w:sz w:val="24"/>
        </w:rPr>
        <w:t xml:space="preserve">econd, </w:t>
      </w:r>
      <w:r>
        <w:rPr>
          <w:rFonts w:eastAsiaTheme="minorEastAsia"/>
          <w:sz w:val="24"/>
        </w:rPr>
        <w:t xml:space="preserve">the </w:t>
      </w:r>
      <w:r>
        <w:rPr>
          <w:rFonts w:hint="eastAsia" w:eastAsiaTheme="minorEastAsia"/>
          <w:sz w:val="24"/>
        </w:rPr>
        <w:t xml:space="preserve">governance rules </w:t>
      </w:r>
      <w:r>
        <w:rPr>
          <w:rFonts w:eastAsiaTheme="minorEastAsia"/>
          <w:sz w:val="24"/>
        </w:rPr>
        <w:t xml:space="preserve">for </w:t>
      </w:r>
      <w:r>
        <w:rPr>
          <w:rFonts w:hint="eastAsia" w:eastAsiaTheme="minorEastAsia"/>
          <w:sz w:val="24"/>
        </w:rPr>
        <w:t>insurance companies w</w:t>
      </w:r>
      <w:r>
        <w:rPr>
          <w:rFonts w:eastAsiaTheme="minorEastAsia"/>
          <w:sz w:val="24"/>
        </w:rPr>
        <w:t>ere</w:t>
      </w:r>
      <w:r>
        <w:rPr>
          <w:rFonts w:hint="eastAsia" w:eastAsiaTheme="minorEastAsia"/>
          <w:sz w:val="24"/>
        </w:rPr>
        <w:t xml:space="preserve"> improved. The CIRC issued the </w:t>
      </w:r>
      <w:r>
        <w:rPr>
          <w:rFonts w:hint="eastAsia" w:eastAsiaTheme="minorEastAsia"/>
          <w:i/>
          <w:sz w:val="24"/>
        </w:rPr>
        <w:t xml:space="preserve">Guidelines for </w:t>
      </w:r>
      <w:r>
        <w:rPr>
          <w:rFonts w:eastAsiaTheme="minorEastAsia"/>
          <w:i/>
          <w:sz w:val="24"/>
        </w:rPr>
        <w:t xml:space="preserve">the </w:t>
      </w:r>
      <w:r>
        <w:rPr>
          <w:rFonts w:hint="eastAsia" w:eastAsiaTheme="minorEastAsia"/>
          <w:i/>
          <w:sz w:val="24"/>
        </w:rPr>
        <w:t>Articles of Association of Insurance Companies</w:t>
      </w:r>
      <w:r>
        <w:rPr>
          <w:rFonts w:eastAsiaTheme="minorEastAsia"/>
          <w:sz w:val="24"/>
        </w:rPr>
        <w:t xml:space="preserve"> t</w:t>
      </w:r>
      <w:r>
        <w:rPr>
          <w:rFonts w:hint="eastAsia" w:eastAsiaTheme="minorEastAsia"/>
          <w:sz w:val="24"/>
        </w:rPr>
        <w:t xml:space="preserve">o </w:t>
      </w:r>
      <w:r>
        <w:rPr>
          <w:rFonts w:eastAsiaTheme="minorEastAsia"/>
          <w:sz w:val="24"/>
        </w:rPr>
        <w:t>establish</w:t>
      </w:r>
      <w:r>
        <w:rPr>
          <w:rFonts w:hint="eastAsia" w:eastAsiaTheme="minorEastAsia"/>
          <w:sz w:val="24"/>
        </w:rPr>
        <w:t xml:space="preserve"> mandatory articles </w:t>
      </w:r>
      <w:r>
        <w:rPr>
          <w:rFonts w:eastAsiaTheme="minorEastAsia"/>
          <w:sz w:val="24"/>
        </w:rPr>
        <w:t>in the</w:t>
      </w:r>
      <w:r>
        <w:rPr>
          <w:rFonts w:hint="eastAsia" w:eastAsiaTheme="minorEastAsia"/>
          <w:sz w:val="24"/>
        </w:rPr>
        <w:t xml:space="preserve"> Articles of Association and </w:t>
      </w:r>
      <w:r>
        <w:rPr>
          <w:rFonts w:eastAsiaTheme="minorEastAsia"/>
          <w:sz w:val="24"/>
        </w:rPr>
        <w:t xml:space="preserve">to </w:t>
      </w:r>
      <w:r>
        <w:rPr>
          <w:rFonts w:hint="eastAsia" w:eastAsiaTheme="minorEastAsia"/>
          <w:sz w:val="24"/>
        </w:rPr>
        <w:t xml:space="preserve">define the detailed rights and obligations of insurance companies and </w:t>
      </w:r>
      <w:r>
        <w:rPr>
          <w:rFonts w:eastAsiaTheme="minorEastAsia"/>
          <w:sz w:val="24"/>
        </w:rPr>
        <w:t>their</w:t>
      </w:r>
      <w:r>
        <w:rPr>
          <w:rFonts w:hint="eastAsia" w:eastAsiaTheme="minorEastAsia"/>
          <w:sz w:val="24"/>
        </w:rPr>
        <w:t xml:space="preserve"> shareholders, directors, supervisors</w:t>
      </w:r>
      <w:r>
        <w:rPr>
          <w:rFonts w:eastAsiaTheme="minorEastAsia"/>
          <w:sz w:val="24"/>
        </w:rPr>
        <w:t>,</w:t>
      </w:r>
      <w:r>
        <w:rPr>
          <w:rFonts w:hint="eastAsia" w:eastAsiaTheme="minorEastAsia"/>
          <w:sz w:val="24"/>
        </w:rPr>
        <w:t xml:space="preserve"> and management. </w:t>
      </w:r>
      <w:r>
        <w:rPr>
          <w:rFonts w:eastAsiaTheme="minorEastAsia"/>
          <w:sz w:val="24"/>
        </w:rPr>
        <w:t>T</w:t>
      </w:r>
      <w:r>
        <w:rPr>
          <w:rFonts w:hint="eastAsia" w:eastAsiaTheme="minorEastAsia"/>
          <w:sz w:val="24"/>
        </w:rPr>
        <w:t xml:space="preserve">hird, insurance </w:t>
      </w:r>
      <w:r>
        <w:rPr>
          <w:rFonts w:eastAsiaTheme="minorEastAsia"/>
          <w:sz w:val="24"/>
        </w:rPr>
        <w:t>companies</w:t>
      </w:r>
      <w:r>
        <w:rPr>
          <w:rFonts w:hint="eastAsia" w:eastAsiaTheme="minorEastAsia"/>
          <w:sz w:val="24"/>
        </w:rPr>
        <w:t xml:space="preserve"> were encouraged to support the real economy. In the </w:t>
      </w:r>
      <w:r>
        <w:rPr>
          <w:rFonts w:hint="eastAsia" w:eastAsiaTheme="minorEastAsia"/>
          <w:i/>
          <w:sz w:val="24"/>
        </w:rPr>
        <w:t>Guid</w:t>
      </w:r>
      <w:r>
        <w:rPr>
          <w:rFonts w:eastAsiaTheme="minorEastAsia"/>
          <w:i/>
          <w:sz w:val="24"/>
        </w:rPr>
        <w:t>e</w:t>
      </w:r>
      <w:r>
        <w:rPr>
          <w:rFonts w:hint="eastAsia" w:eastAsiaTheme="minorEastAsia"/>
          <w:i/>
          <w:sz w:val="24"/>
        </w:rPr>
        <w:t xml:space="preserve">lines </w:t>
      </w:r>
      <w:r>
        <w:rPr>
          <w:rFonts w:eastAsiaTheme="minorEastAsia"/>
          <w:i/>
          <w:sz w:val="24"/>
        </w:rPr>
        <w:t>for</w:t>
      </w:r>
      <w:r>
        <w:rPr>
          <w:rFonts w:hint="eastAsia" w:eastAsiaTheme="minorEastAsia"/>
          <w:i/>
          <w:sz w:val="24"/>
        </w:rPr>
        <w:t xml:space="preserve"> the Insurance Industry </w:t>
      </w:r>
      <w:r>
        <w:rPr>
          <w:rFonts w:eastAsiaTheme="minorEastAsia"/>
          <w:i/>
          <w:sz w:val="24"/>
        </w:rPr>
        <w:t xml:space="preserve">to </w:t>
      </w:r>
      <w:r>
        <w:rPr>
          <w:rFonts w:hint="eastAsia" w:eastAsiaTheme="minorEastAsia"/>
          <w:i/>
          <w:sz w:val="24"/>
        </w:rPr>
        <w:t>Support the R</w:t>
      </w:r>
      <w:r>
        <w:rPr>
          <w:rFonts w:eastAsiaTheme="minorEastAsia"/>
          <w:i/>
          <w:sz w:val="24"/>
        </w:rPr>
        <w:t>e</w:t>
      </w:r>
      <w:r>
        <w:rPr>
          <w:rFonts w:hint="eastAsia" w:eastAsiaTheme="minorEastAsia"/>
          <w:i/>
          <w:sz w:val="24"/>
        </w:rPr>
        <w:t>al Economy,</w:t>
      </w:r>
      <w:r>
        <w:rPr>
          <w:rFonts w:hint="eastAsia" w:eastAsiaTheme="minorEastAsia"/>
          <w:sz w:val="24"/>
        </w:rPr>
        <w:t xml:space="preserve"> the CIRC enhanced support for insurance companies to invest in Public Private Partnership (PPP) projects</w:t>
      </w:r>
      <w:r>
        <w:rPr>
          <w:rFonts w:eastAsiaTheme="minorEastAsia"/>
          <w:sz w:val="24"/>
        </w:rPr>
        <w:t xml:space="preserve"> and</w:t>
      </w:r>
      <w:r>
        <w:rPr>
          <w:rFonts w:hint="eastAsia" w:eastAsiaTheme="minorEastAsia"/>
          <w:sz w:val="24"/>
        </w:rPr>
        <w:t xml:space="preserve"> </w:t>
      </w:r>
      <w:r>
        <w:rPr>
          <w:rFonts w:eastAsiaTheme="minorEastAsia"/>
          <w:sz w:val="24"/>
        </w:rPr>
        <w:t xml:space="preserve">in </w:t>
      </w:r>
      <w:r>
        <w:rPr>
          <w:rFonts w:hint="eastAsia" w:eastAsiaTheme="minorEastAsia"/>
          <w:sz w:val="24"/>
        </w:rPr>
        <w:t>financing for the agro-linked sector</w:t>
      </w:r>
      <w:r>
        <w:rPr>
          <w:rFonts w:eastAsiaTheme="minorEastAsia"/>
          <w:sz w:val="24"/>
        </w:rPr>
        <w:t>,</w:t>
      </w:r>
      <w:r>
        <w:rPr>
          <w:rFonts w:hint="eastAsia" w:eastAsiaTheme="minorEastAsia"/>
          <w:sz w:val="24"/>
        </w:rPr>
        <w:t xml:space="preserve"> small businesses, and infrastructure construction so as to guide the industry to better serve the national strategy and development of the real economy. </w:t>
      </w:r>
      <w:r>
        <w:rPr>
          <w:rFonts w:eastAsiaTheme="minorEastAsia"/>
          <w:sz w:val="24"/>
        </w:rPr>
        <w:t>Meanwhile</w:t>
      </w:r>
      <w:r>
        <w:rPr>
          <w:rFonts w:hint="eastAsia" w:eastAsiaTheme="minorEastAsia"/>
          <w:sz w:val="24"/>
        </w:rPr>
        <w:t xml:space="preserve">, the </w:t>
      </w:r>
      <w:r>
        <w:rPr>
          <w:rFonts w:hint="eastAsia" w:eastAsiaTheme="minorEastAsia"/>
          <w:i/>
          <w:sz w:val="24"/>
        </w:rPr>
        <w:t>Notice on Investment</w:t>
      </w:r>
      <w:r>
        <w:rPr>
          <w:rFonts w:eastAsiaTheme="minorEastAsia"/>
          <w:i/>
          <w:sz w:val="24"/>
        </w:rPr>
        <w:t>s</w:t>
      </w:r>
      <w:r>
        <w:rPr>
          <w:rFonts w:hint="eastAsia" w:eastAsiaTheme="minorEastAsia"/>
          <w:i/>
          <w:sz w:val="24"/>
        </w:rPr>
        <w:t xml:space="preserve"> in Priority Projects by Debt Investment Plans </w:t>
      </w:r>
      <w:r>
        <w:rPr>
          <w:rFonts w:hint="eastAsia" w:eastAsiaTheme="minorEastAsia"/>
          <w:sz w:val="24"/>
        </w:rPr>
        <w:t xml:space="preserve">was issued to improve </w:t>
      </w:r>
      <w:r>
        <w:rPr>
          <w:rFonts w:eastAsiaTheme="minorEastAsia"/>
          <w:sz w:val="24"/>
        </w:rPr>
        <w:t xml:space="preserve">the </w:t>
      </w:r>
      <w:r>
        <w:rPr>
          <w:rFonts w:hint="eastAsia" w:eastAsiaTheme="minorEastAsia"/>
          <w:sz w:val="24"/>
        </w:rPr>
        <w:t xml:space="preserve">efficiency of registration, </w:t>
      </w:r>
      <w:r>
        <w:rPr>
          <w:rFonts w:eastAsiaTheme="minorEastAsia"/>
          <w:sz w:val="24"/>
        </w:rPr>
        <w:t xml:space="preserve">to </w:t>
      </w:r>
      <w:r>
        <w:rPr>
          <w:rFonts w:hint="eastAsia" w:eastAsiaTheme="minorEastAsia"/>
          <w:sz w:val="24"/>
        </w:rPr>
        <w:t xml:space="preserve">scale back </w:t>
      </w:r>
      <w:r>
        <w:rPr>
          <w:rFonts w:eastAsiaTheme="minorEastAsia"/>
          <w:sz w:val="24"/>
        </w:rPr>
        <w:t xml:space="preserve">the </w:t>
      </w:r>
      <w:r>
        <w:rPr>
          <w:rFonts w:hint="eastAsia" w:eastAsiaTheme="minorEastAsia"/>
          <w:sz w:val="24"/>
        </w:rPr>
        <w:t xml:space="preserve">requirements </w:t>
      </w:r>
      <w:r>
        <w:rPr>
          <w:rFonts w:eastAsiaTheme="minorEastAsia"/>
          <w:sz w:val="24"/>
        </w:rPr>
        <w:t>for</w:t>
      </w:r>
      <w:r>
        <w:rPr>
          <w:rFonts w:hint="eastAsia" w:eastAsiaTheme="minorEastAsia"/>
          <w:sz w:val="24"/>
        </w:rPr>
        <w:t xml:space="preserve"> credit enhancement, and </w:t>
      </w:r>
      <w:r>
        <w:rPr>
          <w:rFonts w:eastAsiaTheme="minorEastAsia"/>
          <w:sz w:val="24"/>
        </w:rPr>
        <w:t xml:space="preserve">to </w:t>
      </w:r>
      <w:r>
        <w:rPr>
          <w:rFonts w:hint="eastAsia" w:eastAsiaTheme="minorEastAsia"/>
          <w:sz w:val="24"/>
        </w:rPr>
        <w:t>facilitate investment</w:t>
      </w:r>
      <w:r>
        <w:rPr>
          <w:rFonts w:eastAsiaTheme="minorEastAsia"/>
          <w:sz w:val="24"/>
        </w:rPr>
        <w:t>s</w:t>
      </w:r>
      <w:r>
        <w:rPr>
          <w:rFonts w:hint="eastAsia" w:eastAsiaTheme="minorEastAsia"/>
          <w:sz w:val="24"/>
        </w:rPr>
        <w:t xml:space="preserve"> by insurance funds in the real economy. </w:t>
      </w:r>
      <w:r>
        <w:rPr>
          <w:rFonts w:eastAsiaTheme="minorEastAsia"/>
          <w:sz w:val="24"/>
        </w:rPr>
        <w:t>F</w:t>
      </w:r>
      <w:r>
        <w:rPr>
          <w:rFonts w:hint="eastAsia" w:eastAsiaTheme="minorEastAsia"/>
          <w:sz w:val="24"/>
        </w:rPr>
        <w:t>ourth, insurance funds were allowed to invest in the Shenzhen</w:t>
      </w:r>
      <w:r>
        <w:rPr>
          <w:rFonts w:eastAsiaTheme="minorEastAsia"/>
          <w:sz w:val="24"/>
        </w:rPr>
        <w:t>–</w:t>
      </w:r>
      <w:r>
        <w:rPr>
          <w:rFonts w:hint="eastAsia" w:eastAsiaTheme="minorEastAsia"/>
          <w:sz w:val="24"/>
        </w:rPr>
        <w:t xml:space="preserve">Hong Kong Stock Connect Program. </w:t>
      </w:r>
      <w:r>
        <w:rPr>
          <w:rFonts w:eastAsiaTheme="minorEastAsia"/>
          <w:sz w:val="24"/>
        </w:rPr>
        <w:t>T</w:t>
      </w:r>
      <w:r>
        <w:rPr>
          <w:rFonts w:hint="eastAsia" w:eastAsiaTheme="minorEastAsia"/>
          <w:sz w:val="24"/>
        </w:rPr>
        <w:t xml:space="preserve">he CIRC issued the </w:t>
      </w:r>
      <w:r>
        <w:rPr>
          <w:rFonts w:hint="eastAsia" w:eastAsiaTheme="minorEastAsia"/>
          <w:i/>
          <w:sz w:val="24"/>
        </w:rPr>
        <w:t>R</w:t>
      </w:r>
      <w:r>
        <w:rPr>
          <w:rFonts w:eastAsiaTheme="minorEastAsia"/>
          <w:i/>
          <w:sz w:val="24"/>
        </w:rPr>
        <w:t>e</w:t>
      </w:r>
      <w:r>
        <w:rPr>
          <w:rFonts w:hint="eastAsia" w:eastAsiaTheme="minorEastAsia"/>
          <w:i/>
          <w:sz w:val="24"/>
        </w:rPr>
        <w:t xml:space="preserve">gulatory Rules on the Pilot Program </w:t>
      </w:r>
      <w:r>
        <w:rPr>
          <w:rFonts w:eastAsiaTheme="minorEastAsia"/>
          <w:i/>
          <w:sz w:val="24"/>
        </w:rPr>
        <w:t>for</w:t>
      </w:r>
      <w:r>
        <w:rPr>
          <w:rFonts w:hint="eastAsia" w:eastAsiaTheme="minorEastAsia"/>
          <w:i/>
          <w:sz w:val="24"/>
        </w:rPr>
        <w:t xml:space="preserve"> Insurance Fund Investment</w:t>
      </w:r>
      <w:r>
        <w:rPr>
          <w:rFonts w:eastAsiaTheme="minorEastAsia"/>
          <w:i/>
          <w:sz w:val="24"/>
        </w:rPr>
        <w:t>s</w:t>
      </w:r>
      <w:r>
        <w:rPr>
          <w:rFonts w:hint="eastAsia" w:eastAsiaTheme="minorEastAsia"/>
          <w:i/>
          <w:sz w:val="24"/>
        </w:rPr>
        <w:t xml:space="preserve"> in the Shenzhen</w:t>
      </w:r>
      <w:r>
        <w:rPr>
          <w:rFonts w:eastAsiaTheme="minorEastAsia"/>
          <w:sz w:val="24"/>
        </w:rPr>
        <w:t>–</w:t>
      </w:r>
      <w:r>
        <w:rPr>
          <w:rFonts w:hint="eastAsia" w:eastAsiaTheme="minorEastAsia"/>
          <w:i/>
          <w:sz w:val="24"/>
        </w:rPr>
        <w:t>Hong Kong Stock Connect Program</w:t>
      </w:r>
      <w:r>
        <w:rPr>
          <w:rFonts w:hint="eastAsia" w:eastAsiaTheme="minorEastAsia"/>
          <w:sz w:val="24"/>
        </w:rPr>
        <w:t>, allowing insurance companies to make southbound investment</w:t>
      </w:r>
      <w:r>
        <w:rPr>
          <w:rFonts w:eastAsiaTheme="minorEastAsia"/>
          <w:sz w:val="24"/>
        </w:rPr>
        <w:t>s,</w:t>
      </w:r>
      <w:r>
        <w:rPr>
          <w:rFonts w:hint="eastAsia" w:eastAsiaTheme="minorEastAsia"/>
          <w:sz w:val="24"/>
        </w:rPr>
        <w:t xml:space="preserve"> either directly or through securities investment funds</w:t>
      </w:r>
      <w:r>
        <w:rPr>
          <w:rFonts w:eastAsiaTheme="minorEastAsia"/>
          <w:sz w:val="24"/>
        </w:rPr>
        <w:t>,</w:t>
      </w:r>
      <w:r>
        <w:rPr>
          <w:rFonts w:hint="eastAsia" w:eastAsiaTheme="minorEastAsia"/>
          <w:sz w:val="24"/>
        </w:rPr>
        <w:t xml:space="preserve"> under the Shenzhen</w:t>
      </w:r>
      <w:r>
        <w:rPr>
          <w:rFonts w:eastAsiaTheme="minorEastAsia"/>
          <w:sz w:val="24"/>
        </w:rPr>
        <w:t>–</w:t>
      </w:r>
      <w:r>
        <w:rPr>
          <w:rFonts w:hint="eastAsia" w:eastAsiaTheme="minorEastAsia"/>
          <w:sz w:val="24"/>
        </w:rPr>
        <w:t>Hong Kong S</w:t>
      </w:r>
      <w:r>
        <w:rPr>
          <w:rFonts w:eastAsiaTheme="minorEastAsia"/>
          <w:sz w:val="24"/>
        </w:rPr>
        <w:t>t</w:t>
      </w:r>
      <w:r>
        <w:rPr>
          <w:rFonts w:hint="eastAsia" w:eastAsiaTheme="minorEastAsia"/>
          <w:sz w:val="24"/>
        </w:rPr>
        <w:t xml:space="preserve">ock Connect Program. </w:t>
      </w:r>
      <w:r>
        <w:rPr>
          <w:rFonts w:eastAsiaTheme="minorEastAsia"/>
          <w:sz w:val="24"/>
        </w:rPr>
        <w:t>F</w:t>
      </w:r>
      <w:r>
        <w:rPr>
          <w:rFonts w:hint="eastAsia" w:eastAsiaTheme="minorEastAsia"/>
          <w:sz w:val="24"/>
        </w:rPr>
        <w:t xml:space="preserve">ifth, the commercial auto insurance reform was deepened. </w:t>
      </w:r>
      <w:r>
        <w:rPr>
          <w:rFonts w:eastAsiaTheme="minorEastAsia"/>
          <w:sz w:val="24"/>
        </w:rPr>
        <w:t>T</w:t>
      </w:r>
      <w:r>
        <w:rPr>
          <w:rFonts w:hint="eastAsia" w:eastAsiaTheme="minorEastAsia"/>
          <w:sz w:val="24"/>
        </w:rPr>
        <w:t xml:space="preserve">he CIRC reduced the floating coefficient of </w:t>
      </w:r>
      <w:r>
        <w:rPr>
          <w:rFonts w:eastAsiaTheme="minorEastAsia"/>
          <w:sz w:val="24"/>
        </w:rPr>
        <w:t xml:space="preserve">the </w:t>
      </w:r>
      <w:r>
        <w:rPr>
          <w:rFonts w:hint="eastAsia" w:eastAsiaTheme="minorEastAsia"/>
          <w:sz w:val="24"/>
        </w:rPr>
        <w:t>commercial auto insurance premium from 0.85 to a range of 0.70</w:t>
      </w:r>
      <w:r>
        <w:rPr>
          <w:rFonts w:eastAsiaTheme="minorEastAsia"/>
          <w:sz w:val="24"/>
        </w:rPr>
        <w:t>–</w:t>
      </w:r>
      <w:r>
        <w:rPr>
          <w:rFonts w:hint="eastAsia" w:eastAsiaTheme="minorEastAsia"/>
          <w:sz w:val="24"/>
        </w:rPr>
        <w:t>0.75 (</w:t>
      </w:r>
      <w:r>
        <w:rPr>
          <w:rFonts w:eastAsiaTheme="minorEastAsia"/>
          <w:sz w:val="24"/>
        </w:rPr>
        <w:t xml:space="preserve">varying </w:t>
      </w:r>
      <w:r>
        <w:rPr>
          <w:rFonts w:hint="eastAsia" w:eastAsiaTheme="minorEastAsia"/>
          <w:sz w:val="24"/>
        </w:rPr>
        <w:t xml:space="preserve">across provinces), and further expanded the independent pricing power of insurance companies. </w:t>
      </w:r>
      <w:bookmarkStart w:id="114" w:name="_Toc393181335"/>
    </w:p>
    <w:p>
      <w:pPr>
        <w:keepNext/>
        <w:keepLines/>
        <w:spacing w:beforeLines="100" w:afterLines="100"/>
        <w:jc w:val="center"/>
        <w:outlineLvl w:val="0"/>
        <w:rPr>
          <w:rFonts w:eastAsia="仿宋_GB2312"/>
          <w:b/>
          <w:sz w:val="36"/>
          <w:szCs w:val="36"/>
        </w:rPr>
      </w:pPr>
      <w:bookmarkStart w:id="115" w:name="_Toc492904386"/>
      <w:r>
        <w:rPr>
          <w:rFonts w:eastAsia="仿宋_GB2312"/>
          <w:b/>
          <w:sz w:val="36"/>
          <w:szCs w:val="36"/>
        </w:rPr>
        <w:t>Part 4 Macro-economic Overview</w:t>
      </w:r>
      <w:bookmarkEnd w:id="115"/>
      <w:bookmarkStart w:id="116" w:name="_Toc415647267"/>
      <w:bookmarkStart w:id="117" w:name="_Toc472330080"/>
      <w:bookmarkStart w:id="118" w:name="_Toc484425039"/>
      <w:bookmarkStart w:id="119" w:name="_Toc476916151"/>
      <w:bookmarkStart w:id="120" w:name="_Toc464655694"/>
    </w:p>
    <w:p>
      <w:pPr>
        <w:pStyle w:val="3"/>
        <w:numPr>
          <w:ilvl w:val="0"/>
          <w:numId w:val="0"/>
        </w:numPr>
        <w:jc w:val="both"/>
        <w:rPr>
          <w:color w:val="000000"/>
          <w:szCs w:val="24"/>
        </w:rPr>
      </w:pPr>
      <w:bookmarkStart w:id="121" w:name="_Toc492904387"/>
      <w:r>
        <w:rPr>
          <w:color w:val="000000"/>
          <w:szCs w:val="24"/>
        </w:rPr>
        <w:t>I. Global Economic and Financial Developments</w:t>
      </w:r>
      <w:bookmarkEnd w:id="116"/>
      <w:bookmarkEnd w:id="117"/>
      <w:bookmarkEnd w:id="118"/>
      <w:bookmarkEnd w:id="119"/>
      <w:bookmarkEnd w:id="120"/>
      <w:bookmarkEnd w:id="121"/>
    </w:p>
    <w:p>
      <w:pPr>
        <w:pStyle w:val="31"/>
        <w:rPr>
          <w:rFonts w:cstheme="minorBidi"/>
          <w:color w:val="000000"/>
          <w:sz w:val="24"/>
          <w:szCs w:val="24"/>
        </w:rPr>
      </w:pPr>
      <w:r>
        <w:rPr>
          <w:color w:val="000000"/>
          <w:kern w:val="2"/>
          <w:sz w:val="24"/>
          <w:szCs w:val="24"/>
        </w:rPr>
        <w:t xml:space="preserve">During the first half of 2017, the global economy continued to recover. The International Monetary Fund (IMF) and the Organization for Economic Co-operation and Development (OECD) both revised upward their forecasts for global economic growth in 2017 to 3.5 percent. However, growth in the major economies diverged somewhat. The </w:t>
      </w:r>
      <w:r>
        <w:rPr>
          <w:color w:val="000000"/>
          <w:sz w:val="24"/>
          <w:szCs w:val="24"/>
        </w:rPr>
        <w:t>United States witnessed some repeated twists and turns in its economic recovery</w:t>
      </w:r>
      <w:r>
        <w:rPr>
          <w:rFonts w:hint="eastAsia"/>
          <w:color w:val="000000"/>
          <w:sz w:val="24"/>
          <w:szCs w:val="24"/>
        </w:rPr>
        <w:t xml:space="preserve"> </w:t>
      </w:r>
      <w:r>
        <w:rPr>
          <w:color w:val="000000"/>
          <w:sz w:val="24"/>
          <w:szCs w:val="24"/>
        </w:rPr>
        <w:t>whereas growth in the euro area and Japan continued to pick up</w:t>
      </w:r>
      <w:r>
        <w:rPr>
          <w:rFonts w:hint="eastAsia"/>
          <w:color w:val="000000"/>
          <w:sz w:val="24"/>
          <w:szCs w:val="24"/>
        </w:rPr>
        <w:t xml:space="preserve">. </w:t>
      </w:r>
      <w:r>
        <w:rPr>
          <w:color w:val="000000"/>
          <w:sz w:val="24"/>
          <w:szCs w:val="24"/>
        </w:rPr>
        <w:t>The e</w:t>
      </w:r>
      <w:r>
        <w:rPr>
          <w:color w:val="000000"/>
          <w:kern w:val="2"/>
          <w:sz w:val="24"/>
          <w:szCs w:val="24"/>
        </w:rPr>
        <w:t>merging market economies generally grew relatively rapidly, al</w:t>
      </w:r>
      <w:r>
        <w:rPr>
          <w:rFonts w:hint="eastAsia"/>
          <w:color w:val="000000"/>
          <w:kern w:val="2"/>
          <w:sz w:val="24"/>
          <w:szCs w:val="24"/>
        </w:rPr>
        <w:t>though they</w:t>
      </w:r>
      <w:r>
        <w:rPr>
          <w:color w:val="000000"/>
          <w:kern w:val="2"/>
          <w:sz w:val="24"/>
          <w:szCs w:val="24"/>
        </w:rPr>
        <w:t xml:space="preserve"> continued to face economic restructuring and transformation pressures. Inflation remained subdued in the major economies. </w:t>
      </w:r>
    </w:p>
    <w:p>
      <w:pPr>
        <w:pStyle w:val="30"/>
        <w:spacing w:before="156"/>
        <w:ind w:firstLine="0" w:firstLineChars="0"/>
        <w:rPr>
          <w:rFonts w:ascii="宋体" w:cstheme="minorBidi"/>
          <w:color w:val="000000"/>
          <w:sz w:val="24"/>
          <w:szCs w:val="24"/>
        </w:rPr>
      </w:pPr>
      <w:r>
        <w:rPr>
          <w:rFonts w:eastAsia="仿宋_GB2312"/>
          <w:b/>
          <w:bCs/>
          <w:color w:val="000000"/>
          <w:sz w:val="24"/>
          <w:szCs w:val="24"/>
        </w:rPr>
        <w:t>1.</w:t>
      </w:r>
      <w:r>
        <w:rPr>
          <w:rFonts w:hint="eastAsia" w:eastAsia="仿宋_GB2312"/>
          <w:b/>
          <w:bCs/>
          <w:color w:val="000000"/>
          <w:sz w:val="24"/>
          <w:szCs w:val="24"/>
        </w:rPr>
        <w:t xml:space="preserve"> </w:t>
      </w:r>
      <w:r>
        <w:rPr>
          <w:rFonts w:eastAsia="仿宋_GB2312"/>
          <w:b/>
          <w:bCs/>
          <w:color w:val="000000"/>
          <w:sz w:val="24"/>
          <w:szCs w:val="24"/>
        </w:rPr>
        <w:t xml:space="preserve">Developments in the major economies </w:t>
      </w:r>
    </w:p>
    <w:p>
      <w:pPr>
        <w:pStyle w:val="30"/>
        <w:spacing w:before="156"/>
        <w:ind w:firstLine="0" w:firstLineChars="0"/>
        <w:rPr>
          <w:rFonts w:ascii="宋体" w:cs="宋体"/>
          <w:color w:val="000000"/>
          <w:sz w:val="24"/>
          <w:szCs w:val="24"/>
        </w:rPr>
      </w:pPr>
      <w:r>
        <w:rPr>
          <w:color w:val="000000"/>
          <w:sz w:val="24"/>
          <w:szCs w:val="24"/>
        </w:rPr>
        <w:t xml:space="preserve">The US economic recovery saw some twists and turns. The annualized quarter-on-quarter GDP growth was revised three times to 1.2 percent in the first quarter of 2017, down 0.6 percentage point from the end of the last year, pointing to a weak start. Boosted by, among other things, rising personal consumption expenditures (PCE), a recovering manufacturing sector, and increasing federal government spending, the annualized quarter-on-quarter GDP growth jumped to 2.6 percent in the second quarter. The jobless rate remained at low levels, dropping to a ten-year low of 4.3 percent in May before edging up to 4.4 percent in June. However, the rise in non-farm payrolls recently saw some volatility after larger gains earlier this year. The PCE price index and the consumer price index (CPI) declined gradually since March, both to a lower-than-expected level. Given that progress </w:t>
      </w:r>
      <w:r>
        <w:rPr>
          <w:rFonts w:hint="eastAsia"/>
          <w:color w:val="000000"/>
          <w:sz w:val="24"/>
          <w:szCs w:val="24"/>
        </w:rPr>
        <w:t>of</w:t>
      </w:r>
      <w:r>
        <w:rPr>
          <w:color w:val="000000"/>
          <w:sz w:val="24"/>
          <w:szCs w:val="24"/>
        </w:rPr>
        <w:t xml:space="preserve"> the fiscal stimulus did not meet market expectations, the IMF revised downward its forecast for US growth in 2017 by 0.2 percentage point to 2.1 percent</w:t>
      </w:r>
      <w:r>
        <w:rPr>
          <w:rFonts w:ascii="宋体" w:cs="宋体"/>
          <w:color w:val="000000"/>
          <w:sz w:val="24"/>
          <w:szCs w:val="24"/>
        </w:rPr>
        <w:t>.</w:t>
      </w:r>
    </w:p>
    <w:p>
      <w:pPr>
        <w:pStyle w:val="30"/>
        <w:spacing w:before="156"/>
        <w:ind w:firstLine="0" w:firstLineChars="0"/>
        <w:rPr>
          <w:rFonts w:ascii="宋体" w:cstheme="minorBidi"/>
          <w:color w:val="000000"/>
          <w:sz w:val="24"/>
          <w:szCs w:val="24"/>
        </w:rPr>
      </w:pPr>
      <w:r>
        <w:rPr>
          <w:color w:val="000000"/>
          <w:sz w:val="24"/>
          <w:szCs w:val="24"/>
        </w:rPr>
        <w:t xml:space="preserve">In the euro area, political uncertainties receded somewhat and economic fundamentals continued to improve. GDP grew 1.9 percent year on year during the first three months and it recovered further to 2.1 percent in the second quarter. The manufacturing PMI strengthened for ten consecutive months, hitting a six-year high of 57.4 in June. The unemployment rate continued to drop, posting 9.1 percent in June, the lowest level since the outbreak of the European sovereign debt crisis. However, the rise in inflation was not sustainable, as the year-on-year growth of the harmonized index of consumer prices (HICP) declined to 1.3 percent in June, after moving close to the target set by the European Central Bank (ECB) in the first quarter. </w:t>
      </w:r>
    </w:p>
    <w:p>
      <w:pPr>
        <w:pStyle w:val="30"/>
        <w:spacing w:before="156"/>
        <w:ind w:firstLine="0" w:firstLineChars="0"/>
        <w:rPr>
          <w:color w:val="000000"/>
          <w:sz w:val="24"/>
          <w:szCs w:val="24"/>
        </w:rPr>
      </w:pPr>
      <w:r>
        <w:rPr>
          <w:color w:val="000000"/>
          <w:sz w:val="24"/>
          <w:szCs w:val="24"/>
        </w:rPr>
        <w:t xml:space="preserve">In Japan, the economic recovery was maintained, and despite lower-than-expected growth of 1 percent during the first quarter, the annualized quarter-on-quarter GDP growth remained in positive territory for five successive quarters, which represented its best performance in the wake of the global financial crisis. Moreover, inflation was also on the rise, as the CPI grew 0.4 percent year on year in May, registering positive for eight consecutive months.  </w:t>
      </w:r>
      <w:bookmarkStart w:id="122" w:name="OLE_LINK2"/>
    </w:p>
    <w:p>
      <w:pPr>
        <w:pStyle w:val="30"/>
        <w:spacing w:before="156"/>
        <w:ind w:firstLine="0" w:firstLineChars="0"/>
        <w:rPr>
          <w:rFonts w:ascii="仿宋_GB2312" w:cstheme="minorBidi"/>
          <w:color w:val="000000"/>
          <w:sz w:val="24"/>
          <w:szCs w:val="24"/>
        </w:rPr>
      </w:pPr>
      <w:r>
        <w:rPr>
          <w:color w:val="000000"/>
          <w:sz w:val="24"/>
          <w:szCs w:val="24"/>
        </w:rPr>
        <w:t xml:space="preserve">Overall growth in the emerging market economies was relatively fast, though some of the emerging market economies still faced restructuring and transformation pressures. India maintained rapid growth as GDP grew 6.1 percent in the first quarter. Nevertheless, given its unresolved challenges, such as the high non-performing loan ratio and the weak private investments, the effects of the reform still need to be watched. Due to an increase in the prices of oil and other commodities, growth gradually stabilized in Russia and Brazil, and inflation was contained. However, recent political turmoil in Brazil and falling oil prices added to the uncertainties about economic growth in these two countries. Against the backdrop of sluggish aggregate global demand and a possible </w:t>
      </w:r>
      <w:r>
        <w:rPr>
          <w:rFonts w:hint="eastAsia"/>
          <w:color w:val="000000"/>
          <w:sz w:val="24"/>
          <w:szCs w:val="24"/>
        </w:rPr>
        <w:t>change</w:t>
      </w:r>
      <w:r>
        <w:rPr>
          <w:color w:val="000000"/>
          <w:sz w:val="24"/>
          <w:szCs w:val="24"/>
        </w:rPr>
        <w:t xml:space="preserve"> in the monetary policy stance of the advanced economies, some emerging market economies still faced potential risks, such as weak external demand and volatile cross-border capital flows. Economic restructuring and transformation pressures persisted. </w:t>
      </w:r>
      <w:bookmarkEnd w:id="122"/>
      <w:r>
        <w:rPr>
          <w:color w:val="000000"/>
          <w:sz w:val="24"/>
          <w:szCs w:val="24"/>
        </w:rPr>
        <w:t xml:space="preserve">          </w:t>
      </w:r>
    </w:p>
    <w:bookmarkEnd w:id="114"/>
    <w:p>
      <w:pPr>
        <w:pStyle w:val="4"/>
        <w:rPr>
          <w:rFonts w:ascii="Times New Roman" w:hAnsi="Times New Roman" w:cs="Times New Roman"/>
          <w:b/>
          <w:sz w:val="24"/>
          <w:szCs w:val="24"/>
        </w:rPr>
      </w:pPr>
      <w:bookmarkStart w:id="123" w:name="_Toc492909035"/>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13</w:t>
      </w:r>
      <w:r>
        <w:rPr>
          <w:rFonts w:ascii="Times New Roman" w:hAnsi="Times New Roman" w:cs="Times New Roman"/>
          <w:b/>
          <w:sz w:val="24"/>
          <w:szCs w:val="24"/>
        </w:rPr>
        <w:fldChar w:fldCharType="end"/>
      </w:r>
      <w:r>
        <w:rPr>
          <w:rFonts w:ascii="Times New Roman" w:hAnsi="Times New Roman" w:cs="Times New Roman"/>
          <w:b/>
          <w:bCs/>
          <w:color w:val="000000"/>
          <w:sz w:val="24"/>
          <w:szCs w:val="24"/>
        </w:rPr>
        <w:t xml:space="preserve"> Macro-economic and Financial Indicators in the Major Advanced Economies</w:t>
      </w:r>
      <w:bookmarkEnd w:id="123"/>
    </w:p>
    <w:tbl>
      <w:tblPr>
        <w:tblStyle w:val="20"/>
        <w:tblW w:w="10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620"/>
        <w:gridCol w:w="563"/>
        <w:gridCol w:w="514"/>
        <w:gridCol w:w="514"/>
        <w:gridCol w:w="531"/>
        <w:gridCol w:w="567"/>
        <w:gridCol w:w="499"/>
        <w:gridCol w:w="567"/>
        <w:gridCol w:w="567"/>
        <w:gridCol w:w="472"/>
        <w:gridCol w:w="567"/>
        <w:gridCol w:w="567"/>
        <w:gridCol w:w="567"/>
        <w:gridCol w:w="443"/>
        <w:gridCol w:w="73"/>
        <w:gridCol w:w="464"/>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restart"/>
            <w:vAlign w:val="center"/>
          </w:tcPr>
          <w:p>
            <w:pPr>
              <w:spacing w:line="240" w:lineRule="exact"/>
              <w:jc w:val="center"/>
              <w:rPr>
                <w:color w:val="000000"/>
                <w:sz w:val="13"/>
                <w:szCs w:val="13"/>
              </w:rPr>
            </w:pPr>
            <w:r>
              <w:rPr>
                <w:color w:val="000000"/>
                <w:sz w:val="13"/>
                <w:szCs w:val="13"/>
              </w:rPr>
              <w:t>Country</w:t>
            </w:r>
          </w:p>
        </w:tc>
        <w:tc>
          <w:tcPr>
            <w:tcW w:w="1620" w:type="dxa"/>
            <w:vMerge w:val="restart"/>
            <w:vAlign w:val="center"/>
          </w:tcPr>
          <w:p>
            <w:pPr>
              <w:spacing w:line="240" w:lineRule="exact"/>
              <w:jc w:val="center"/>
              <w:rPr>
                <w:color w:val="000000"/>
                <w:sz w:val="13"/>
                <w:szCs w:val="13"/>
              </w:rPr>
            </w:pPr>
            <w:r>
              <w:rPr>
                <w:color w:val="000000"/>
                <w:sz w:val="13"/>
                <w:szCs w:val="13"/>
              </w:rPr>
              <w:t xml:space="preserve">Indicator </w:t>
            </w:r>
          </w:p>
        </w:tc>
        <w:tc>
          <w:tcPr>
            <w:tcW w:w="1591" w:type="dxa"/>
            <w:gridSpan w:val="3"/>
            <w:vAlign w:val="center"/>
          </w:tcPr>
          <w:p>
            <w:pPr>
              <w:jc w:val="center"/>
              <w:rPr>
                <w:color w:val="000000"/>
                <w:sz w:val="13"/>
                <w:szCs w:val="13"/>
              </w:rPr>
            </w:pPr>
            <w:r>
              <w:rPr>
                <w:color w:val="000000"/>
                <w:sz w:val="13"/>
                <w:szCs w:val="13"/>
              </w:rPr>
              <w:t>2016Q2</w:t>
            </w:r>
          </w:p>
        </w:tc>
        <w:tc>
          <w:tcPr>
            <w:tcW w:w="1597" w:type="dxa"/>
            <w:gridSpan w:val="3"/>
            <w:vAlign w:val="center"/>
          </w:tcPr>
          <w:p>
            <w:pPr>
              <w:jc w:val="center"/>
              <w:rPr>
                <w:color w:val="000000"/>
                <w:sz w:val="13"/>
                <w:szCs w:val="13"/>
              </w:rPr>
            </w:pPr>
            <w:r>
              <w:rPr>
                <w:color w:val="000000"/>
                <w:sz w:val="13"/>
                <w:szCs w:val="13"/>
              </w:rPr>
              <w:t>2016Q3</w:t>
            </w:r>
          </w:p>
        </w:tc>
        <w:tc>
          <w:tcPr>
            <w:tcW w:w="1606" w:type="dxa"/>
            <w:gridSpan w:val="3"/>
            <w:vAlign w:val="center"/>
          </w:tcPr>
          <w:p>
            <w:pPr>
              <w:jc w:val="center"/>
              <w:rPr>
                <w:color w:val="000000"/>
                <w:sz w:val="13"/>
                <w:szCs w:val="13"/>
              </w:rPr>
            </w:pPr>
            <w:r>
              <w:rPr>
                <w:color w:val="000000"/>
                <w:sz w:val="13"/>
                <w:szCs w:val="13"/>
              </w:rPr>
              <w:t>2016Q4</w:t>
            </w:r>
          </w:p>
        </w:tc>
        <w:tc>
          <w:tcPr>
            <w:tcW w:w="1701" w:type="dxa"/>
            <w:gridSpan w:val="3"/>
            <w:vAlign w:val="center"/>
          </w:tcPr>
          <w:p>
            <w:pPr>
              <w:jc w:val="center"/>
              <w:rPr>
                <w:color w:val="000000"/>
                <w:sz w:val="13"/>
                <w:szCs w:val="13"/>
              </w:rPr>
            </w:pPr>
            <w:r>
              <w:rPr>
                <w:color w:val="000000"/>
                <w:sz w:val="13"/>
                <w:szCs w:val="13"/>
              </w:rPr>
              <w:t>2017Q1</w:t>
            </w:r>
          </w:p>
        </w:tc>
        <w:tc>
          <w:tcPr>
            <w:tcW w:w="1474" w:type="dxa"/>
            <w:gridSpan w:val="4"/>
            <w:vAlign w:val="center"/>
          </w:tcPr>
          <w:p>
            <w:pPr>
              <w:jc w:val="center"/>
              <w:rPr>
                <w:color w:val="000000"/>
                <w:sz w:val="13"/>
                <w:szCs w:val="13"/>
              </w:rPr>
            </w:pPr>
            <w:r>
              <w:rPr>
                <w:color w:val="000000"/>
                <w:sz w:val="13"/>
                <w:szCs w:val="13"/>
              </w:rPr>
              <w:t>2017Q2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continue"/>
            <w:vAlign w:val="center"/>
          </w:tcPr>
          <w:p>
            <w:pPr>
              <w:spacing w:line="240" w:lineRule="exact"/>
              <w:rPr>
                <w:rFonts w:cstheme="minorBidi"/>
                <w:color w:val="000000"/>
                <w:sz w:val="13"/>
                <w:szCs w:val="13"/>
              </w:rPr>
            </w:pPr>
            <w:bookmarkStart w:id="124" w:name="OLE_LINK5" w:colFirst="11" w:colLast="13"/>
            <w:bookmarkStart w:id="125" w:name="OLE_LINK6" w:colFirst="14" w:colLast="16"/>
            <w:bookmarkStart w:id="126" w:name="OLE_LINK7" w:colFirst="2" w:colLast="4"/>
            <w:bookmarkStart w:id="127" w:name="OLE_LINK3" w:colFirst="5" w:colLast="7"/>
          </w:p>
        </w:tc>
        <w:tc>
          <w:tcPr>
            <w:tcW w:w="1620" w:type="dxa"/>
            <w:vMerge w:val="continue"/>
            <w:vAlign w:val="center"/>
          </w:tcPr>
          <w:p>
            <w:pPr>
              <w:spacing w:line="240" w:lineRule="exact"/>
              <w:rPr>
                <w:rFonts w:cstheme="minorBidi"/>
                <w:color w:val="000000"/>
                <w:sz w:val="13"/>
                <w:szCs w:val="13"/>
              </w:rPr>
            </w:pPr>
          </w:p>
        </w:tc>
        <w:tc>
          <w:tcPr>
            <w:tcW w:w="563" w:type="dxa"/>
            <w:vAlign w:val="center"/>
          </w:tcPr>
          <w:p>
            <w:pPr>
              <w:jc w:val="center"/>
              <w:rPr>
                <w:color w:val="000000"/>
                <w:sz w:val="13"/>
                <w:szCs w:val="13"/>
              </w:rPr>
            </w:pPr>
            <w:r>
              <w:rPr>
                <w:color w:val="000000"/>
                <w:sz w:val="13"/>
                <w:szCs w:val="13"/>
              </w:rPr>
              <w:t>Apr.</w:t>
            </w:r>
          </w:p>
        </w:tc>
        <w:tc>
          <w:tcPr>
            <w:tcW w:w="514" w:type="dxa"/>
            <w:vAlign w:val="center"/>
          </w:tcPr>
          <w:p>
            <w:pPr>
              <w:jc w:val="center"/>
              <w:rPr>
                <w:color w:val="000000"/>
                <w:sz w:val="13"/>
                <w:szCs w:val="13"/>
              </w:rPr>
            </w:pPr>
            <w:r>
              <w:rPr>
                <w:color w:val="000000"/>
                <w:sz w:val="13"/>
                <w:szCs w:val="13"/>
              </w:rPr>
              <w:t>May</w:t>
            </w:r>
          </w:p>
        </w:tc>
        <w:tc>
          <w:tcPr>
            <w:tcW w:w="514" w:type="dxa"/>
            <w:vAlign w:val="center"/>
          </w:tcPr>
          <w:p>
            <w:pPr>
              <w:ind w:firstLine="130" w:firstLineChars="100"/>
              <w:rPr>
                <w:color w:val="000000"/>
                <w:sz w:val="13"/>
                <w:szCs w:val="13"/>
              </w:rPr>
            </w:pPr>
            <w:r>
              <w:rPr>
                <w:color w:val="000000"/>
                <w:sz w:val="13"/>
                <w:szCs w:val="13"/>
              </w:rPr>
              <w:t>Jun.</w:t>
            </w:r>
          </w:p>
        </w:tc>
        <w:tc>
          <w:tcPr>
            <w:tcW w:w="531" w:type="dxa"/>
            <w:vAlign w:val="center"/>
          </w:tcPr>
          <w:p>
            <w:pPr>
              <w:jc w:val="center"/>
              <w:rPr>
                <w:color w:val="000000"/>
                <w:sz w:val="13"/>
                <w:szCs w:val="13"/>
              </w:rPr>
            </w:pPr>
            <w:r>
              <w:rPr>
                <w:color w:val="000000"/>
                <w:sz w:val="13"/>
                <w:szCs w:val="13"/>
              </w:rPr>
              <w:t>Jul.</w:t>
            </w:r>
          </w:p>
        </w:tc>
        <w:tc>
          <w:tcPr>
            <w:tcW w:w="567" w:type="dxa"/>
            <w:vAlign w:val="center"/>
          </w:tcPr>
          <w:p>
            <w:pPr>
              <w:jc w:val="center"/>
              <w:rPr>
                <w:color w:val="000000"/>
                <w:sz w:val="13"/>
                <w:szCs w:val="13"/>
              </w:rPr>
            </w:pPr>
            <w:r>
              <w:rPr>
                <w:color w:val="000000"/>
                <w:sz w:val="13"/>
                <w:szCs w:val="13"/>
              </w:rPr>
              <w:t>Aug.</w:t>
            </w:r>
          </w:p>
        </w:tc>
        <w:tc>
          <w:tcPr>
            <w:tcW w:w="499" w:type="dxa"/>
            <w:vAlign w:val="center"/>
          </w:tcPr>
          <w:p>
            <w:pPr>
              <w:rPr>
                <w:color w:val="000000"/>
                <w:sz w:val="13"/>
                <w:szCs w:val="13"/>
              </w:rPr>
            </w:pPr>
            <w:r>
              <w:rPr>
                <w:color w:val="000000"/>
                <w:sz w:val="13"/>
                <w:szCs w:val="13"/>
              </w:rPr>
              <w:t xml:space="preserve">  Sep.</w:t>
            </w:r>
          </w:p>
        </w:tc>
        <w:tc>
          <w:tcPr>
            <w:tcW w:w="567" w:type="dxa"/>
            <w:vAlign w:val="center"/>
          </w:tcPr>
          <w:p>
            <w:pPr>
              <w:jc w:val="center"/>
              <w:rPr>
                <w:color w:val="000000"/>
                <w:sz w:val="13"/>
                <w:szCs w:val="13"/>
              </w:rPr>
            </w:pPr>
            <w:r>
              <w:rPr>
                <w:color w:val="000000"/>
                <w:sz w:val="13"/>
                <w:szCs w:val="13"/>
              </w:rPr>
              <w:t>Oct.</w:t>
            </w:r>
          </w:p>
        </w:tc>
        <w:tc>
          <w:tcPr>
            <w:tcW w:w="567" w:type="dxa"/>
            <w:vAlign w:val="center"/>
          </w:tcPr>
          <w:p>
            <w:pPr>
              <w:jc w:val="center"/>
              <w:rPr>
                <w:color w:val="000000"/>
                <w:sz w:val="13"/>
                <w:szCs w:val="13"/>
              </w:rPr>
            </w:pPr>
            <w:r>
              <w:rPr>
                <w:color w:val="000000"/>
                <w:sz w:val="13"/>
                <w:szCs w:val="13"/>
              </w:rPr>
              <w:t>Nov.</w:t>
            </w:r>
          </w:p>
        </w:tc>
        <w:tc>
          <w:tcPr>
            <w:tcW w:w="472" w:type="dxa"/>
            <w:vAlign w:val="center"/>
          </w:tcPr>
          <w:p>
            <w:pPr>
              <w:ind w:firstLine="130" w:firstLineChars="100"/>
              <w:rPr>
                <w:color w:val="000000"/>
                <w:sz w:val="13"/>
                <w:szCs w:val="13"/>
              </w:rPr>
            </w:pPr>
            <w:r>
              <w:rPr>
                <w:color w:val="000000"/>
                <w:sz w:val="13"/>
                <w:szCs w:val="13"/>
              </w:rPr>
              <w:t>Dec.</w:t>
            </w:r>
          </w:p>
        </w:tc>
        <w:tc>
          <w:tcPr>
            <w:tcW w:w="567" w:type="dxa"/>
            <w:vAlign w:val="center"/>
          </w:tcPr>
          <w:p>
            <w:pPr>
              <w:jc w:val="center"/>
              <w:rPr>
                <w:color w:val="000000"/>
                <w:sz w:val="13"/>
                <w:szCs w:val="13"/>
              </w:rPr>
            </w:pPr>
            <w:r>
              <w:rPr>
                <w:color w:val="000000"/>
                <w:sz w:val="13"/>
                <w:szCs w:val="13"/>
              </w:rPr>
              <w:t>Jan.</w:t>
            </w:r>
          </w:p>
        </w:tc>
        <w:tc>
          <w:tcPr>
            <w:tcW w:w="567" w:type="dxa"/>
            <w:vAlign w:val="center"/>
          </w:tcPr>
          <w:p>
            <w:pPr>
              <w:jc w:val="center"/>
              <w:rPr>
                <w:color w:val="000000"/>
                <w:sz w:val="13"/>
                <w:szCs w:val="13"/>
              </w:rPr>
            </w:pPr>
            <w:r>
              <w:rPr>
                <w:color w:val="000000"/>
                <w:sz w:val="13"/>
                <w:szCs w:val="13"/>
              </w:rPr>
              <w:t>Feb.</w:t>
            </w:r>
          </w:p>
        </w:tc>
        <w:tc>
          <w:tcPr>
            <w:tcW w:w="567" w:type="dxa"/>
            <w:vAlign w:val="center"/>
          </w:tcPr>
          <w:p>
            <w:pPr>
              <w:jc w:val="center"/>
              <w:rPr>
                <w:color w:val="000000"/>
                <w:sz w:val="13"/>
                <w:szCs w:val="13"/>
              </w:rPr>
            </w:pPr>
            <w:r>
              <w:rPr>
                <w:color w:val="000000"/>
                <w:sz w:val="13"/>
                <w:szCs w:val="13"/>
              </w:rPr>
              <w:t>Mar.</w:t>
            </w:r>
          </w:p>
        </w:tc>
        <w:tc>
          <w:tcPr>
            <w:tcW w:w="443" w:type="dxa"/>
            <w:vAlign w:val="center"/>
          </w:tcPr>
          <w:p>
            <w:pPr>
              <w:jc w:val="center"/>
              <w:rPr>
                <w:color w:val="000000"/>
                <w:sz w:val="13"/>
                <w:szCs w:val="13"/>
              </w:rPr>
            </w:pPr>
            <w:r>
              <w:rPr>
                <w:color w:val="000000"/>
                <w:sz w:val="13"/>
                <w:szCs w:val="13"/>
              </w:rPr>
              <w:t>Apr.</w:t>
            </w:r>
          </w:p>
        </w:tc>
        <w:tc>
          <w:tcPr>
            <w:tcW w:w="537" w:type="dxa"/>
            <w:gridSpan w:val="2"/>
            <w:vAlign w:val="center"/>
          </w:tcPr>
          <w:p>
            <w:pPr>
              <w:jc w:val="center"/>
              <w:rPr>
                <w:color w:val="000000"/>
                <w:sz w:val="13"/>
                <w:szCs w:val="13"/>
              </w:rPr>
            </w:pPr>
            <w:r>
              <w:rPr>
                <w:color w:val="000000"/>
                <w:sz w:val="13"/>
                <w:szCs w:val="13"/>
              </w:rPr>
              <w:t>May</w:t>
            </w:r>
          </w:p>
        </w:tc>
        <w:tc>
          <w:tcPr>
            <w:tcW w:w="494" w:type="dxa"/>
            <w:vAlign w:val="center"/>
          </w:tcPr>
          <w:p>
            <w:pPr>
              <w:ind w:firstLine="130" w:firstLineChars="100"/>
              <w:rPr>
                <w:color w:val="000000"/>
                <w:sz w:val="13"/>
                <w:szCs w:val="13"/>
              </w:rPr>
            </w:pPr>
            <w:r>
              <w:rPr>
                <w:color w:val="000000"/>
                <w:sz w:val="13"/>
                <w:szCs w:val="13"/>
              </w:rPr>
              <w:t>Jun.</w:t>
            </w:r>
          </w:p>
        </w:tc>
      </w:tr>
      <w:bookmarkEnd w:id="124"/>
      <w:bookmarkEnd w:id="125"/>
      <w:bookmarkEnd w:id="126"/>
      <w:bookmarkEnd w:id="1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restart"/>
            <w:textDirection w:val="tbRlV"/>
            <w:vAlign w:val="center"/>
          </w:tcPr>
          <w:p>
            <w:pPr>
              <w:spacing w:line="240" w:lineRule="exact"/>
              <w:jc w:val="center"/>
              <w:rPr>
                <w:color w:val="000000"/>
                <w:sz w:val="13"/>
                <w:szCs w:val="13"/>
              </w:rPr>
            </w:pPr>
            <w:r>
              <w:rPr>
                <w:color w:val="000000"/>
                <w:sz w:val="13"/>
                <w:szCs w:val="13"/>
              </w:rPr>
              <w:t>United States</w:t>
            </w:r>
          </w:p>
        </w:tc>
        <w:tc>
          <w:tcPr>
            <w:tcW w:w="1620" w:type="dxa"/>
            <w:shd w:val="clear" w:color="auto" w:fill="CCFFCC"/>
            <w:vAlign w:val="bottom"/>
          </w:tcPr>
          <w:p>
            <w:pPr>
              <w:spacing w:line="240" w:lineRule="exact"/>
              <w:rPr>
                <w:color w:val="000000"/>
                <w:sz w:val="13"/>
                <w:szCs w:val="13"/>
              </w:rPr>
            </w:pPr>
            <w:r>
              <w:rPr>
                <w:color w:val="000000"/>
                <w:sz w:val="13"/>
                <w:szCs w:val="13"/>
              </w:rPr>
              <w:t>Real GDP Growth (annualized quarterly rate, %)</w:t>
            </w:r>
          </w:p>
        </w:tc>
        <w:tc>
          <w:tcPr>
            <w:tcW w:w="1591" w:type="dxa"/>
            <w:gridSpan w:val="3"/>
            <w:shd w:val="clear" w:color="auto" w:fill="CCFFCC"/>
            <w:vAlign w:val="center"/>
          </w:tcPr>
          <w:p>
            <w:pPr>
              <w:jc w:val="center"/>
              <w:rPr>
                <w:color w:val="000000"/>
                <w:sz w:val="13"/>
                <w:szCs w:val="13"/>
              </w:rPr>
            </w:pPr>
            <w:r>
              <w:rPr>
                <w:color w:val="000000"/>
                <w:sz w:val="13"/>
                <w:szCs w:val="13"/>
              </w:rPr>
              <w:t>2.2</w:t>
            </w:r>
          </w:p>
        </w:tc>
        <w:tc>
          <w:tcPr>
            <w:tcW w:w="1597" w:type="dxa"/>
            <w:gridSpan w:val="3"/>
            <w:shd w:val="clear" w:color="auto" w:fill="CCFFCC"/>
            <w:vAlign w:val="center"/>
          </w:tcPr>
          <w:p>
            <w:pPr>
              <w:jc w:val="center"/>
              <w:rPr>
                <w:color w:val="000000"/>
                <w:sz w:val="13"/>
                <w:szCs w:val="13"/>
              </w:rPr>
            </w:pPr>
            <w:r>
              <w:rPr>
                <w:color w:val="000000"/>
                <w:sz w:val="13"/>
                <w:szCs w:val="13"/>
              </w:rPr>
              <w:t>2.8</w:t>
            </w:r>
          </w:p>
        </w:tc>
        <w:tc>
          <w:tcPr>
            <w:tcW w:w="1606" w:type="dxa"/>
            <w:gridSpan w:val="3"/>
            <w:shd w:val="clear" w:color="auto" w:fill="CCFFCC"/>
            <w:vAlign w:val="center"/>
          </w:tcPr>
          <w:p>
            <w:pPr>
              <w:jc w:val="center"/>
              <w:rPr>
                <w:color w:val="000000"/>
                <w:sz w:val="13"/>
                <w:szCs w:val="13"/>
              </w:rPr>
            </w:pPr>
            <w:r>
              <w:rPr>
                <w:color w:val="000000"/>
                <w:sz w:val="13"/>
                <w:szCs w:val="13"/>
              </w:rPr>
              <w:t>1.8</w:t>
            </w:r>
          </w:p>
        </w:tc>
        <w:tc>
          <w:tcPr>
            <w:tcW w:w="1701" w:type="dxa"/>
            <w:gridSpan w:val="3"/>
            <w:shd w:val="clear" w:color="auto" w:fill="CCFFCC"/>
            <w:vAlign w:val="center"/>
          </w:tcPr>
          <w:p>
            <w:pPr>
              <w:jc w:val="center"/>
              <w:rPr>
                <w:color w:val="000000"/>
                <w:sz w:val="13"/>
                <w:szCs w:val="13"/>
              </w:rPr>
            </w:pPr>
            <w:r>
              <w:rPr>
                <w:color w:val="000000"/>
                <w:sz w:val="13"/>
                <w:szCs w:val="13"/>
              </w:rPr>
              <w:t>1.2</w:t>
            </w:r>
          </w:p>
        </w:tc>
        <w:tc>
          <w:tcPr>
            <w:tcW w:w="1474" w:type="dxa"/>
            <w:gridSpan w:val="4"/>
            <w:shd w:val="clear" w:color="auto" w:fill="CCFFCC"/>
            <w:vAlign w:val="center"/>
          </w:tcPr>
          <w:p>
            <w:pPr>
              <w:jc w:val="center"/>
              <w:rPr>
                <w:color w:val="000000"/>
                <w:sz w:val="13"/>
                <w:szCs w:val="13"/>
              </w:rPr>
            </w:pPr>
            <w:r>
              <w:rPr>
                <w:color w:val="000000"/>
                <w:sz w:val="13"/>
                <w:szCs w:val="13"/>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2" w:hRule="atLeast"/>
          <w:jc w:val="center"/>
        </w:trPr>
        <w:tc>
          <w:tcPr>
            <w:tcW w:w="564" w:type="dxa"/>
            <w:vMerge w:val="continue"/>
            <w:vAlign w:val="center"/>
          </w:tcPr>
          <w:p>
            <w:pPr>
              <w:spacing w:line="240" w:lineRule="exact"/>
              <w:rPr>
                <w:rFonts w:cstheme="minorBidi"/>
                <w:color w:val="000000"/>
                <w:sz w:val="13"/>
                <w:szCs w:val="13"/>
              </w:rPr>
            </w:pPr>
            <w:bookmarkStart w:id="128" w:name="OLE_LINK9" w:colFirst="8" w:colLast="10"/>
            <w:bookmarkStart w:id="129" w:name="OLE_LINK10" w:colFirst="11" w:colLast="13"/>
            <w:bookmarkStart w:id="130" w:name="OLE_LINK11" w:colFirst="14" w:colLast="16"/>
          </w:p>
        </w:tc>
        <w:tc>
          <w:tcPr>
            <w:tcW w:w="1620" w:type="dxa"/>
            <w:vAlign w:val="bottom"/>
          </w:tcPr>
          <w:p>
            <w:pPr>
              <w:spacing w:line="240" w:lineRule="exact"/>
              <w:rPr>
                <w:color w:val="000000"/>
                <w:sz w:val="13"/>
                <w:szCs w:val="13"/>
              </w:rPr>
            </w:pPr>
            <w:r>
              <w:rPr>
                <w:color w:val="000000"/>
                <w:sz w:val="13"/>
                <w:szCs w:val="13"/>
              </w:rPr>
              <w:t>Unemployment Rate (%)</w:t>
            </w:r>
          </w:p>
        </w:tc>
        <w:tc>
          <w:tcPr>
            <w:tcW w:w="563" w:type="dxa"/>
            <w:vAlign w:val="center"/>
          </w:tcPr>
          <w:p>
            <w:pPr>
              <w:widowControl/>
              <w:jc w:val="center"/>
              <w:rPr>
                <w:color w:val="000000"/>
                <w:kern w:val="0"/>
                <w:sz w:val="13"/>
                <w:szCs w:val="13"/>
              </w:rPr>
            </w:pPr>
            <w:r>
              <w:rPr>
                <w:color w:val="000000"/>
                <w:kern w:val="0"/>
                <w:sz w:val="13"/>
                <w:szCs w:val="13"/>
              </w:rPr>
              <w:t>5</w:t>
            </w:r>
          </w:p>
        </w:tc>
        <w:tc>
          <w:tcPr>
            <w:tcW w:w="514" w:type="dxa"/>
            <w:vAlign w:val="center"/>
          </w:tcPr>
          <w:p>
            <w:pPr>
              <w:widowControl/>
              <w:jc w:val="center"/>
              <w:rPr>
                <w:color w:val="000000"/>
                <w:kern w:val="0"/>
                <w:sz w:val="13"/>
                <w:szCs w:val="13"/>
              </w:rPr>
            </w:pPr>
            <w:r>
              <w:rPr>
                <w:color w:val="000000"/>
                <w:kern w:val="0"/>
                <w:sz w:val="13"/>
                <w:szCs w:val="13"/>
              </w:rPr>
              <w:t>4.7</w:t>
            </w:r>
          </w:p>
        </w:tc>
        <w:tc>
          <w:tcPr>
            <w:tcW w:w="514" w:type="dxa"/>
            <w:vAlign w:val="center"/>
          </w:tcPr>
          <w:p>
            <w:pPr>
              <w:widowControl/>
              <w:jc w:val="center"/>
              <w:rPr>
                <w:color w:val="000000"/>
                <w:kern w:val="0"/>
                <w:sz w:val="13"/>
                <w:szCs w:val="13"/>
              </w:rPr>
            </w:pPr>
            <w:r>
              <w:rPr>
                <w:color w:val="000000"/>
                <w:kern w:val="0"/>
                <w:sz w:val="13"/>
                <w:szCs w:val="13"/>
              </w:rPr>
              <w:t>4.9</w:t>
            </w:r>
          </w:p>
        </w:tc>
        <w:tc>
          <w:tcPr>
            <w:tcW w:w="531" w:type="dxa"/>
            <w:vAlign w:val="center"/>
          </w:tcPr>
          <w:p>
            <w:pPr>
              <w:widowControl/>
              <w:jc w:val="center"/>
              <w:rPr>
                <w:color w:val="000000"/>
                <w:kern w:val="0"/>
                <w:sz w:val="13"/>
                <w:szCs w:val="13"/>
              </w:rPr>
            </w:pPr>
            <w:r>
              <w:rPr>
                <w:color w:val="000000"/>
                <w:kern w:val="0"/>
                <w:sz w:val="13"/>
                <w:szCs w:val="13"/>
              </w:rPr>
              <w:t>4.9</w:t>
            </w:r>
          </w:p>
        </w:tc>
        <w:tc>
          <w:tcPr>
            <w:tcW w:w="567" w:type="dxa"/>
            <w:vAlign w:val="center"/>
          </w:tcPr>
          <w:p>
            <w:pPr>
              <w:widowControl/>
              <w:jc w:val="center"/>
              <w:rPr>
                <w:color w:val="000000"/>
                <w:kern w:val="0"/>
                <w:sz w:val="13"/>
                <w:szCs w:val="13"/>
              </w:rPr>
            </w:pPr>
            <w:r>
              <w:rPr>
                <w:color w:val="000000"/>
                <w:kern w:val="0"/>
                <w:sz w:val="13"/>
                <w:szCs w:val="13"/>
              </w:rPr>
              <w:t>4.9</w:t>
            </w:r>
          </w:p>
        </w:tc>
        <w:tc>
          <w:tcPr>
            <w:tcW w:w="499" w:type="dxa"/>
            <w:vAlign w:val="center"/>
          </w:tcPr>
          <w:p>
            <w:pPr>
              <w:widowControl/>
              <w:jc w:val="center"/>
              <w:rPr>
                <w:color w:val="000000"/>
                <w:kern w:val="0"/>
                <w:sz w:val="13"/>
                <w:szCs w:val="13"/>
              </w:rPr>
            </w:pPr>
            <w:r>
              <w:rPr>
                <w:color w:val="000000"/>
                <w:kern w:val="0"/>
                <w:sz w:val="13"/>
                <w:szCs w:val="13"/>
              </w:rPr>
              <w:t>4.9</w:t>
            </w:r>
          </w:p>
        </w:tc>
        <w:tc>
          <w:tcPr>
            <w:tcW w:w="567" w:type="dxa"/>
            <w:vAlign w:val="center"/>
          </w:tcPr>
          <w:p>
            <w:pPr>
              <w:widowControl/>
              <w:jc w:val="center"/>
              <w:rPr>
                <w:color w:val="000000"/>
                <w:kern w:val="0"/>
                <w:sz w:val="13"/>
                <w:szCs w:val="13"/>
              </w:rPr>
            </w:pPr>
            <w:r>
              <w:rPr>
                <w:color w:val="000000"/>
                <w:kern w:val="0"/>
                <w:sz w:val="13"/>
                <w:szCs w:val="13"/>
              </w:rPr>
              <w:t>4.8</w:t>
            </w:r>
          </w:p>
        </w:tc>
        <w:tc>
          <w:tcPr>
            <w:tcW w:w="567" w:type="dxa"/>
            <w:vAlign w:val="center"/>
          </w:tcPr>
          <w:p>
            <w:pPr>
              <w:widowControl/>
              <w:jc w:val="center"/>
              <w:rPr>
                <w:color w:val="000000"/>
                <w:kern w:val="0"/>
                <w:sz w:val="13"/>
                <w:szCs w:val="13"/>
              </w:rPr>
            </w:pPr>
            <w:r>
              <w:rPr>
                <w:color w:val="000000"/>
                <w:kern w:val="0"/>
                <w:sz w:val="13"/>
                <w:szCs w:val="13"/>
              </w:rPr>
              <w:t>4.6</w:t>
            </w:r>
          </w:p>
        </w:tc>
        <w:tc>
          <w:tcPr>
            <w:tcW w:w="472" w:type="dxa"/>
            <w:vAlign w:val="center"/>
          </w:tcPr>
          <w:p>
            <w:pPr>
              <w:widowControl/>
              <w:jc w:val="center"/>
              <w:rPr>
                <w:color w:val="000000"/>
                <w:kern w:val="0"/>
                <w:sz w:val="13"/>
                <w:szCs w:val="13"/>
              </w:rPr>
            </w:pPr>
            <w:r>
              <w:rPr>
                <w:color w:val="000000"/>
                <w:kern w:val="0"/>
                <w:sz w:val="13"/>
                <w:szCs w:val="13"/>
              </w:rPr>
              <w:t>4.7</w:t>
            </w:r>
          </w:p>
        </w:tc>
        <w:tc>
          <w:tcPr>
            <w:tcW w:w="567" w:type="dxa"/>
            <w:vAlign w:val="center"/>
          </w:tcPr>
          <w:p>
            <w:pPr>
              <w:widowControl/>
              <w:jc w:val="center"/>
              <w:rPr>
                <w:color w:val="000000"/>
                <w:kern w:val="0"/>
                <w:sz w:val="13"/>
                <w:szCs w:val="13"/>
              </w:rPr>
            </w:pPr>
            <w:r>
              <w:rPr>
                <w:color w:val="000000"/>
                <w:kern w:val="0"/>
                <w:sz w:val="13"/>
                <w:szCs w:val="13"/>
              </w:rPr>
              <w:t>4.8</w:t>
            </w:r>
          </w:p>
        </w:tc>
        <w:tc>
          <w:tcPr>
            <w:tcW w:w="567" w:type="dxa"/>
            <w:vAlign w:val="center"/>
          </w:tcPr>
          <w:p>
            <w:pPr>
              <w:widowControl/>
              <w:jc w:val="center"/>
              <w:rPr>
                <w:color w:val="000000"/>
                <w:kern w:val="0"/>
                <w:sz w:val="13"/>
                <w:szCs w:val="13"/>
              </w:rPr>
            </w:pPr>
            <w:r>
              <w:rPr>
                <w:color w:val="000000"/>
                <w:kern w:val="0"/>
                <w:sz w:val="13"/>
                <w:szCs w:val="13"/>
              </w:rPr>
              <w:t>4.7</w:t>
            </w:r>
          </w:p>
        </w:tc>
        <w:tc>
          <w:tcPr>
            <w:tcW w:w="567" w:type="dxa"/>
            <w:vAlign w:val="center"/>
          </w:tcPr>
          <w:p>
            <w:pPr>
              <w:widowControl/>
              <w:jc w:val="center"/>
              <w:rPr>
                <w:color w:val="000000"/>
                <w:kern w:val="0"/>
                <w:sz w:val="13"/>
                <w:szCs w:val="13"/>
              </w:rPr>
            </w:pPr>
            <w:r>
              <w:rPr>
                <w:color w:val="000000"/>
                <w:kern w:val="0"/>
                <w:sz w:val="13"/>
                <w:szCs w:val="13"/>
              </w:rPr>
              <w:t>4.5</w:t>
            </w:r>
          </w:p>
        </w:tc>
        <w:tc>
          <w:tcPr>
            <w:tcW w:w="516" w:type="dxa"/>
            <w:gridSpan w:val="2"/>
            <w:vAlign w:val="center"/>
          </w:tcPr>
          <w:p>
            <w:pPr>
              <w:widowControl/>
              <w:jc w:val="center"/>
              <w:rPr>
                <w:color w:val="000000"/>
                <w:kern w:val="0"/>
                <w:sz w:val="13"/>
                <w:szCs w:val="13"/>
              </w:rPr>
            </w:pPr>
            <w:r>
              <w:rPr>
                <w:color w:val="000000"/>
                <w:kern w:val="0"/>
                <w:sz w:val="13"/>
                <w:szCs w:val="13"/>
              </w:rPr>
              <w:t>4.4</w:t>
            </w:r>
          </w:p>
        </w:tc>
        <w:tc>
          <w:tcPr>
            <w:tcW w:w="464" w:type="dxa"/>
            <w:vAlign w:val="center"/>
          </w:tcPr>
          <w:p>
            <w:pPr>
              <w:widowControl/>
              <w:jc w:val="center"/>
              <w:rPr>
                <w:color w:val="000000"/>
                <w:kern w:val="0"/>
                <w:sz w:val="13"/>
                <w:szCs w:val="13"/>
              </w:rPr>
            </w:pPr>
            <w:r>
              <w:rPr>
                <w:color w:val="000000"/>
                <w:kern w:val="0"/>
                <w:sz w:val="13"/>
                <w:szCs w:val="13"/>
              </w:rPr>
              <w:t>4.3</w:t>
            </w:r>
          </w:p>
        </w:tc>
        <w:tc>
          <w:tcPr>
            <w:tcW w:w="494" w:type="dxa"/>
            <w:vAlign w:val="center"/>
          </w:tcPr>
          <w:p>
            <w:pPr>
              <w:widowControl/>
              <w:jc w:val="center"/>
              <w:rPr>
                <w:color w:val="000000"/>
                <w:kern w:val="0"/>
                <w:sz w:val="13"/>
                <w:szCs w:val="13"/>
              </w:rPr>
            </w:pPr>
            <w:r>
              <w:rPr>
                <w:color w:val="000000"/>
                <w:kern w:val="0"/>
                <w:sz w:val="13"/>
                <w:szCs w:val="13"/>
              </w:rPr>
              <w:t>4.4</w:t>
            </w:r>
          </w:p>
        </w:tc>
      </w:tr>
      <w:bookmarkEnd w:id="128"/>
      <w:bookmarkEnd w:id="129"/>
      <w:bookmarkEnd w:id="1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6" w:hRule="atLeast"/>
          <w:jc w:val="center"/>
        </w:trPr>
        <w:tc>
          <w:tcPr>
            <w:tcW w:w="564" w:type="dxa"/>
            <w:vMerge w:val="continue"/>
            <w:vAlign w:val="center"/>
          </w:tcPr>
          <w:p>
            <w:pPr>
              <w:spacing w:line="240" w:lineRule="exact"/>
              <w:rPr>
                <w:rFonts w:cstheme="minorBidi"/>
                <w:color w:val="000000"/>
                <w:sz w:val="13"/>
                <w:szCs w:val="13"/>
              </w:rPr>
            </w:pPr>
          </w:p>
        </w:tc>
        <w:tc>
          <w:tcPr>
            <w:tcW w:w="1620" w:type="dxa"/>
            <w:shd w:val="clear" w:color="auto" w:fill="CCFFCC"/>
            <w:vAlign w:val="bottom"/>
          </w:tcPr>
          <w:p>
            <w:pPr>
              <w:spacing w:line="240" w:lineRule="exact"/>
              <w:rPr>
                <w:color w:val="000000"/>
                <w:sz w:val="13"/>
                <w:szCs w:val="13"/>
              </w:rPr>
            </w:pPr>
            <w:r>
              <w:rPr>
                <w:color w:val="000000"/>
                <w:sz w:val="13"/>
                <w:szCs w:val="13"/>
              </w:rPr>
              <w:t>CPI (YOY, %)</w:t>
            </w:r>
          </w:p>
        </w:tc>
        <w:tc>
          <w:tcPr>
            <w:tcW w:w="563" w:type="dxa"/>
            <w:shd w:val="clear" w:color="auto" w:fill="CCFFCC"/>
            <w:vAlign w:val="center"/>
          </w:tcPr>
          <w:p>
            <w:pPr>
              <w:widowControl/>
              <w:jc w:val="center"/>
              <w:rPr>
                <w:color w:val="000000"/>
                <w:kern w:val="0"/>
                <w:sz w:val="13"/>
                <w:szCs w:val="13"/>
              </w:rPr>
            </w:pPr>
            <w:r>
              <w:rPr>
                <w:color w:val="000000"/>
                <w:kern w:val="0"/>
                <w:sz w:val="13"/>
                <w:szCs w:val="13"/>
              </w:rPr>
              <w:t>1.1</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1</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1</w:t>
            </w:r>
          </w:p>
        </w:tc>
        <w:tc>
          <w:tcPr>
            <w:tcW w:w="531" w:type="dxa"/>
            <w:shd w:val="clear" w:color="auto" w:fill="CCFFCC"/>
            <w:vAlign w:val="center"/>
          </w:tcPr>
          <w:p>
            <w:pPr>
              <w:widowControl/>
              <w:jc w:val="center"/>
              <w:rPr>
                <w:color w:val="000000"/>
                <w:kern w:val="0"/>
                <w:sz w:val="13"/>
                <w:szCs w:val="13"/>
              </w:rPr>
            </w:pPr>
            <w:r>
              <w:rPr>
                <w:color w:val="000000"/>
                <w:kern w:val="0"/>
                <w:sz w:val="13"/>
                <w:szCs w:val="13"/>
              </w:rPr>
              <w:t>0.9</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1.1</w:t>
            </w:r>
          </w:p>
        </w:tc>
        <w:tc>
          <w:tcPr>
            <w:tcW w:w="499" w:type="dxa"/>
            <w:shd w:val="clear" w:color="auto" w:fill="CCFFCC"/>
            <w:vAlign w:val="center"/>
          </w:tcPr>
          <w:p>
            <w:pPr>
              <w:widowControl/>
              <w:jc w:val="center"/>
              <w:rPr>
                <w:color w:val="000000"/>
                <w:kern w:val="0"/>
                <w:sz w:val="13"/>
                <w:szCs w:val="13"/>
              </w:rPr>
            </w:pPr>
            <w:r>
              <w:rPr>
                <w:color w:val="000000"/>
                <w:kern w:val="0"/>
                <w:sz w:val="13"/>
                <w:szCs w:val="13"/>
              </w:rPr>
              <w:t>1.5</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1.6</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1.7</w:t>
            </w:r>
          </w:p>
        </w:tc>
        <w:tc>
          <w:tcPr>
            <w:tcW w:w="472" w:type="dxa"/>
            <w:shd w:val="clear" w:color="auto" w:fill="CCFFCC"/>
            <w:vAlign w:val="center"/>
          </w:tcPr>
          <w:p>
            <w:pPr>
              <w:widowControl/>
              <w:jc w:val="center"/>
              <w:rPr>
                <w:color w:val="000000"/>
                <w:kern w:val="0"/>
                <w:sz w:val="13"/>
                <w:szCs w:val="13"/>
              </w:rPr>
            </w:pPr>
            <w:r>
              <w:rPr>
                <w:color w:val="000000"/>
                <w:kern w:val="0"/>
                <w:sz w:val="13"/>
                <w:szCs w:val="13"/>
              </w:rPr>
              <w:t>2.1</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2.5</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2.8</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2.4</w:t>
            </w:r>
          </w:p>
        </w:tc>
        <w:tc>
          <w:tcPr>
            <w:tcW w:w="516" w:type="dxa"/>
            <w:gridSpan w:val="2"/>
            <w:shd w:val="clear" w:color="auto" w:fill="CCFFCC"/>
            <w:vAlign w:val="center"/>
          </w:tcPr>
          <w:p>
            <w:pPr>
              <w:widowControl/>
              <w:jc w:val="center"/>
              <w:rPr>
                <w:color w:val="000000"/>
                <w:kern w:val="0"/>
                <w:sz w:val="13"/>
                <w:szCs w:val="13"/>
              </w:rPr>
            </w:pPr>
            <w:r>
              <w:rPr>
                <w:color w:val="000000"/>
                <w:kern w:val="0"/>
                <w:sz w:val="13"/>
                <w:szCs w:val="13"/>
              </w:rPr>
              <w:t>2.2</w:t>
            </w:r>
          </w:p>
        </w:tc>
        <w:tc>
          <w:tcPr>
            <w:tcW w:w="464" w:type="dxa"/>
            <w:shd w:val="clear" w:color="auto" w:fill="CCFFCC"/>
            <w:vAlign w:val="center"/>
          </w:tcPr>
          <w:p>
            <w:pPr>
              <w:widowControl/>
              <w:jc w:val="center"/>
              <w:rPr>
                <w:color w:val="000000"/>
                <w:kern w:val="0"/>
                <w:sz w:val="13"/>
                <w:szCs w:val="13"/>
              </w:rPr>
            </w:pPr>
            <w:r>
              <w:rPr>
                <w:color w:val="000000"/>
                <w:kern w:val="0"/>
                <w:sz w:val="13"/>
                <w:szCs w:val="13"/>
              </w:rPr>
              <w:t>1.9</w:t>
            </w:r>
          </w:p>
        </w:tc>
        <w:tc>
          <w:tcPr>
            <w:tcW w:w="494" w:type="dxa"/>
            <w:shd w:val="clear" w:color="auto" w:fill="CCFFCC"/>
            <w:vAlign w:val="center"/>
          </w:tcPr>
          <w:p>
            <w:pPr>
              <w:widowControl/>
              <w:jc w:val="center"/>
              <w:rPr>
                <w:color w:val="000000"/>
                <w:kern w:val="0"/>
                <w:sz w:val="13"/>
                <w:szCs w:val="13"/>
              </w:rPr>
            </w:pPr>
            <w:r>
              <w:rPr>
                <w:color w:val="000000"/>
                <w:kern w:val="0"/>
                <w:sz w:val="13"/>
                <w:szCs w:val="13"/>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6" w:hRule="atLeast"/>
          <w:jc w:val="center"/>
        </w:trPr>
        <w:tc>
          <w:tcPr>
            <w:tcW w:w="564" w:type="dxa"/>
            <w:vMerge w:val="continue"/>
            <w:vAlign w:val="center"/>
          </w:tcPr>
          <w:p>
            <w:pPr>
              <w:spacing w:line="240" w:lineRule="exact"/>
              <w:rPr>
                <w:rFonts w:cstheme="minorBidi"/>
                <w:color w:val="000000"/>
                <w:sz w:val="13"/>
                <w:szCs w:val="13"/>
              </w:rPr>
            </w:pPr>
            <w:bookmarkStart w:id="131" w:name="OLE_LINK16" w:colFirst="5" w:colLast="7"/>
            <w:bookmarkStart w:id="132" w:name="OLE_LINK17" w:colFirst="8" w:colLast="10"/>
          </w:p>
        </w:tc>
        <w:tc>
          <w:tcPr>
            <w:tcW w:w="1620" w:type="dxa"/>
            <w:vAlign w:val="bottom"/>
          </w:tcPr>
          <w:p>
            <w:pPr>
              <w:spacing w:line="240" w:lineRule="exact"/>
              <w:rPr>
                <w:color w:val="000000"/>
                <w:sz w:val="13"/>
                <w:szCs w:val="13"/>
              </w:rPr>
            </w:pPr>
            <w:r>
              <w:rPr>
                <w:color w:val="000000"/>
                <w:sz w:val="13"/>
                <w:szCs w:val="13"/>
              </w:rPr>
              <w:t>DJ Industrial Average (end of the period)</w:t>
            </w:r>
          </w:p>
        </w:tc>
        <w:tc>
          <w:tcPr>
            <w:tcW w:w="563" w:type="dxa"/>
            <w:vAlign w:val="center"/>
          </w:tcPr>
          <w:p>
            <w:pPr>
              <w:widowControl/>
              <w:jc w:val="center"/>
              <w:rPr>
                <w:color w:val="000000"/>
                <w:kern w:val="0"/>
                <w:sz w:val="13"/>
                <w:szCs w:val="13"/>
              </w:rPr>
            </w:pPr>
            <w:r>
              <w:rPr>
                <w:color w:val="000000"/>
                <w:kern w:val="0"/>
                <w:sz w:val="13"/>
                <w:szCs w:val="13"/>
              </w:rPr>
              <w:t>17774</w:t>
            </w:r>
          </w:p>
        </w:tc>
        <w:tc>
          <w:tcPr>
            <w:tcW w:w="514" w:type="dxa"/>
            <w:vAlign w:val="center"/>
          </w:tcPr>
          <w:p>
            <w:pPr>
              <w:widowControl/>
              <w:jc w:val="center"/>
              <w:rPr>
                <w:color w:val="000000"/>
                <w:kern w:val="0"/>
                <w:sz w:val="13"/>
                <w:szCs w:val="13"/>
              </w:rPr>
            </w:pPr>
            <w:r>
              <w:rPr>
                <w:color w:val="000000"/>
                <w:kern w:val="0"/>
                <w:sz w:val="13"/>
                <w:szCs w:val="13"/>
              </w:rPr>
              <w:t>17787</w:t>
            </w:r>
          </w:p>
        </w:tc>
        <w:tc>
          <w:tcPr>
            <w:tcW w:w="514" w:type="dxa"/>
            <w:vAlign w:val="center"/>
          </w:tcPr>
          <w:p>
            <w:pPr>
              <w:widowControl/>
              <w:jc w:val="center"/>
              <w:rPr>
                <w:color w:val="000000"/>
                <w:kern w:val="0"/>
                <w:sz w:val="13"/>
                <w:szCs w:val="13"/>
              </w:rPr>
            </w:pPr>
            <w:r>
              <w:rPr>
                <w:color w:val="000000"/>
                <w:kern w:val="0"/>
                <w:sz w:val="13"/>
                <w:szCs w:val="13"/>
              </w:rPr>
              <w:t>17930</w:t>
            </w:r>
          </w:p>
        </w:tc>
        <w:tc>
          <w:tcPr>
            <w:tcW w:w="531" w:type="dxa"/>
            <w:vAlign w:val="center"/>
          </w:tcPr>
          <w:p>
            <w:pPr>
              <w:widowControl/>
              <w:jc w:val="center"/>
              <w:rPr>
                <w:color w:val="000000"/>
                <w:kern w:val="0"/>
                <w:sz w:val="13"/>
                <w:szCs w:val="13"/>
              </w:rPr>
            </w:pPr>
            <w:r>
              <w:rPr>
                <w:color w:val="000000"/>
                <w:kern w:val="0"/>
                <w:sz w:val="13"/>
                <w:szCs w:val="13"/>
              </w:rPr>
              <w:t>18432</w:t>
            </w:r>
          </w:p>
        </w:tc>
        <w:tc>
          <w:tcPr>
            <w:tcW w:w="567" w:type="dxa"/>
            <w:vAlign w:val="center"/>
          </w:tcPr>
          <w:p>
            <w:pPr>
              <w:widowControl/>
              <w:jc w:val="center"/>
              <w:rPr>
                <w:color w:val="000000"/>
                <w:kern w:val="0"/>
                <w:sz w:val="13"/>
                <w:szCs w:val="13"/>
              </w:rPr>
            </w:pPr>
            <w:r>
              <w:rPr>
                <w:color w:val="000000"/>
                <w:kern w:val="0"/>
                <w:sz w:val="13"/>
                <w:szCs w:val="13"/>
              </w:rPr>
              <w:t>18401</w:t>
            </w:r>
          </w:p>
        </w:tc>
        <w:tc>
          <w:tcPr>
            <w:tcW w:w="499" w:type="dxa"/>
            <w:vAlign w:val="center"/>
          </w:tcPr>
          <w:p>
            <w:pPr>
              <w:widowControl/>
              <w:jc w:val="center"/>
              <w:rPr>
                <w:color w:val="000000"/>
                <w:kern w:val="0"/>
                <w:sz w:val="13"/>
                <w:szCs w:val="13"/>
              </w:rPr>
            </w:pPr>
            <w:r>
              <w:rPr>
                <w:color w:val="000000"/>
                <w:kern w:val="0"/>
                <w:sz w:val="13"/>
                <w:szCs w:val="13"/>
              </w:rPr>
              <w:t>18308</w:t>
            </w:r>
          </w:p>
        </w:tc>
        <w:tc>
          <w:tcPr>
            <w:tcW w:w="567" w:type="dxa"/>
            <w:vAlign w:val="center"/>
          </w:tcPr>
          <w:p>
            <w:pPr>
              <w:widowControl/>
              <w:jc w:val="center"/>
              <w:rPr>
                <w:color w:val="000000"/>
                <w:kern w:val="0"/>
                <w:sz w:val="13"/>
                <w:szCs w:val="13"/>
              </w:rPr>
            </w:pPr>
            <w:r>
              <w:rPr>
                <w:color w:val="000000"/>
                <w:kern w:val="0"/>
                <w:sz w:val="13"/>
                <w:szCs w:val="13"/>
              </w:rPr>
              <w:t>18161</w:t>
            </w:r>
          </w:p>
        </w:tc>
        <w:tc>
          <w:tcPr>
            <w:tcW w:w="567" w:type="dxa"/>
            <w:vAlign w:val="center"/>
          </w:tcPr>
          <w:p>
            <w:pPr>
              <w:widowControl/>
              <w:jc w:val="center"/>
              <w:rPr>
                <w:color w:val="000000"/>
                <w:kern w:val="0"/>
                <w:sz w:val="13"/>
                <w:szCs w:val="13"/>
              </w:rPr>
            </w:pPr>
            <w:r>
              <w:rPr>
                <w:color w:val="000000"/>
                <w:kern w:val="0"/>
                <w:sz w:val="13"/>
                <w:szCs w:val="13"/>
              </w:rPr>
              <w:t>19124</w:t>
            </w:r>
          </w:p>
        </w:tc>
        <w:tc>
          <w:tcPr>
            <w:tcW w:w="472" w:type="dxa"/>
            <w:vAlign w:val="center"/>
          </w:tcPr>
          <w:p>
            <w:pPr>
              <w:widowControl/>
              <w:jc w:val="center"/>
              <w:rPr>
                <w:color w:val="000000"/>
                <w:kern w:val="0"/>
                <w:sz w:val="13"/>
                <w:szCs w:val="13"/>
              </w:rPr>
            </w:pPr>
            <w:r>
              <w:rPr>
                <w:color w:val="000000"/>
                <w:kern w:val="0"/>
                <w:sz w:val="13"/>
                <w:szCs w:val="13"/>
              </w:rPr>
              <w:t>19763</w:t>
            </w:r>
          </w:p>
        </w:tc>
        <w:tc>
          <w:tcPr>
            <w:tcW w:w="567" w:type="dxa"/>
            <w:vAlign w:val="center"/>
          </w:tcPr>
          <w:p>
            <w:pPr>
              <w:widowControl/>
              <w:jc w:val="center"/>
              <w:rPr>
                <w:color w:val="000000"/>
                <w:kern w:val="0"/>
                <w:sz w:val="13"/>
                <w:szCs w:val="13"/>
              </w:rPr>
            </w:pPr>
            <w:r>
              <w:rPr>
                <w:color w:val="000000"/>
                <w:kern w:val="0"/>
                <w:sz w:val="13"/>
                <w:szCs w:val="13"/>
              </w:rPr>
              <w:t>19864</w:t>
            </w:r>
          </w:p>
        </w:tc>
        <w:tc>
          <w:tcPr>
            <w:tcW w:w="567" w:type="dxa"/>
            <w:vAlign w:val="center"/>
          </w:tcPr>
          <w:p>
            <w:pPr>
              <w:widowControl/>
              <w:jc w:val="center"/>
              <w:rPr>
                <w:color w:val="000000"/>
                <w:kern w:val="0"/>
                <w:sz w:val="13"/>
                <w:szCs w:val="13"/>
              </w:rPr>
            </w:pPr>
            <w:r>
              <w:rPr>
                <w:color w:val="000000"/>
                <w:kern w:val="0"/>
                <w:sz w:val="13"/>
                <w:szCs w:val="13"/>
              </w:rPr>
              <w:t>20812</w:t>
            </w:r>
          </w:p>
        </w:tc>
        <w:tc>
          <w:tcPr>
            <w:tcW w:w="567" w:type="dxa"/>
            <w:vAlign w:val="center"/>
          </w:tcPr>
          <w:p>
            <w:pPr>
              <w:widowControl/>
              <w:jc w:val="center"/>
              <w:rPr>
                <w:color w:val="000000"/>
                <w:kern w:val="0"/>
                <w:sz w:val="13"/>
                <w:szCs w:val="13"/>
              </w:rPr>
            </w:pPr>
            <w:r>
              <w:rPr>
                <w:color w:val="000000"/>
                <w:kern w:val="0"/>
                <w:sz w:val="13"/>
                <w:szCs w:val="13"/>
              </w:rPr>
              <w:t>20663</w:t>
            </w:r>
          </w:p>
        </w:tc>
        <w:tc>
          <w:tcPr>
            <w:tcW w:w="516" w:type="dxa"/>
            <w:gridSpan w:val="2"/>
            <w:vAlign w:val="center"/>
          </w:tcPr>
          <w:p>
            <w:pPr>
              <w:widowControl/>
              <w:jc w:val="center"/>
              <w:rPr>
                <w:color w:val="000000"/>
                <w:kern w:val="0"/>
                <w:sz w:val="13"/>
                <w:szCs w:val="13"/>
              </w:rPr>
            </w:pPr>
            <w:r>
              <w:rPr>
                <w:color w:val="000000"/>
                <w:kern w:val="0"/>
                <w:sz w:val="13"/>
                <w:szCs w:val="13"/>
              </w:rPr>
              <w:t>20941</w:t>
            </w:r>
          </w:p>
        </w:tc>
        <w:tc>
          <w:tcPr>
            <w:tcW w:w="464" w:type="dxa"/>
            <w:vAlign w:val="center"/>
          </w:tcPr>
          <w:p>
            <w:pPr>
              <w:widowControl/>
              <w:jc w:val="center"/>
              <w:rPr>
                <w:color w:val="000000"/>
                <w:kern w:val="0"/>
                <w:sz w:val="13"/>
                <w:szCs w:val="13"/>
              </w:rPr>
            </w:pPr>
            <w:r>
              <w:rPr>
                <w:color w:val="000000"/>
                <w:kern w:val="0"/>
                <w:sz w:val="13"/>
                <w:szCs w:val="13"/>
              </w:rPr>
              <w:t>21009</w:t>
            </w:r>
          </w:p>
        </w:tc>
        <w:tc>
          <w:tcPr>
            <w:tcW w:w="494" w:type="dxa"/>
            <w:vAlign w:val="center"/>
          </w:tcPr>
          <w:p>
            <w:pPr>
              <w:widowControl/>
              <w:jc w:val="center"/>
              <w:rPr>
                <w:color w:val="000000"/>
                <w:kern w:val="0"/>
                <w:sz w:val="13"/>
                <w:szCs w:val="13"/>
              </w:rPr>
            </w:pPr>
            <w:r>
              <w:rPr>
                <w:color w:val="000000"/>
                <w:kern w:val="0"/>
                <w:sz w:val="13"/>
                <w:szCs w:val="13"/>
              </w:rPr>
              <w:t>21350</w:t>
            </w:r>
          </w:p>
        </w:tc>
      </w:tr>
      <w:bookmarkEnd w:id="131"/>
      <w:bookmark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restart"/>
            <w:textDirection w:val="tbRlV"/>
            <w:vAlign w:val="center"/>
          </w:tcPr>
          <w:p>
            <w:pPr>
              <w:spacing w:line="240" w:lineRule="exact"/>
              <w:jc w:val="center"/>
              <w:rPr>
                <w:color w:val="000000"/>
                <w:sz w:val="13"/>
                <w:szCs w:val="13"/>
              </w:rPr>
            </w:pPr>
            <w:bookmarkStart w:id="133" w:name="OLE_LINK20" w:colFirst="3" w:colLast="5"/>
            <w:r>
              <w:rPr>
                <w:color w:val="000000"/>
                <w:sz w:val="13"/>
                <w:szCs w:val="13"/>
              </w:rPr>
              <w:t>Euro Area</w:t>
            </w:r>
          </w:p>
        </w:tc>
        <w:tc>
          <w:tcPr>
            <w:tcW w:w="1620" w:type="dxa"/>
            <w:vAlign w:val="bottom"/>
          </w:tcPr>
          <w:p>
            <w:pPr>
              <w:spacing w:line="240" w:lineRule="exact"/>
              <w:rPr>
                <w:color w:val="000000"/>
                <w:sz w:val="13"/>
                <w:szCs w:val="13"/>
              </w:rPr>
            </w:pPr>
            <w:r>
              <w:rPr>
                <w:color w:val="000000"/>
                <w:sz w:val="13"/>
                <w:szCs w:val="13"/>
              </w:rPr>
              <w:t>Real GDP Growth (annualized quarterly rate, %)</w:t>
            </w:r>
          </w:p>
        </w:tc>
        <w:tc>
          <w:tcPr>
            <w:tcW w:w="1591" w:type="dxa"/>
            <w:gridSpan w:val="3"/>
            <w:vAlign w:val="center"/>
          </w:tcPr>
          <w:p>
            <w:pPr>
              <w:widowControl/>
              <w:jc w:val="center"/>
              <w:rPr>
                <w:color w:val="000000"/>
                <w:kern w:val="0"/>
                <w:sz w:val="13"/>
                <w:szCs w:val="13"/>
              </w:rPr>
            </w:pPr>
            <w:r>
              <w:rPr>
                <w:color w:val="000000"/>
                <w:kern w:val="0"/>
                <w:sz w:val="13"/>
                <w:szCs w:val="13"/>
              </w:rPr>
              <w:t>1.6</w:t>
            </w:r>
          </w:p>
        </w:tc>
        <w:tc>
          <w:tcPr>
            <w:tcW w:w="1597" w:type="dxa"/>
            <w:gridSpan w:val="3"/>
            <w:vAlign w:val="center"/>
          </w:tcPr>
          <w:p>
            <w:pPr>
              <w:widowControl/>
              <w:jc w:val="center"/>
              <w:rPr>
                <w:color w:val="000000"/>
                <w:kern w:val="0"/>
                <w:sz w:val="13"/>
                <w:szCs w:val="13"/>
              </w:rPr>
            </w:pPr>
            <w:r>
              <w:rPr>
                <w:color w:val="000000"/>
                <w:kern w:val="0"/>
                <w:sz w:val="13"/>
                <w:szCs w:val="13"/>
              </w:rPr>
              <w:t>1.8</w:t>
            </w:r>
          </w:p>
        </w:tc>
        <w:tc>
          <w:tcPr>
            <w:tcW w:w="1606" w:type="dxa"/>
            <w:gridSpan w:val="3"/>
            <w:vAlign w:val="center"/>
          </w:tcPr>
          <w:p>
            <w:pPr>
              <w:widowControl/>
              <w:jc w:val="center"/>
              <w:rPr>
                <w:color w:val="000000"/>
                <w:kern w:val="0"/>
                <w:sz w:val="13"/>
                <w:szCs w:val="13"/>
              </w:rPr>
            </w:pPr>
            <w:r>
              <w:rPr>
                <w:color w:val="000000"/>
                <w:kern w:val="0"/>
                <w:sz w:val="13"/>
                <w:szCs w:val="13"/>
              </w:rPr>
              <w:t>1.8</w:t>
            </w:r>
          </w:p>
        </w:tc>
        <w:tc>
          <w:tcPr>
            <w:tcW w:w="1701" w:type="dxa"/>
            <w:gridSpan w:val="3"/>
            <w:vAlign w:val="center"/>
          </w:tcPr>
          <w:p>
            <w:pPr>
              <w:widowControl/>
              <w:jc w:val="center"/>
              <w:rPr>
                <w:color w:val="000000"/>
                <w:kern w:val="0"/>
                <w:sz w:val="13"/>
                <w:szCs w:val="13"/>
              </w:rPr>
            </w:pPr>
            <w:r>
              <w:rPr>
                <w:color w:val="000000"/>
                <w:kern w:val="0"/>
                <w:sz w:val="13"/>
                <w:szCs w:val="13"/>
              </w:rPr>
              <w:t>1.9</w:t>
            </w:r>
          </w:p>
        </w:tc>
        <w:tc>
          <w:tcPr>
            <w:tcW w:w="1474" w:type="dxa"/>
            <w:gridSpan w:val="4"/>
            <w:vAlign w:val="center"/>
          </w:tcPr>
          <w:p>
            <w:pPr>
              <w:widowControl/>
              <w:jc w:val="center"/>
              <w:rPr>
                <w:color w:val="000000"/>
                <w:kern w:val="0"/>
                <w:sz w:val="13"/>
                <w:szCs w:val="13"/>
              </w:rPr>
            </w:pPr>
            <w:r>
              <w:rPr>
                <w:color w:val="000000"/>
                <w:kern w:val="0"/>
                <w:sz w:val="13"/>
                <w:szCs w:val="13"/>
              </w:rPr>
              <w:t>2.1</w:t>
            </w:r>
          </w:p>
        </w:tc>
      </w:tr>
      <w:bookmark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continue"/>
            <w:vAlign w:val="center"/>
          </w:tcPr>
          <w:p>
            <w:pPr>
              <w:spacing w:line="240" w:lineRule="exact"/>
              <w:rPr>
                <w:rFonts w:cstheme="minorBidi"/>
                <w:color w:val="000000"/>
                <w:sz w:val="13"/>
                <w:szCs w:val="13"/>
              </w:rPr>
            </w:pPr>
            <w:bookmarkStart w:id="134" w:name="OLE_LINK21" w:colFirst="5" w:colLast="7"/>
            <w:bookmarkStart w:id="135" w:name="OLE_LINK22" w:colFirst="8" w:colLast="10"/>
            <w:bookmarkStart w:id="136" w:name="OLE_LINK23" w:colFirst="11" w:colLast="13"/>
            <w:bookmarkStart w:id="137" w:name="OLE_LINK24" w:colFirst="14" w:colLast="16"/>
          </w:p>
        </w:tc>
        <w:tc>
          <w:tcPr>
            <w:tcW w:w="1620" w:type="dxa"/>
            <w:shd w:val="clear" w:color="auto" w:fill="CCFFCC"/>
            <w:vAlign w:val="bottom"/>
          </w:tcPr>
          <w:p>
            <w:pPr>
              <w:spacing w:line="240" w:lineRule="exact"/>
              <w:rPr>
                <w:color w:val="000000"/>
                <w:sz w:val="13"/>
                <w:szCs w:val="13"/>
              </w:rPr>
            </w:pPr>
            <w:r>
              <w:rPr>
                <w:color w:val="000000"/>
                <w:sz w:val="13"/>
                <w:szCs w:val="13"/>
              </w:rPr>
              <w:t>Unemployment Rate (%)</w:t>
            </w:r>
          </w:p>
        </w:tc>
        <w:tc>
          <w:tcPr>
            <w:tcW w:w="563" w:type="dxa"/>
            <w:shd w:val="clear" w:color="auto" w:fill="CCFFCC"/>
            <w:vAlign w:val="center"/>
          </w:tcPr>
          <w:p>
            <w:pPr>
              <w:widowControl/>
              <w:jc w:val="center"/>
              <w:rPr>
                <w:color w:val="000000"/>
                <w:kern w:val="0"/>
                <w:sz w:val="13"/>
                <w:szCs w:val="13"/>
              </w:rPr>
            </w:pPr>
            <w:r>
              <w:rPr>
                <w:color w:val="000000"/>
                <w:kern w:val="0"/>
                <w:sz w:val="13"/>
                <w:szCs w:val="13"/>
              </w:rPr>
              <w:t>10.2</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10.1</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10.1</w:t>
            </w:r>
          </w:p>
        </w:tc>
        <w:tc>
          <w:tcPr>
            <w:tcW w:w="531" w:type="dxa"/>
            <w:shd w:val="clear" w:color="auto" w:fill="CCFFCC"/>
            <w:vAlign w:val="center"/>
          </w:tcPr>
          <w:p>
            <w:pPr>
              <w:widowControl/>
              <w:jc w:val="center"/>
              <w:rPr>
                <w:color w:val="000000"/>
                <w:kern w:val="0"/>
                <w:sz w:val="13"/>
                <w:szCs w:val="13"/>
              </w:rPr>
            </w:pPr>
            <w:r>
              <w:rPr>
                <w:color w:val="000000"/>
                <w:kern w:val="0"/>
                <w:sz w:val="13"/>
                <w:szCs w:val="13"/>
              </w:rPr>
              <w:t>10</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9.9</w:t>
            </w:r>
          </w:p>
        </w:tc>
        <w:tc>
          <w:tcPr>
            <w:tcW w:w="499" w:type="dxa"/>
            <w:shd w:val="clear" w:color="auto" w:fill="CCFFCC"/>
            <w:vAlign w:val="center"/>
          </w:tcPr>
          <w:p>
            <w:pPr>
              <w:widowControl/>
              <w:jc w:val="center"/>
              <w:rPr>
                <w:color w:val="000000"/>
                <w:kern w:val="0"/>
                <w:sz w:val="13"/>
                <w:szCs w:val="13"/>
              </w:rPr>
            </w:pPr>
            <w:r>
              <w:rPr>
                <w:color w:val="000000"/>
                <w:kern w:val="0"/>
                <w:sz w:val="13"/>
                <w:szCs w:val="13"/>
              </w:rPr>
              <w:t>9.9</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9.8</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9.7</w:t>
            </w:r>
          </w:p>
        </w:tc>
        <w:tc>
          <w:tcPr>
            <w:tcW w:w="472" w:type="dxa"/>
            <w:shd w:val="clear" w:color="auto" w:fill="CCFFCC"/>
            <w:vAlign w:val="center"/>
          </w:tcPr>
          <w:p>
            <w:pPr>
              <w:widowControl/>
              <w:jc w:val="center"/>
              <w:rPr>
                <w:color w:val="000000"/>
                <w:kern w:val="0"/>
                <w:sz w:val="13"/>
                <w:szCs w:val="13"/>
              </w:rPr>
            </w:pPr>
            <w:r>
              <w:rPr>
                <w:color w:val="000000"/>
                <w:kern w:val="0"/>
                <w:sz w:val="13"/>
                <w:szCs w:val="13"/>
              </w:rPr>
              <w:t>9.6</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9.6</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9.5</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9.4</w:t>
            </w:r>
          </w:p>
        </w:tc>
        <w:tc>
          <w:tcPr>
            <w:tcW w:w="516" w:type="dxa"/>
            <w:gridSpan w:val="2"/>
            <w:shd w:val="clear" w:color="auto" w:fill="CCFFCC"/>
            <w:vAlign w:val="center"/>
          </w:tcPr>
          <w:p>
            <w:pPr>
              <w:widowControl/>
              <w:jc w:val="center"/>
              <w:rPr>
                <w:color w:val="000000"/>
                <w:kern w:val="0"/>
                <w:sz w:val="13"/>
                <w:szCs w:val="13"/>
              </w:rPr>
            </w:pPr>
            <w:r>
              <w:rPr>
                <w:color w:val="000000"/>
                <w:kern w:val="0"/>
                <w:sz w:val="13"/>
                <w:szCs w:val="13"/>
              </w:rPr>
              <w:t>9.2</w:t>
            </w:r>
          </w:p>
        </w:tc>
        <w:tc>
          <w:tcPr>
            <w:tcW w:w="464" w:type="dxa"/>
            <w:shd w:val="clear" w:color="auto" w:fill="CCFFCC"/>
            <w:vAlign w:val="center"/>
          </w:tcPr>
          <w:p>
            <w:pPr>
              <w:widowControl/>
              <w:jc w:val="center"/>
              <w:rPr>
                <w:color w:val="000000"/>
                <w:kern w:val="0"/>
                <w:sz w:val="13"/>
                <w:szCs w:val="13"/>
              </w:rPr>
            </w:pPr>
            <w:r>
              <w:rPr>
                <w:color w:val="000000"/>
                <w:kern w:val="0"/>
                <w:sz w:val="13"/>
                <w:szCs w:val="13"/>
              </w:rPr>
              <w:t>9.2</w:t>
            </w:r>
          </w:p>
        </w:tc>
        <w:tc>
          <w:tcPr>
            <w:tcW w:w="494" w:type="dxa"/>
            <w:shd w:val="clear" w:color="auto" w:fill="CCFFCC"/>
            <w:vAlign w:val="center"/>
          </w:tcPr>
          <w:p>
            <w:pPr>
              <w:widowControl/>
              <w:jc w:val="center"/>
              <w:rPr>
                <w:color w:val="000000"/>
                <w:kern w:val="0"/>
                <w:sz w:val="13"/>
                <w:szCs w:val="13"/>
              </w:rPr>
            </w:pPr>
            <w:r>
              <w:rPr>
                <w:color w:val="000000"/>
                <w:kern w:val="0"/>
                <w:sz w:val="13"/>
                <w:szCs w:val="13"/>
              </w:rPr>
              <w:t>9.1</w:t>
            </w:r>
          </w:p>
        </w:tc>
      </w:tr>
      <w:bookmarkEnd w:id="134"/>
      <w:bookmarkEnd w:id="135"/>
      <w:bookmarkEnd w:id="136"/>
      <w:bookmarkEnd w:id="1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6" w:hRule="atLeast"/>
          <w:jc w:val="center"/>
        </w:trPr>
        <w:tc>
          <w:tcPr>
            <w:tcW w:w="564" w:type="dxa"/>
            <w:vMerge w:val="continue"/>
            <w:vAlign w:val="center"/>
          </w:tcPr>
          <w:p>
            <w:pPr>
              <w:spacing w:line="240" w:lineRule="exact"/>
              <w:rPr>
                <w:rFonts w:cstheme="minorBidi"/>
                <w:color w:val="000000"/>
                <w:sz w:val="13"/>
                <w:szCs w:val="13"/>
              </w:rPr>
            </w:pPr>
            <w:bookmarkStart w:id="138" w:name="OLE_LINK26" w:colFirst="8" w:colLast="10"/>
            <w:bookmarkStart w:id="139" w:name="OLE_LINK27" w:colFirst="11" w:colLast="13"/>
            <w:bookmarkStart w:id="140" w:name="OLE_LINK28" w:colFirst="14" w:colLast="16"/>
            <w:bookmarkStart w:id="141" w:name="OLE_LINK25" w:colFirst="5" w:colLast="7"/>
          </w:p>
        </w:tc>
        <w:tc>
          <w:tcPr>
            <w:tcW w:w="1620" w:type="dxa"/>
            <w:vAlign w:val="bottom"/>
          </w:tcPr>
          <w:p>
            <w:pPr>
              <w:spacing w:line="240" w:lineRule="exact"/>
              <w:rPr>
                <w:color w:val="000000"/>
                <w:sz w:val="13"/>
                <w:szCs w:val="13"/>
              </w:rPr>
            </w:pPr>
            <w:r>
              <w:rPr>
                <w:color w:val="000000"/>
                <w:sz w:val="13"/>
                <w:szCs w:val="13"/>
              </w:rPr>
              <w:t>HICP (YOY, %)</w:t>
            </w:r>
          </w:p>
        </w:tc>
        <w:tc>
          <w:tcPr>
            <w:tcW w:w="563" w:type="dxa"/>
            <w:vAlign w:val="center"/>
          </w:tcPr>
          <w:p>
            <w:pPr>
              <w:widowControl/>
              <w:jc w:val="center"/>
              <w:rPr>
                <w:color w:val="000000"/>
                <w:kern w:val="0"/>
                <w:sz w:val="13"/>
                <w:szCs w:val="13"/>
              </w:rPr>
            </w:pPr>
            <w:r>
              <w:rPr>
                <w:color w:val="000000"/>
                <w:kern w:val="0"/>
                <w:sz w:val="13"/>
                <w:szCs w:val="13"/>
              </w:rPr>
              <w:t>–0.2</w:t>
            </w:r>
          </w:p>
        </w:tc>
        <w:tc>
          <w:tcPr>
            <w:tcW w:w="514" w:type="dxa"/>
            <w:vAlign w:val="center"/>
          </w:tcPr>
          <w:p>
            <w:pPr>
              <w:widowControl/>
              <w:jc w:val="center"/>
              <w:rPr>
                <w:color w:val="000000"/>
                <w:kern w:val="0"/>
                <w:sz w:val="13"/>
                <w:szCs w:val="13"/>
              </w:rPr>
            </w:pPr>
            <w:r>
              <w:rPr>
                <w:color w:val="000000"/>
                <w:kern w:val="0"/>
                <w:sz w:val="13"/>
                <w:szCs w:val="13"/>
              </w:rPr>
              <w:t>–0.1</w:t>
            </w:r>
          </w:p>
        </w:tc>
        <w:tc>
          <w:tcPr>
            <w:tcW w:w="514" w:type="dxa"/>
            <w:vAlign w:val="center"/>
          </w:tcPr>
          <w:p>
            <w:pPr>
              <w:widowControl/>
              <w:jc w:val="center"/>
              <w:rPr>
                <w:color w:val="000000"/>
                <w:kern w:val="0"/>
                <w:sz w:val="13"/>
                <w:szCs w:val="13"/>
              </w:rPr>
            </w:pPr>
            <w:r>
              <w:rPr>
                <w:color w:val="000000"/>
                <w:kern w:val="0"/>
                <w:sz w:val="13"/>
                <w:szCs w:val="13"/>
              </w:rPr>
              <w:t>0.1</w:t>
            </w:r>
          </w:p>
        </w:tc>
        <w:tc>
          <w:tcPr>
            <w:tcW w:w="531" w:type="dxa"/>
            <w:vAlign w:val="center"/>
          </w:tcPr>
          <w:p>
            <w:pPr>
              <w:widowControl/>
              <w:jc w:val="center"/>
              <w:rPr>
                <w:color w:val="000000"/>
                <w:kern w:val="0"/>
                <w:sz w:val="13"/>
                <w:szCs w:val="13"/>
              </w:rPr>
            </w:pPr>
            <w:r>
              <w:rPr>
                <w:color w:val="000000"/>
                <w:kern w:val="0"/>
                <w:sz w:val="13"/>
                <w:szCs w:val="13"/>
              </w:rPr>
              <w:t>0.2</w:t>
            </w:r>
          </w:p>
        </w:tc>
        <w:tc>
          <w:tcPr>
            <w:tcW w:w="567" w:type="dxa"/>
            <w:vAlign w:val="center"/>
          </w:tcPr>
          <w:p>
            <w:pPr>
              <w:widowControl/>
              <w:jc w:val="center"/>
              <w:rPr>
                <w:color w:val="000000"/>
                <w:kern w:val="0"/>
                <w:sz w:val="13"/>
                <w:szCs w:val="13"/>
              </w:rPr>
            </w:pPr>
            <w:r>
              <w:rPr>
                <w:color w:val="000000"/>
                <w:kern w:val="0"/>
                <w:sz w:val="13"/>
                <w:szCs w:val="13"/>
              </w:rPr>
              <w:t>0.2</w:t>
            </w:r>
          </w:p>
        </w:tc>
        <w:tc>
          <w:tcPr>
            <w:tcW w:w="499" w:type="dxa"/>
            <w:vAlign w:val="center"/>
          </w:tcPr>
          <w:p>
            <w:pPr>
              <w:widowControl/>
              <w:jc w:val="center"/>
              <w:rPr>
                <w:color w:val="000000"/>
                <w:kern w:val="0"/>
                <w:sz w:val="13"/>
                <w:szCs w:val="13"/>
              </w:rPr>
            </w:pPr>
            <w:r>
              <w:rPr>
                <w:color w:val="000000"/>
                <w:kern w:val="0"/>
                <w:sz w:val="13"/>
                <w:szCs w:val="13"/>
              </w:rPr>
              <w:t>0.4</w:t>
            </w:r>
          </w:p>
        </w:tc>
        <w:tc>
          <w:tcPr>
            <w:tcW w:w="567" w:type="dxa"/>
            <w:vAlign w:val="center"/>
          </w:tcPr>
          <w:p>
            <w:pPr>
              <w:widowControl/>
              <w:jc w:val="center"/>
              <w:rPr>
                <w:color w:val="000000"/>
                <w:kern w:val="0"/>
                <w:sz w:val="13"/>
                <w:szCs w:val="13"/>
              </w:rPr>
            </w:pPr>
            <w:r>
              <w:rPr>
                <w:color w:val="000000"/>
                <w:kern w:val="0"/>
                <w:sz w:val="13"/>
                <w:szCs w:val="13"/>
              </w:rPr>
              <w:t>0.5</w:t>
            </w:r>
          </w:p>
        </w:tc>
        <w:tc>
          <w:tcPr>
            <w:tcW w:w="567" w:type="dxa"/>
            <w:vAlign w:val="center"/>
          </w:tcPr>
          <w:p>
            <w:pPr>
              <w:widowControl/>
              <w:jc w:val="center"/>
              <w:rPr>
                <w:color w:val="000000"/>
                <w:kern w:val="0"/>
                <w:sz w:val="13"/>
                <w:szCs w:val="13"/>
              </w:rPr>
            </w:pPr>
            <w:r>
              <w:rPr>
                <w:color w:val="000000"/>
                <w:kern w:val="0"/>
                <w:sz w:val="13"/>
                <w:szCs w:val="13"/>
              </w:rPr>
              <w:t>0.6</w:t>
            </w:r>
          </w:p>
        </w:tc>
        <w:tc>
          <w:tcPr>
            <w:tcW w:w="472" w:type="dxa"/>
            <w:vAlign w:val="center"/>
          </w:tcPr>
          <w:p>
            <w:pPr>
              <w:widowControl/>
              <w:jc w:val="center"/>
              <w:rPr>
                <w:color w:val="000000"/>
                <w:kern w:val="0"/>
                <w:sz w:val="13"/>
                <w:szCs w:val="13"/>
              </w:rPr>
            </w:pPr>
            <w:r>
              <w:rPr>
                <w:color w:val="000000"/>
                <w:kern w:val="0"/>
                <w:sz w:val="13"/>
                <w:szCs w:val="13"/>
              </w:rPr>
              <w:t>1.1</w:t>
            </w:r>
          </w:p>
        </w:tc>
        <w:tc>
          <w:tcPr>
            <w:tcW w:w="567" w:type="dxa"/>
            <w:vAlign w:val="center"/>
          </w:tcPr>
          <w:p>
            <w:pPr>
              <w:widowControl/>
              <w:jc w:val="center"/>
              <w:rPr>
                <w:color w:val="000000"/>
                <w:kern w:val="0"/>
                <w:sz w:val="13"/>
                <w:szCs w:val="13"/>
              </w:rPr>
            </w:pPr>
            <w:r>
              <w:rPr>
                <w:color w:val="000000"/>
                <w:kern w:val="0"/>
                <w:sz w:val="13"/>
                <w:szCs w:val="13"/>
              </w:rPr>
              <w:t>1.8</w:t>
            </w:r>
          </w:p>
        </w:tc>
        <w:tc>
          <w:tcPr>
            <w:tcW w:w="567" w:type="dxa"/>
            <w:vAlign w:val="center"/>
          </w:tcPr>
          <w:p>
            <w:pPr>
              <w:widowControl/>
              <w:jc w:val="center"/>
              <w:rPr>
                <w:color w:val="000000"/>
                <w:kern w:val="0"/>
                <w:sz w:val="13"/>
                <w:szCs w:val="13"/>
              </w:rPr>
            </w:pPr>
            <w:r>
              <w:rPr>
                <w:color w:val="000000"/>
                <w:kern w:val="0"/>
                <w:sz w:val="13"/>
                <w:szCs w:val="13"/>
              </w:rPr>
              <w:t>2.0</w:t>
            </w:r>
          </w:p>
        </w:tc>
        <w:tc>
          <w:tcPr>
            <w:tcW w:w="567" w:type="dxa"/>
            <w:vAlign w:val="center"/>
          </w:tcPr>
          <w:p>
            <w:pPr>
              <w:widowControl/>
              <w:jc w:val="center"/>
              <w:rPr>
                <w:color w:val="000000"/>
                <w:kern w:val="0"/>
                <w:sz w:val="13"/>
                <w:szCs w:val="13"/>
              </w:rPr>
            </w:pPr>
            <w:r>
              <w:rPr>
                <w:color w:val="000000"/>
                <w:kern w:val="0"/>
                <w:sz w:val="13"/>
                <w:szCs w:val="13"/>
              </w:rPr>
              <w:t>1.5</w:t>
            </w:r>
          </w:p>
        </w:tc>
        <w:tc>
          <w:tcPr>
            <w:tcW w:w="516" w:type="dxa"/>
            <w:gridSpan w:val="2"/>
            <w:vAlign w:val="center"/>
          </w:tcPr>
          <w:p>
            <w:pPr>
              <w:widowControl/>
              <w:jc w:val="center"/>
              <w:rPr>
                <w:color w:val="000000"/>
                <w:kern w:val="0"/>
                <w:sz w:val="13"/>
                <w:szCs w:val="13"/>
              </w:rPr>
            </w:pPr>
            <w:r>
              <w:rPr>
                <w:color w:val="000000"/>
                <w:kern w:val="0"/>
                <w:sz w:val="13"/>
                <w:szCs w:val="13"/>
              </w:rPr>
              <w:t>1.9</w:t>
            </w:r>
          </w:p>
        </w:tc>
        <w:tc>
          <w:tcPr>
            <w:tcW w:w="464" w:type="dxa"/>
            <w:vAlign w:val="center"/>
          </w:tcPr>
          <w:p>
            <w:pPr>
              <w:widowControl/>
              <w:jc w:val="center"/>
              <w:rPr>
                <w:color w:val="000000"/>
                <w:kern w:val="0"/>
                <w:sz w:val="13"/>
                <w:szCs w:val="13"/>
              </w:rPr>
            </w:pPr>
            <w:r>
              <w:rPr>
                <w:color w:val="000000"/>
                <w:kern w:val="0"/>
                <w:sz w:val="13"/>
                <w:szCs w:val="13"/>
              </w:rPr>
              <w:t>1.4</w:t>
            </w:r>
          </w:p>
        </w:tc>
        <w:tc>
          <w:tcPr>
            <w:tcW w:w="494" w:type="dxa"/>
            <w:vAlign w:val="center"/>
          </w:tcPr>
          <w:p>
            <w:pPr>
              <w:widowControl/>
              <w:jc w:val="center"/>
              <w:rPr>
                <w:color w:val="000000"/>
                <w:kern w:val="0"/>
                <w:sz w:val="13"/>
                <w:szCs w:val="13"/>
              </w:rPr>
            </w:pPr>
            <w:r>
              <w:rPr>
                <w:color w:val="000000"/>
                <w:kern w:val="0"/>
                <w:sz w:val="13"/>
                <w:szCs w:val="13"/>
              </w:rPr>
              <w:t>1.3</w:t>
            </w:r>
          </w:p>
        </w:tc>
      </w:tr>
      <w:bookmarkEnd w:id="138"/>
      <w:bookmarkEnd w:id="139"/>
      <w:bookmarkEnd w:id="140"/>
      <w:bookmarkEnd w:id="1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6" w:hRule="atLeast"/>
          <w:jc w:val="center"/>
        </w:trPr>
        <w:tc>
          <w:tcPr>
            <w:tcW w:w="564" w:type="dxa"/>
            <w:vMerge w:val="continue"/>
            <w:vAlign w:val="center"/>
          </w:tcPr>
          <w:p>
            <w:pPr>
              <w:spacing w:line="240" w:lineRule="exact"/>
              <w:rPr>
                <w:rFonts w:cstheme="minorBidi"/>
                <w:color w:val="000000"/>
                <w:sz w:val="13"/>
                <w:szCs w:val="13"/>
              </w:rPr>
            </w:pPr>
          </w:p>
        </w:tc>
        <w:tc>
          <w:tcPr>
            <w:tcW w:w="1620" w:type="dxa"/>
            <w:shd w:val="clear" w:color="auto" w:fill="CCFFCC"/>
            <w:vAlign w:val="bottom"/>
          </w:tcPr>
          <w:p>
            <w:pPr>
              <w:spacing w:line="240" w:lineRule="exact"/>
              <w:rPr>
                <w:color w:val="000000"/>
                <w:sz w:val="13"/>
                <w:szCs w:val="13"/>
              </w:rPr>
            </w:pPr>
            <w:r>
              <w:rPr>
                <w:color w:val="000000"/>
                <w:sz w:val="13"/>
                <w:szCs w:val="13"/>
              </w:rPr>
              <w:t>EURO STOXX 50 (end of the period)</w:t>
            </w:r>
          </w:p>
        </w:tc>
        <w:tc>
          <w:tcPr>
            <w:tcW w:w="563" w:type="dxa"/>
            <w:shd w:val="clear" w:color="auto" w:fill="CCFFCC"/>
            <w:vAlign w:val="center"/>
          </w:tcPr>
          <w:p>
            <w:pPr>
              <w:widowControl/>
              <w:jc w:val="center"/>
              <w:rPr>
                <w:color w:val="000000"/>
                <w:kern w:val="0"/>
                <w:sz w:val="13"/>
                <w:szCs w:val="13"/>
              </w:rPr>
            </w:pPr>
            <w:r>
              <w:rPr>
                <w:color w:val="000000"/>
                <w:kern w:val="0"/>
                <w:sz w:val="13"/>
                <w:szCs w:val="13"/>
              </w:rPr>
              <w:t>3028</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3063</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2865</w:t>
            </w:r>
          </w:p>
        </w:tc>
        <w:tc>
          <w:tcPr>
            <w:tcW w:w="531" w:type="dxa"/>
            <w:shd w:val="clear" w:color="auto" w:fill="CCFFCC"/>
            <w:vAlign w:val="center"/>
          </w:tcPr>
          <w:p>
            <w:pPr>
              <w:widowControl/>
              <w:jc w:val="center"/>
              <w:rPr>
                <w:color w:val="000000"/>
                <w:kern w:val="0"/>
                <w:sz w:val="13"/>
                <w:szCs w:val="13"/>
              </w:rPr>
            </w:pPr>
            <w:r>
              <w:rPr>
                <w:color w:val="000000"/>
                <w:kern w:val="0"/>
                <w:sz w:val="13"/>
                <w:szCs w:val="13"/>
              </w:rPr>
              <w:t>2990</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3023</w:t>
            </w:r>
          </w:p>
        </w:tc>
        <w:tc>
          <w:tcPr>
            <w:tcW w:w="499" w:type="dxa"/>
            <w:shd w:val="clear" w:color="auto" w:fill="CCFFCC"/>
            <w:vAlign w:val="center"/>
          </w:tcPr>
          <w:p>
            <w:pPr>
              <w:widowControl/>
              <w:jc w:val="center"/>
              <w:rPr>
                <w:color w:val="000000"/>
                <w:kern w:val="0"/>
                <w:sz w:val="13"/>
                <w:szCs w:val="13"/>
              </w:rPr>
            </w:pPr>
            <w:r>
              <w:rPr>
                <w:color w:val="000000"/>
                <w:kern w:val="0"/>
                <w:sz w:val="13"/>
                <w:szCs w:val="13"/>
              </w:rPr>
              <w:t>3002</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3055</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3052</w:t>
            </w:r>
          </w:p>
        </w:tc>
        <w:tc>
          <w:tcPr>
            <w:tcW w:w="472" w:type="dxa"/>
            <w:shd w:val="clear" w:color="auto" w:fill="CCFFCC"/>
            <w:vAlign w:val="center"/>
          </w:tcPr>
          <w:p>
            <w:pPr>
              <w:widowControl/>
              <w:jc w:val="center"/>
              <w:rPr>
                <w:color w:val="000000"/>
                <w:kern w:val="0"/>
                <w:sz w:val="13"/>
                <w:szCs w:val="13"/>
              </w:rPr>
            </w:pPr>
            <w:r>
              <w:rPr>
                <w:color w:val="000000"/>
                <w:kern w:val="0"/>
                <w:sz w:val="13"/>
                <w:szCs w:val="13"/>
              </w:rPr>
              <w:t>3291</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3231</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3320</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3501</w:t>
            </w:r>
          </w:p>
        </w:tc>
        <w:tc>
          <w:tcPr>
            <w:tcW w:w="516" w:type="dxa"/>
            <w:gridSpan w:val="2"/>
            <w:shd w:val="clear" w:color="auto" w:fill="CCFFCC"/>
            <w:vAlign w:val="center"/>
          </w:tcPr>
          <w:p>
            <w:pPr>
              <w:widowControl/>
              <w:jc w:val="center"/>
              <w:rPr>
                <w:color w:val="000000"/>
                <w:kern w:val="0"/>
                <w:sz w:val="13"/>
                <w:szCs w:val="13"/>
              </w:rPr>
            </w:pPr>
            <w:r>
              <w:rPr>
                <w:color w:val="000000"/>
                <w:kern w:val="0"/>
                <w:sz w:val="13"/>
                <w:szCs w:val="13"/>
              </w:rPr>
              <w:t>3560</w:t>
            </w:r>
          </w:p>
        </w:tc>
        <w:tc>
          <w:tcPr>
            <w:tcW w:w="464" w:type="dxa"/>
            <w:shd w:val="clear" w:color="auto" w:fill="CCFFCC"/>
            <w:vAlign w:val="center"/>
          </w:tcPr>
          <w:p>
            <w:pPr>
              <w:widowControl/>
              <w:jc w:val="center"/>
              <w:rPr>
                <w:color w:val="000000"/>
                <w:kern w:val="0"/>
                <w:sz w:val="13"/>
                <w:szCs w:val="13"/>
              </w:rPr>
            </w:pPr>
            <w:r>
              <w:rPr>
                <w:color w:val="000000"/>
                <w:kern w:val="0"/>
                <w:sz w:val="13"/>
                <w:szCs w:val="13"/>
              </w:rPr>
              <w:t>3555</w:t>
            </w:r>
          </w:p>
        </w:tc>
        <w:tc>
          <w:tcPr>
            <w:tcW w:w="494" w:type="dxa"/>
            <w:shd w:val="clear" w:color="auto" w:fill="CCFFCC"/>
            <w:vAlign w:val="center"/>
          </w:tcPr>
          <w:p>
            <w:pPr>
              <w:widowControl/>
              <w:jc w:val="center"/>
              <w:rPr>
                <w:color w:val="000000"/>
                <w:kern w:val="0"/>
                <w:sz w:val="13"/>
                <w:szCs w:val="13"/>
              </w:rPr>
            </w:pPr>
            <w:r>
              <w:rPr>
                <w:color w:val="000000"/>
                <w:kern w:val="0"/>
                <w:sz w:val="13"/>
                <w:szCs w:val="13"/>
              </w:rPr>
              <w:t>3442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restart"/>
            <w:textDirection w:val="tbRlV"/>
            <w:vAlign w:val="center"/>
          </w:tcPr>
          <w:p>
            <w:pPr>
              <w:spacing w:line="240" w:lineRule="exact"/>
              <w:jc w:val="center"/>
              <w:rPr>
                <w:color w:val="000000"/>
                <w:sz w:val="13"/>
                <w:szCs w:val="13"/>
              </w:rPr>
            </w:pPr>
            <w:r>
              <w:rPr>
                <w:color w:val="000000"/>
                <w:sz w:val="13"/>
                <w:szCs w:val="13"/>
              </w:rPr>
              <w:t>Japan</w:t>
            </w:r>
          </w:p>
        </w:tc>
        <w:tc>
          <w:tcPr>
            <w:tcW w:w="1620" w:type="dxa"/>
            <w:vAlign w:val="bottom"/>
          </w:tcPr>
          <w:p>
            <w:pPr>
              <w:spacing w:line="240" w:lineRule="exact"/>
              <w:rPr>
                <w:color w:val="000000"/>
                <w:sz w:val="13"/>
                <w:szCs w:val="13"/>
              </w:rPr>
            </w:pPr>
            <w:r>
              <w:rPr>
                <w:color w:val="000000"/>
                <w:sz w:val="13"/>
                <w:szCs w:val="13"/>
              </w:rPr>
              <w:t>Real GDP Growth (annualized quarterly rate, %)</w:t>
            </w:r>
          </w:p>
        </w:tc>
        <w:tc>
          <w:tcPr>
            <w:tcW w:w="1591" w:type="dxa"/>
            <w:gridSpan w:val="3"/>
            <w:vAlign w:val="center"/>
          </w:tcPr>
          <w:p>
            <w:pPr>
              <w:widowControl/>
              <w:jc w:val="center"/>
              <w:rPr>
                <w:color w:val="000000"/>
                <w:kern w:val="0"/>
                <w:sz w:val="13"/>
                <w:szCs w:val="13"/>
              </w:rPr>
            </w:pPr>
            <w:r>
              <w:rPr>
                <w:color w:val="000000"/>
                <w:kern w:val="0"/>
                <w:sz w:val="13"/>
                <w:szCs w:val="13"/>
              </w:rPr>
              <w:t>1.6</w:t>
            </w:r>
          </w:p>
        </w:tc>
        <w:tc>
          <w:tcPr>
            <w:tcW w:w="1597" w:type="dxa"/>
            <w:gridSpan w:val="3"/>
            <w:vAlign w:val="center"/>
          </w:tcPr>
          <w:p>
            <w:pPr>
              <w:widowControl/>
              <w:jc w:val="center"/>
              <w:rPr>
                <w:color w:val="000000"/>
                <w:kern w:val="0"/>
                <w:sz w:val="13"/>
                <w:szCs w:val="13"/>
              </w:rPr>
            </w:pPr>
            <w:r>
              <w:rPr>
                <w:color w:val="000000"/>
                <w:kern w:val="0"/>
                <w:sz w:val="13"/>
                <w:szCs w:val="13"/>
              </w:rPr>
              <w:t>1.0</w:t>
            </w:r>
          </w:p>
        </w:tc>
        <w:tc>
          <w:tcPr>
            <w:tcW w:w="1606" w:type="dxa"/>
            <w:gridSpan w:val="3"/>
            <w:vAlign w:val="center"/>
          </w:tcPr>
          <w:p>
            <w:pPr>
              <w:widowControl/>
              <w:jc w:val="center"/>
              <w:rPr>
                <w:color w:val="000000"/>
                <w:kern w:val="0"/>
                <w:sz w:val="13"/>
                <w:szCs w:val="13"/>
              </w:rPr>
            </w:pPr>
            <w:r>
              <w:rPr>
                <w:color w:val="000000"/>
                <w:kern w:val="0"/>
                <w:sz w:val="13"/>
                <w:szCs w:val="13"/>
              </w:rPr>
              <w:t>1.4</w:t>
            </w:r>
          </w:p>
        </w:tc>
        <w:tc>
          <w:tcPr>
            <w:tcW w:w="1701" w:type="dxa"/>
            <w:gridSpan w:val="3"/>
            <w:vAlign w:val="center"/>
          </w:tcPr>
          <w:p>
            <w:pPr>
              <w:widowControl/>
              <w:jc w:val="center"/>
              <w:rPr>
                <w:color w:val="000000"/>
                <w:kern w:val="0"/>
                <w:sz w:val="13"/>
                <w:szCs w:val="13"/>
              </w:rPr>
            </w:pPr>
            <w:r>
              <w:rPr>
                <w:color w:val="000000"/>
                <w:kern w:val="0"/>
                <w:sz w:val="13"/>
                <w:szCs w:val="13"/>
              </w:rPr>
              <w:t>1.0</w:t>
            </w:r>
          </w:p>
        </w:tc>
        <w:tc>
          <w:tcPr>
            <w:tcW w:w="1474" w:type="dxa"/>
            <w:gridSpan w:val="4"/>
            <w:vAlign w:val="center"/>
          </w:tcPr>
          <w:p>
            <w:pPr>
              <w:widowControl/>
              <w:jc w:val="center"/>
              <w:rPr>
                <w:color w:val="000000"/>
                <w:kern w:val="0"/>
                <w:sz w:val="13"/>
                <w:szCs w:val="13"/>
              </w:rPr>
            </w:pPr>
            <w:r>
              <w:rPr>
                <w:color w:val="000000"/>
                <w:kern w:val="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continue"/>
            <w:vAlign w:val="center"/>
          </w:tcPr>
          <w:p>
            <w:pPr>
              <w:spacing w:line="240" w:lineRule="exact"/>
              <w:rPr>
                <w:rFonts w:cstheme="minorBidi"/>
                <w:color w:val="000000"/>
                <w:sz w:val="13"/>
                <w:szCs w:val="13"/>
              </w:rPr>
            </w:pPr>
          </w:p>
        </w:tc>
        <w:tc>
          <w:tcPr>
            <w:tcW w:w="1620" w:type="dxa"/>
            <w:shd w:val="clear" w:color="auto" w:fill="CCFFCC"/>
            <w:vAlign w:val="bottom"/>
          </w:tcPr>
          <w:p>
            <w:pPr>
              <w:spacing w:line="240" w:lineRule="exact"/>
              <w:rPr>
                <w:color w:val="000000"/>
                <w:sz w:val="13"/>
                <w:szCs w:val="13"/>
              </w:rPr>
            </w:pPr>
            <w:r>
              <w:rPr>
                <w:color w:val="000000"/>
                <w:sz w:val="13"/>
                <w:szCs w:val="13"/>
              </w:rPr>
              <w:t>Unemployment Rate (%)</w:t>
            </w:r>
          </w:p>
        </w:tc>
        <w:tc>
          <w:tcPr>
            <w:tcW w:w="563" w:type="dxa"/>
            <w:shd w:val="clear" w:color="auto" w:fill="CCFFCC"/>
            <w:vAlign w:val="center"/>
          </w:tcPr>
          <w:p>
            <w:pPr>
              <w:widowControl/>
              <w:jc w:val="center"/>
              <w:rPr>
                <w:color w:val="000000"/>
                <w:kern w:val="0"/>
                <w:sz w:val="13"/>
                <w:szCs w:val="13"/>
              </w:rPr>
            </w:pPr>
            <w:r>
              <w:rPr>
                <w:color w:val="000000"/>
                <w:kern w:val="0"/>
                <w:sz w:val="13"/>
                <w:szCs w:val="13"/>
              </w:rPr>
              <w:t>3.2</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3.2</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3.1</w:t>
            </w:r>
          </w:p>
        </w:tc>
        <w:tc>
          <w:tcPr>
            <w:tcW w:w="531" w:type="dxa"/>
            <w:shd w:val="clear" w:color="auto" w:fill="CCFFCC"/>
            <w:vAlign w:val="center"/>
          </w:tcPr>
          <w:p>
            <w:pPr>
              <w:widowControl/>
              <w:jc w:val="center"/>
              <w:rPr>
                <w:color w:val="000000"/>
                <w:kern w:val="0"/>
                <w:sz w:val="13"/>
                <w:szCs w:val="13"/>
              </w:rPr>
            </w:pPr>
            <w:r>
              <w:rPr>
                <w:color w:val="000000"/>
                <w:kern w:val="0"/>
                <w:sz w:val="13"/>
                <w:szCs w:val="13"/>
              </w:rPr>
              <w:t>3</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3.1</w:t>
            </w:r>
          </w:p>
        </w:tc>
        <w:tc>
          <w:tcPr>
            <w:tcW w:w="499" w:type="dxa"/>
            <w:shd w:val="clear" w:color="auto" w:fill="CCFFCC"/>
            <w:vAlign w:val="center"/>
          </w:tcPr>
          <w:p>
            <w:pPr>
              <w:widowControl/>
              <w:jc w:val="center"/>
              <w:rPr>
                <w:color w:val="000000"/>
                <w:kern w:val="0"/>
                <w:sz w:val="13"/>
                <w:szCs w:val="13"/>
              </w:rPr>
            </w:pPr>
            <w:r>
              <w:rPr>
                <w:color w:val="000000"/>
                <w:kern w:val="0"/>
                <w:sz w:val="13"/>
                <w:szCs w:val="13"/>
              </w:rPr>
              <w:t>3</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3.1</w:t>
            </w:r>
          </w:p>
        </w:tc>
        <w:tc>
          <w:tcPr>
            <w:tcW w:w="472" w:type="dxa"/>
            <w:shd w:val="clear" w:color="auto" w:fill="CCFFCC"/>
            <w:vAlign w:val="center"/>
          </w:tcPr>
          <w:p>
            <w:pPr>
              <w:widowControl/>
              <w:jc w:val="center"/>
              <w:rPr>
                <w:color w:val="000000"/>
                <w:kern w:val="0"/>
                <w:sz w:val="13"/>
                <w:szCs w:val="13"/>
              </w:rPr>
            </w:pPr>
            <w:r>
              <w:rPr>
                <w:color w:val="000000"/>
                <w:kern w:val="0"/>
                <w:sz w:val="13"/>
                <w:szCs w:val="13"/>
              </w:rPr>
              <w:t>3.1</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3</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2.8</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2.8</w:t>
            </w:r>
          </w:p>
        </w:tc>
        <w:tc>
          <w:tcPr>
            <w:tcW w:w="516" w:type="dxa"/>
            <w:gridSpan w:val="2"/>
            <w:shd w:val="clear" w:color="auto" w:fill="CCFFCC"/>
            <w:vAlign w:val="center"/>
          </w:tcPr>
          <w:p>
            <w:pPr>
              <w:widowControl/>
              <w:jc w:val="center"/>
              <w:rPr>
                <w:color w:val="000000"/>
                <w:kern w:val="0"/>
                <w:sz w:val="13"/>
                <w:szCs w:val="13"/>
              </w:rPr>
            </w:pPr>
            <w:r>
              <w:rPr>
                <w:color w:val="000000"/>
                <w:kern w:val="0"/>
                <w:sz w:val="13"/>
                <w:szCs w:val="13"/>
              </w:rPr>
              <w:t>2.8</w:t>
            </w:r>
          </w:p>
        </w:tc>
        <w:tc>
          <w:tcPr>
            <w:tcW w:w="464" w:type="dxa"/>
            <w:shd w:val="clear" w:color="auto" w:fill="CCFFCC"/>
            <w:vAlign w:val="center"/>
          </w:tcPr>
          <w:p>
            <w:pPr>
              <w:widowControl/>
              <w:jc w:val="center"/>
              <w:rPr>
                <w:color w:val="000000"/>
                <w:kern w:val="0"/>
                <w:sz w:val="13"/>
                <w:szCs w:val="13"/>
              </w:rPr>
            </w:pPr>
            <w:r>
              <w:rPr>
                <w:color w:val="000000"/>
                <w:kern w:val="0"/>
                <w:sz w:val="13"/>
                <w:szCs w:val="13"/>
              </w:rPr>
              <w:t>3.1</w:t>
            </w:r>
          </w:p>
        </w:tc>
        <w:tc>
          <w:tcPr>
            <w:tcW w:w="494" w:type="dxa"/>
            <w:shd w:val="clear" w:color="auto" w:fill="CCFFCC"/>
            <w:vAlign w:val="center"/>
          </w:tcPr>
          <w:p>
            <w:pPr>
              <w:widowControl/>
              <w:jc w:val="center"/>
              <w:rPr>
                <w:color w:val="000000"/>
                <w:kern w:val="0"/>
                <w:sz w:val="13"/>
                <w:szCs w:val="13"/>
              </w:rPr>
            </w:pPr>
            <w:r>
              <w:rPr>
                <w:color w:val="000000"/>
                <w:kern w:val="0"/>
                <w:sz w:val="13"/>
                <w:szCs w:val="13"/>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continue"/>
            <w:vAlign w:val="center"/>
          </w:tcPr>
          <w:p>
            <w:pPr>
              <w:spacing w:line="240" w:lineRule="exact"/>
              <w:rPr>
                <w:rFonts w:cstheme="minorBidi"/>
                <w:color w:val="000000"/>
                <w:sz w:val="13"/>
                <w:szCs w:val="13"/>
              </w:rPr>
            </w:pPr>
            <w:bookmarkStart w:id="142" w:name="OLE_LINK30" w:colFirst="8" w:colLast="10"/>
            <w:bookmarkStart w:id="143" w:name="OLE_LINK31" w:colFirst="11" w:colLast="13"/>
            <w:bookmarkStart w:id="144" w:name="OLE_LINK32" w:colFirst="14" w:colLast="16"/>
            <w:bookmarkStart w:id="145" w:name="OLE_LINK29" w:colFirst="5" w:colLast="7"/>
          </w:p>
        </w:tc>
        <w:tc>
          <w:tcPr>
            <w:tcW w:w="1620" w:type="dxa"/>
            <w:vAlign w:val="bottom"/>
          </w:tcPr>
          <w:p>
            <w:pPr>
              <w:spacing w:line="240" w:lineRule="exact"/>
              <w:rPr>
                <w:color w:val="000000"/>
                <w:sz w:val="13"/>
                <w:szCs w:val="13"/>
              </w:rPr>
            </w:pPr>
            <w:r>
              <w:rPr>
                <w:color w:val="000000"/>
                <w:sz w:val="13"/>
                <w:szCs w:val="13"/>
              </w:rPr>
              <w:t>CPI (YOY, %)</w:t>
            </w:r>
          </w:p>
        </w:tc>
        <w:tc>
          <w:tcPr>
            <w:tcW w:w="563" w:type="dxa"/>
            <w:vAlign w:val="center"/>
          </w:tcPr>
          <w:p>
            <w:pPr>
              <w:widowControl/>
              <w:jc w:val="center"/>
              <w:rPr>
                <w:color w:val="000000"/>
                <w:kern w:val="0"/>
                <w:sz w:val="13"/>
                <w:szCs w:val="13"/>
              </w:rPr>
            </w:pPr>
            <w:r>
              <w:rPr>
                <w:color w:val="000000"/>
                <w:kern w:val="0"/>
                <w:sz w:val="13"/>
                <w:szCs w:val="13"/>
              </w:rPr>
              <w:t>–0.3</w:t>
            </w:r>
          </w:p>
        </w:tc>
        <w:tc>
          <w:tcPr>
            <w:tcW w:w="514" w:type="dxa"/>
            <w:vAlign w:val="center"/>
          </w:tcPr>
          <w:p>
            <w:pPr>
              <w:widowControl/>
              <w:jc w:val="center"/>
              <w:rPr>
                <w:color w:val="000000"/>
                <w:kern w:val="0"/>
                <w:sz w:val="13"/>
                <w:szCs w:val="13"/>
              </w:rPr>
            </w:pPr>
            <w:r>
              <w:rPr>
                <w:color w:val="000000"/>
                <w:kern w:val="0"/>
                <w:sz w:val="13"/>
                <w:szCs w:val="13"/>
              </w:rPr>
              <w:t>–0.5</w:t>
            </w:r>
          </w:p>
        </w:tc>
        <w:tc>
          <w:tcPr>
            <w:tcW w:w="514" w:type="dxa"/>
            <w:vAlign w:val="center"/>
          </w:tcPr>
          <w:p>
            <w:pPr>
              <w:widowControl/>
              <w:jc w:val="center"/>
              <w:rPr>
                <w:color w:val="000000"/>
                <w:kern w:val="0"/>
                <w:sz w:val="13"/>
                <w:szCs w:val="13"/>
              </w:rPr>
            </w:pPr>
            <w:r>
              <w:rPr>
                <w:color w:val="000000"/>
                <w:kern w:val="0"/>
                <w:sz w:val="13"/>
                <w:szCs w:val="13"/>
              </w:rPr>
              <w:t>–0.4</w:t>
            </w:r>
          </w:p>
        </w:tc>
        <w:tc>
          <w:tcPr>
            <w:tcW w:w="531" w:type="dxa"/>
            <w:vAlign w:val="center"/>
          </w:tcPr>
          <w:p>
            <w:pPr>
              <w:widowControl/>
              <w:jc w:val="center"/>
              <w:rPr>
                <w:color w:val="000000"/>
                <w:kern w:val="0"/>
                <w:sz w:val="13"/>
                <w:szCs w:val="13"/>
              </w:rPr>
            </w:pPr>
            <w:r>
              <w:rPr>
                <w:color w:val="000000"/>
                <w:kern w:val="0"/>
                <w:sz w:val="13"/>
                <w:szCs w:val="13"/>
              </w:rPr>
              <w:t>–0.4</w:t>
            </w:r>
          </w:p>
        </w:tc>
        <w:tc>
          <w:tcPr>
            <w:tcW w:w="567" w:type="dxa"/>
            <w:vAlign w:val="center"/>
          </w:tcPr>
          <w:p>
            <w:pPr>
              <w:widowControl/>
              <w:jc w:val="center"/>
              <w:rPr>
                <w:color w:val="000000"/>
                <w:kern w:val="0"/>
                <w:sz w:val="13"/>
                <w:szCs w:val="13"/>
              </w:rPr>
            </w:pPr>
            <w:r>
              <w:rPr>
                <w:color w:val="000000"/>
                <w:kern w:val="0"/>
                <w:sz w:val="13"/>
                <w:szCs w:val="13"/>
              </w:rPr>
              <w:t>–0.5</w:t>
            </w:r>
          </w:p>
        </w:tc>
        <w:tc>
          <w:tcPr>
            <w:tcW w:w="499" w:type="dxa"/>
            <w:vAlign w:val="center"/>
          </w:tcPr>
          <w:p>
            <w:pPr>
              <w:widowControl/>
              <w:jc w:val="center"/>
              <w:rPr>
                <w:color w:val="000000"/>
                <w:kern w:val="0"/>
                <w:sz w:val="13"/>
                <w:szCs w:val="13"/>
              </w:rPr>
            </w:pPr>
            <w:r>
              <w:rPr>
                <w:color w:val="000000"/>
                <w:kern w:val="0"/>
                <w:sz w:val="13"/>
                <w:szCs w:val="13"/>
              </w:rPr>
              <w:t>–0.5</w:t>
            </w:r>
          </w:p>
        </w:tc>
        <w:tc>
          <w:tcPr>
            <w:tcW w:w="567" w:type="dxa"/>
            <w:vAlign w:val="center"/>
          </w:tcPr>
          <w:p>
            <w:pPr>
              <w:widowControl/>
              <w:jc w:val="center"/>
              <w:rPr>
                <w:color w:val="000000"/>
                <w:kern w:val="0"/>
                <w:sz w:val="13"/>
                <w:szCs w:val="13"/>
              </w:rPr>
            </w:pPr>
            <w:r>
              <w:rPr>
                <w:color w:val="000000"/>
                <w:kern w:val="0"/>
                <w:sz w:val="13"/>
                <w:szCs w:val="13"/>
              </w:rPr>
              <w:t>0.1</w:t>
            </w:r>
          </w:p>
        </w:tc>
        <w:tc>
          <w:tcPr>
            <w:tcW w:w="567" w:type="dxa"/>
            <w:vAlign w:val="center"/>
          </w:tcPr>
          <w:p>
            <w:pPr>
              <w:widowControl/>
              <w:jc w:val="center"/>
              <w:rPr>
                <w:color w:val="000000"/>
                <w:kern w:val="0"/>
                <w:sz w:val="13"/>
                <w:szCs w:val="13"/>
              </w:rPr>
            </w:pPr>
            <w:r>
              <w:rPr>
                <w:color w:val="000000"/>
                <w:kern w:val="0"/>
                <w:sz w:val="13"/>
                <w:szCs w:val="13"/>
              </w:rPr>
              <w:t>0.5</w:t>
            </w:r>
          </w:p>
        </w:tc>
        <w:tc>
          <w:tcPr>
            <w:tcW w:w="472" w:type="dxa"/>
            <w:vAlign w:val="center"/>
          </w:tcPr>
          <w:p>
            <w:pPr>
              <w:widowControl/>
              <w:jc w:val="center"/>
              <w:rPr>
                <w:color w:val="000000"/>
                <w:kern w:val="0"/>
                <w:sz w:val="13"/>
                <w:szCs w:val="13"/>
              </w:rPr>
            </w:pPr>
            <w:r>
              <w:rPr>
                <w:color w:val="000000"/>
                <w:kern w:val="0"/>
                <w:sz w:val="13"/>
                <w:szCs w:val="13"/>
              </w:rPr>
              <w:t>0.3</w:t>
            </w:r>
          </w:p>
        </w:tc>
        <w:tc>
          <w:tcPr>
            <w:tcW w:w="567" w:type="dxa"/>
            <w:vAlign w:val="center"/>
          </w:tcPr>
          <w:p>
            <w:pPr>
              <w:widowControl/>
              <w:jc w:val="center"/>
              <w:rPr>
                <w:color w:val="000000"/>
                <w:kern w:val="0"/>
                <w:sz w:val="13"/>
                <w:szCs w:val="13"/>
              </w:rPr>
            </w:pPr>
            <w:r>
              <w:rPr>
                <w:color w:val="000000"/>
                <w:kern w:val="0"/>
                <w:sz w:val="13"/>
                <w:szCs w:val="13"/>
              </w:rPr>
              <w:t>0.4</w:t>
            </w:r>
          </w:p>
        </w:tc>
        <w:tc>
          <w:tcPr>
            <w:tcW w:w="567" w:type="dxa"/>
            <w:vAlign w:val="center"/>
          </w:tcPr>
          <w:p>
            <w:pPr>
              <w:widowControl/>
              <w:jc w:val="center"/>
              <w:rPr>
                <w:color w:val="000000"/>
                <w:kern w:val="0"/>
                <w:sz w:val="13"/>
                <w:szCs w:val="13"/>
              </w:rPr>
            </w:pPr>
            <w:r>
              <w:rPr>
                <w:color w:val="000000"/>
                <w:kern w:val="0"/>
                <w:sz w:val="13"/>
                <w:szCs w:val="13"/>
              </w:rPr>
              <w:t>0.3</w:t>
            </w:r>
          </w:p>
        </w:tc>
        <w:tc>
          <w:tcPr>
            <w:tcW w:w="567" w:type="dxa"/>
            <w:vAlign w:val="center"/>
          </w:tcPr>
          <w:p>
            <w:pPr>
              <w:widowControl/>
              <w:jc w:val="center"/>
              <w:rPr>
                <w:color w:val="000000"/>
                <w:kern w:val="0"/>
                <w:sz w:val="13"/>
                <w:szCs w:val="13"/>
              </w:rPr>
            </w:pPr>
            <w:r>
              <w:rPr>
                <w:color w:val="000000"/>
                <w:kern w:val="0"/>
                <w:sz w:val="13"/>
                <w:szCs w:val="13"/>
              </w:rPr>
              <w:t>0.2</w:t>
            </w:r>
          </w:p>
        </w:tc>
        <w:tc>
          <w:tcPr>
            <w:tcW w:w="516" w:type="dxa"/>
            <w:gridSpan w:val="2"/>
            <w:vAlign w:val="center"/>
          </w:tcPr>
          <w:p>
            <w:pPr>
              <w:widowControl/>
              <w:jc w:val="center"/>
              <w:rPr>
                <w:color w:val="000000"/>
                <w:kern w:val="0"/>
                <w:sz w:val="13"/>
                <w:szCs w:val="13"/>
              </w:rPr>
            </w:pPr>
            <w:r>
              <w:rPr>
                <w:color w:val="000000"/>
                <w:kern w:val="0"/>
                <w:sz w:val="13"/>
                <w:szCs w:val="13"/>
              </w:rPr>
              <w:t>0.4</w:t>
            </w:r>
          </w:p>
        </w:tc>
        <w:tc>
          <w:tcPr>
            <w:tcW w:w="464" w:type="dxa"/>
            <w:vAlign w:val="center"/>
          </w:tcPr>
          <w:p>
            <w:pPr>
              <w:widowControl/>
              <w:jc w:val="center"/>
              <w:rPr>
                <w:color w:val="000000"/>
                <w:kern w:val="0"/>
                <w:sz w:val="13"/>
                <w:szCs w:val="13"/>
              </w:rPr>
            </w:pPr>
            <w:r>
              <w:rPr>
                <w:color w:val="000000"/>
                <w:kern w:val="0"/>
                <w:sz w:val="13"/>
                <w:szCs w:val="13"/>
              </w:rPr>
              <w:t>0.4</w:t>
            </w:r>
          </w:p>
        </w:tc>
        <w:tc>
          <w:tcPr>
            <w:tcW w:w="494" w:type="dxa"/>
            <w:vAlign w:val="center"/>
          </w:tcPr>
          <w:p>
            <w:pPr>
              <w:widowControl/>
              <w:jc w:val="center"/>
              <w:rPr>
                <w:color w:val="000000"/>
                <w:kern w:val="0"/>
                <w:sz w:val="13"/>
                <w:szCs w:val="13"/>
              </w:rPr>
            </w:pPr>
            <w:r>
              <w:rPr>
                <w:color w:val="000000"/>
                <w:kern w:val="0"/>
                <w:sz w:val="13"/>
                <w:szCs w:val="13"/>
              </w:rPr>
              <w:t>0.4</w:t>
            </w:r>
          </w:p>
        </w:tc>
      </w:tr>
      <w:bookmarkEnd w:id="142"/>
      <w:bookmarkEnd w:id="143"/>
      <w:bookmarkEnd w:id="144"/>
      <w:bookmarkEnd w:id="1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3" w:hRule="atLeast"/>
          <w:jc w:val="center"/>
        </w:trPr>
        <w:tc>
          <w:tcPr>
            <w:tcW w:w="564" w:type="dxa"/>
            <w:vMerge w:val="continue"/>
            <w:vAlign w:val="center"/>
          </w:tcPr>
          <w:p>
            <w:pPr>
              <w:spacing w:line="240" w:lineRule="exact"/>
              <w:rPr>
                <w:rFonts w:cstheme="minorBidi"/>
                <w:color w:val="000000"/>
                <w:sz w:val="13"/>
                <w:szCs w:val="13"/>
              </w:rPr>
            </w:pPr>
            <w:bookmarkStart w:id="146" w:name="OLE_LINK34" w:colFirst="8" w:colLast="10"/>
            <w:bookmarkStart w:id="147" w:name="OLE_LINK35" w:colFirst="11" w:colLast="13"/>
            <w:bookmarkStart w:id="148" w:name="OLE_LINK36" w:colFirst="14" w:colLast="16"/>
            <w:bookmarkStart w:id="149" w:name="OLE_LINK33" w:colFirst="5" w:colLast="7"/>
          </w:p>
        </w:tc>
        <w:tc>
          <w:tcPr>
            <w:tcW w:w="1620" w:type="dxa"/>
            <w:shd w:val="clear" w:color="auto" w:fill="CCFFCC"/>
            <w:vAlign w:val="bottom"/>
          </w:tcPr>
          <w:p>
            <w:pPr>
              <w:spacing w:line="240" w:lineRule="exact"/>
              <w:rPr>
                <w:color w:val="000000"/>
                <w:sz w:val="13"/>
                <w:szCs w:val="13"/>
              </w:rPr>
            </w:pPr>
            <w:r>
              <w:rPr>
                <w:color w:val="000000"/>
                <w:sz w:val="13"/>
                <w:szCs w:val="13"/>
              </w:rPr>
              <w:t>NIKKEI 225 (end of the period)</w:t>
            </w:r>
          </w:p>
        </w:tc>
        <w:tc>
          <w:tcPr>
            <w:tcW w:w="563" w:type="dxa"/>
            <w:shd w:val="clear" w:color="auto" w:fill="CCFFCC"/>
            <w:vAlign w:val="center"/>
          </w:tcPr>
          <w:p>
            <w:pPr>
              <w:widowControl/>
              <w:jc w:val="center"/>
              <w:rPr>
                <w:color w:val="000000"/>
                <w:kern w:val="0"/>
                <w:sz w:val="13"/>
                <w:szCs w:val="13"/>
              </w:rPr>
            </w:pPr>
            <w:r>
              <w:rPr>
                <w:color w:val="000000"/>
                <w:kern w:val="0"/>
                <w:sz w:val="13"/>
                <w:szCs w:val="13"/>
              </w:rPr>
              <w:t>16666</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17235</w:t>
            </w:r>
          </w:p>
        </w:tc>
        <w:tc>
          <w:tcPr>
            <w:tcW w:w="514" w:type="dxa"/>
            <w:shd w:val="clear" w:color="auto" w:fill="CCFFCC"/>
            <w:vAlign w:val="center"/>
          </w:tcPr>
          <w:p>
            <w:pPr>
              <w:widowControl/>
              <w:jc w:val="center"/>
              <w:rPr>
                <w:color w:val="000000"/>
                <w:kern w:val="0"/>
                <w:sz w:val="13"/>
                <w:szCs w:val="13"/>
              </w:rPr>
            </w:pPr>
            <w:r>
              <w:rPr>
                <w:color w:val="000000"/>
                <w:kern w:val="0"/>
                <w:sz w:val="13"/>
                <w:szCs w:val="13"/>
              </w:rPr>
              <w:t>15576</w:t>
            </w:r>
          </w:p>
        </w:tc>
        <w:tc>
          <w:tcPr>
            <w:tcW w:w="531" w:type="dxa"/>
            <w:shd w:val="clear" w:color="auto" w:fill="CCFFCC"/>
            <w:vAlign w:val="center"/>
          </w:tcPr>
          <w:p>
            <w:pPr>
              <w:widowControl/>
              <w:jc w:val="center"/>
              <w:rPr>
                <w:color w:val="000000"/>
                <w:kern w:val="0"/>
                <w:sz w:val="13"/>
                <w:szCs w:val="13"/>
              </w:rPr>
            </w:pPr>
            <w:r>
              <w:rPr>
                <w:color w:val="000000"/>
                <w:kern w:val="0"/>
                <w:sz w:val="13"/>
                <w:szCs w:val="13"/>
              </w:rPr>
              <w:t>16569</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16887</w:t>
            </w:r>
          </w:p>
        </w:tc>
        <w:tc>
          <w:tcPr>
            <w:tcW w:w="499" w:type="dxa"/>
            <w:shd w:val="clear" w:color="auto" w:fill="CCFFCC"/>
            <w:vAlign w:val="center"/>
          </w:tcPr>
          <w:p>
            <w:pPr>
              <w:widowControl/>
              <w:jc w:val="center"/>
              <w:rPr>
                <w:color w:val="000000"/>
                <w:kern w:val="0"/>
                <w:sz w:val="13"/>
                <w:szCs w:val="13"/>
              </w:rPr>
            </w:pPr>
            <w:r>
              <w:rPr>
                <w:color w:val="000000"/>
                <w:kern w:val="0"/>
                <w:sz w:val="13"/>
                <w:szCs w:val="13"/>
              </w:rPr>
              <w:t>16450</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17425</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18308</w:t>
            </w:r>
          </w:p>
        </w:tc>
        <w:tc>
          <w:tcPr>
            <w:tcW w:w="472" w:type="dxa"/>
            <w:shd w:val="clear" w:color="auto" w:fill="CCFFCC"/>
            <w:vAlign w:val="center"/>
          </w:tcPr>
          <w:p>
            <w:pPr>
              <w:widowControl/>
              <w:jc w:val="center"/>
              <w:rPr>
                <w:color w:val="000000"/>
                <w:kern w:val="0"/>
                <w:sz w:val="13"/>
                <w:szCs w:val="13"/>
              </w:rPr>
            </w:pPr>
            <w:r>
              <w:rPr>
                <w:color w:val="000000"/>
                <w:kern w:val="0"/>
                <w:sz w:val="13"/>
                <w:szCs w:val="13"/>
              </w:rPr>
              <w:t>19114</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19041</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19119</w:t>
            </w:r>
          </w:p>
        </w:tc>
        <w:tc>
          <w:tcPr>
            <w:tcW w:w="567" w:type="dxa"/>
            <w:shd w:val="clear" w:color="auto" w:fill="CCFFCC"/>
            <w:vAlign w:val="center"/>
          </w:tcPr>
          <w:p>
            <w:pPr>
              <w:widowControl/>
              <w:jc w:val="center"/>
              <w:rPr>
                <w:color w:val="000000"/>
                <w:kern w:val="0"/>
                <w:sz w:val="13"/>
                <w:szCs w:val="13"/>
              </w:rPr>
            </w:pPr>
            <w:r>
              <w:rPr>
                <w:color w:val="000000"/>
                <w:kern w:val="0"/>
                <w:sz w:val="13"/>
                <w:szCs w:val="13"/>
              </w:rPr>
              <w:t>18909</w:t>
            </w:r>
          </w:p>
        </w:tc>
        <w:tc>
          <w:tcPr>
            <w:tcW w:w="516" w:type="dxa"/>
            <w:gridSpan w:val="2"/>
            <w:shd w:val="clear" w:color="auto" w:fill="CCFFCC"/>
            <w:vAlign w:val="center"/>
          </w:tcPr>
          <w:p>
            <w:pPr>
              <w:widowControl/>
              <w:jc w:val="center"/>
              <w:rPr>
                <w:color w:val="000000"/>
                <w:kern w:val="0"/>
                <w:sz w:val="13"/>
                <w:szCs w:val="13"/>
              </w:rPr>
            </w:pPr>
            <w:r>
              <w:rPr>
                <w:color w:val="000000"/>
                <w:kern w:val="0"/>
                <w:sz w:val="13"/>
                <w:szCs w:val="13"/>
              </w:rPr>
              <w:t>19197</w:t>
            </w:r>
          </w:p>
        </w:tc>
        <w:tc>
          <w:tcPr>
            <w:tcW w:w="464" w:type="dxa"/>
            <w:shd w:val="clear" w:color="auto" w:fill="CCFFCC"/>
            <w:vAlign w:val="center"/>
          </w:tcPr>
          <w:p>
            <w:pPr>
              <w:widowControl/>
              <w:jc w:val="center"/>
              <w:rPr>
                <w:color w:val="000000"/>
                <w:kern w:val="0"/>
                <w:sz w:val="13"/>
                <w:szCs w:val="13"/>
              </w:rPr>
            </w:pPr>
            <w:r>
              <w:rPr>
                <w:color w:val="000000"/>
                <w:kern w:val="0"/>
                <w:sz w:val="13"/>
                <w:szCs w:val="13"/>
              </w:rPr>
              <w:t>19651</w:t>
            </w:r>
          </w:p>
        </w:tc>
        <w:tc>
          <w:tcPr>
            <w:tcW w:w="494" w:type="dxa"/>
            <w:shd w:val="clear" w:color="auto" w:fill="CCFFCC"/>
            <w:vAlign w:val="center"/>
          </w:tcPr>
          <w:p>
            <w:pPr>
              <w:widowControl/>
              <w:jc w:val="center"/>
              <w:rPr>
                <w:color w:val="000000"/>
                <w:kern w:val="0"/>
                <w:sz w:val="13"/>
                <w:szCs w:val="13"/>
              </w:rPr>
            </w:pPr>
            <w:r>
              <w:rPr>
                <w:color w:val="000000"/>
                <w:kern w:val="0"/>
                <w:sz w:val="13"/>
                <w:szCs w:val="13"/>
              </w:rPr>
              <w:t>20033</w:t>
            </w:r>
          </w:p>
        </w:tc>
      </w:tr>
      <w:bookmarkEnd w:id="146"/>
      <w:bookmarkEnd w:id="147"/>
      <w:bookmarkEnd w:id="148"/>
      <w:bookmarkEnd w:id="149"/>
    </w:tbl>
    <w:p>
      <w:pPr>
        <w:pStyle w:val="31"/>
        <w:widowControl w:val="0"/>
        <w:ind w:firstLine="480" w:firstLineChars="200"/>
        <w:rPr>
          <w:rFonts w:ascii="仿宋_GB2312" w:eastAsia="仿宋_GB2312" w:cstheme="minorBidi"/>
          <w:color w:val="000000"/>
          <w:kern w:val="2"/>
          <w:sz w:val="24"/>
          <w:szCs w:val="24"/>
        </w:rPr>
      </w:pPr>
      <w:r>
        <w:rPr>
          <w:rFonts w:eastAsia="仿宋_GB2312"/>
          <w:color w:val="000000"/>
          <w:sz w:val="24"/>
          <w:szCs w:val="24"/>
        </w:rPr>
        <w:t>Sources: Statistical Bureaus and Central Banks of the Relevant Economies</w:t>
      </w:r>
    </w:p>
    <w:p>
      <w:pPr>
        <w:pStyle w:val="31"/>
        <w:rPr>
          <w:rFonts w:cstheme="minorBidi"/>
          <w:color w:val="000000"/>
          <w:kern w:val="2"/>
          <w:sz w:val="24"/>
          <w:szCs w:val="24"/>
        </w:rPr>
      </w:pPr>
    </w:p>
    <w:p>
      <w:pPr>
        <w:pStyle w:val="30"/>
        <w:spacing w:before="156"/>
        <w:ind w:firstLine="0" w:firstLineChars="0"/>
        <w:rPr>
          <w:rFonts w:ascii="宋体" w:eastAsia="仿宋_GB2312" w:cstheme="minorBidi"/>
          <w:b/>
          <w:bCs/>
          <w:color w:val="000000"/>
          <w:sz w:val="24"/>
          <w:szCs w:val="24"/>
        </w:rPr>
      </w:pPr>
      <w:r>
        <w:rPr>
          <w:rFonts w:eastAsia="仿宋_GB2312"/>
          <w:b/>
          <w:bCs/>
          <w:color w:val="000000"/>
          <w:sz w:val="24"/>
          <w:szCs w:val="24"/>
        </w:rPr>
        <w:t>2. Developments in global financial markets</w:t>
      </w:r>
    </w:p>
    <w:p>
      <w:pPr>
        <w:pStyle w:val="30"/>
        <w:spacing w:before="156"/>
        <w:ind w:firstLine="0" w:firstLineChars="0"/>
        <w:rPr>
          <w:rFonts w:cstheme="minorBidi"/>
          <w:color w:val="000000"/>
          <w:sz w:val="24"/>
          <w:szCs w:val="24"/>
        </w:rPr>
      </w:pPr>
      <w:r>
        <w:rPr>
          <w:color w:val="000000"/>
          <w:sz w:val="24"/>
          <w:szCs w:val="24"/>
        </w:rPr>
        <w:t>The US dollar index dropped. The euro and the British pound appreciated sharply against the US dollar and the Japanese yen remained relatively stable, while exchange-rate movements in the emerging market economies were mixed. As of end-June, the US dollar index closed at 95.638, losing 4.89 percent from the end of March. The euro and the British pound stood at 1.1423 US dollars per euro and 1.3025 US dollars per pound</w:t>
      </w:r>
      <w:r>
        <w:rPr>
          <w:rFonts w:ascii="宋体" w:cs="宋体"/>
          <w:color w:val="000000"/>
          <w:sz w:val="24"/>
          <w:szCs w:val="24"/>
        </w:rPr>
        <w:t xml:space="preserve">, </w:t>
      </w:r>
      <w:r>
        <w:rPr>
          <w:color w:val="000000"/>
          <w:sz w:val="24"/>
          <w:szCs w:val="24"/>
        </w:rPr>
        <w:t>strengthening 7.27 percent and 7.83 percent respectively from the end of March. The exchange rate of the Japanese yen against the US dollar was 112.35 yen per dollar, dipping 0.86 percent compared with end-March.</w:t>
      </w:r>
    </w:p>
    <w:p>
      <w:pPr>
        <w:pStyle w:val="30"/>
        <w:spacing w:before="156"/>
        <w:ind w:firstLine="0" w:firstLineChars="0"/>
        <w:rPr>
          <w:rFonts w:ascii="宋体" w:cstheme="minorBidi"/>
          <w:color w:val="000000"/>
          <w:sz w:val="24"/>
          <w:szCs w:val="24"/>
        </w:rPr>
      </w:pPr>
      <w:r>
        <w:rPr>
          <w:color w:val="000000"/>
          <w:sz w:val="24"/>
          <w:szCs w:val="24"/>
        </w:rPr>
        <w:t>Among the emerging market currencies</w:t>
      </w:r>
      <w:r>
        <w:rPr>
          <w:rFonts w:ascii="宋体" w:cs="宋体"/>
          <w:color w:val="000000"/>
          <w:sz w:val="24"/>
          <w:szCs w:val="24"/>
        </w:rPr>
        <w:t>,</w:t>
      </w:r>
      <w:r>
        <w:rPr>
          <w:color w:val="000000"/>
          <w:sz w:val="24"/>
          <w:szCs w:val="24"/>
        </w:rPr>
        <w:t xml:space="preserve"> the Indian rupee, the Turkish lira, and the Mexican peso appreciated by 0.36 percent, 3.24 percent, and 3.30 percent respectively against the US dollar compared with end-March, whereas the Russian ruble and the Brazilian real depreciated 4.56 percent and 5.54 percent respectively against the US dollar.</w:t>
      </w:r>
    </w:p>
    <w:p>
      <w:pPr>
        <w:pStyle w:val="30"/>
        <w:spacing w:before="156"/>
        <w:ind w:firstLine="0" w:firstLineChars="0"/>
        <w:rPr>
          <w:rFonts w:ascii="宋体" w:cstheme="minorBidi"/>
          <w:color w:val="000000"/>
          <w:sz w:val="24"/>
          <w:szCs w:val="24"/>
        </w:rPr>
      </w:pPr>
      <w:r>
        <w:rPr>
          <w:color w:val="000000"/>
          <w:sz w:val="24"/>
          <w:szCs w:val="24"/>
        </w:rPr>
        <w:t>Money-market rates continued to diverge throughout the world. The US dollar Libor went up slightly due to the interest-rate hike by the Fed. As of June 30</w:t>
      </w:r>
      <w:r>
        <w:rPr>
          <w:rFonts w:ascii="宋体" w:cs="宋体"/>
          <w:color w:val="000000"/>
          <w:sz w:val="24"/>
          <w:szCs w:val="24"/>
        </w:rPr>
        <w:t>,</w:t>
      </w:r>
      <w:r>
        <w:rPr>
          <w:color w:val="000000"/>
          <w:sz w:val="24"/>
          <w:szCs w:val="24"/>
        </w:rPr>
        <w:t xml:space="preserve"> the 1-year dollar Libor was 1.7384 percent, an increase of 0.05 percentage point from the end of the last year. The Euribor continued to decline. As of June 30</w:t>
      </w:r>
      <w:r>
        <w:rPr>
          <w:rFonts w:ascii="宋体" w:cs="宋体"/>
          <w:color w:val="000000"/>
          <w:sz w:val="24"/>
          <w:szCs w:val="24"/>
        </w:rPr>
        <w:t>,</w:t>
      </w:r>
      <w:r>
        <w:rPr>
          <w:color w:val="000000"/>
          <w:sz w:val="24"/>
          <w:szCs w:val="24"/>
        </w:rPr>
        <w:t xml:space="preserve"> the 1-year Euribor registered </w:t>
      </w:r>
      <w:r>
        <w:rPr>
          <w:color w:val="000000"/>
          <w:kern w:val="0"/>
          <w:sz w:val="13"/>
          <w:szCs w:val="13"/>
        </w:rPr>
        <w:t>–</w:t>
      </w:r>
      <w:r>
        <w:rPr>
          <w:color w:val="000000"/>
          <w:sz w:val="24"/>
          <w:szCs w:val="24"/>
        </w:rPr>
        <w:t>0.156 percent, a decrease of 0.07 percentage point from the end of 2016.</w:t>
      </w:r>
    </w:p>
    <w:p>
      <w:pPr>
        <w:pStyle w:val="30"/>
        <w:spacing w:before="156"/>
        <w:ind w:firstLine="0" w:firstLineChars="0"/>
        <w:rPr>
          <w:rFonts w:ascii="宋体" w:cs="宋体"/>
          <w:color w:val="000000"/>
          <w:sz w:val="24"/>
          <w:szCs w:val="24"/>
        </w:rPr>
      </w:pPr>
      <w:r>
        <w:rPr>
          <w:color w:val="000000"/>
          <w:sz w:val="24"/>
          <w:szCs w:val="24"/>
        </w:rPr>
        <w:t>The yields of government bonds in the major economies diverged moderately. As of June 30, the yields of 10-year US Treasuries and French government bonds closed at 2.302 percent and 0.817 percent, down 9.3 basis points (bps) and 14.6 bps respectively from the end of March. The yields of 10-year Japanese, German, and UK government bonds closed at 0.084 percent, 0.470 percent, and 1.259 percent, adding 1.3 bps, 14 bps, and 11.9 bps respectively. Among the emerging market economies, the yields of 10-year Russian, Indian, Mexican, and Turkish government bonds retreated 24 bps, 18.3 bps, 22.7 bps, and 37 bps respectively, whereas the yield of 10-year Brazilian government bonds went up 42 bps</w:t>
      </w:r>
      <w:r>
        <w:rPr>
          <w:rFonts w:ascii="宋体" w:cs="宋体"/>
          <w:color w:val="000000"/>
          <w:sz w:val="24"/>
          <w:szCs w:val="24"/>
        </w:rPr>
        <w:t>.</w:t>
      </w:r>
    </w:p>
    <w:p>
      <w:pPr>
        <w:pStyle w:val="30"/>
        <w:spacing w:before="156"/>
        <w:ind w:firstLine="0" w:firstLineChars="0"/>
        <w:rPr>
          <w:rFonts w:ascii="宋体" w:cstheme="minorBidi"/>
          <w:color w:val="000000"/>
          <w:sz w:val="24"/>
          <w:szCs w:val="24"/>
        </w:rPr>
      </w:pPr>
      <w:r>
        <w:rPr>
          <w:color w:val="000000"/>
          <w:sz w:val="24"/>
          <w:szCs w:val="24"/>
        </w:rPr>
        <w:t xml:space="preserve">The performance of the stock markets in the major economies was mixed. As of June 30, the US Dow Jones Industrial Average, the German DAX, and the Japanese Nikkei 225 gained 3.32 percent, 0.10 percent, and 5.95 percent respectively over the end of March, whereas the euro area’s STOXX 50 and the UK FTSE 100 fell 1.69 percent and 0.14 percent respectively. Among the emerging market economies, the stock </w:t>
      </w:r>
      <w:r>
        <w:rPr>
          <w:rFonts w:hint="eastAsia"/>
          <w:color w:val="000000"/>
          <w:sz w:val="24"/>
          <w:szCs w:val="24"/>
        </w:rPr>
        <w:t>indices</w:t>
      </w:r>
      <w:r>
        <w:rPr>
          <w:color w:val="000000"/>
          <w:sz w:val="24"/>
          <w:szCs w:val="24"/>
        </w:rPr>
        <w:t xml:space="preserve"> in Russia and India went up 10.13 percent and 4.39 percent respectively, whereas the stock index in Brazil was down 3.21 percent. </w:t>
      </w:r>
    </w:p>
    <w:p>
      <w:pPr>
        <w:pStyle w:val="30"/>
        <w:spacing w:before="156"/>
        <w:ind w:firstLine="0" w:firstLineChars="0"/>
        <w:rPr>
          <w:rFonts w:ascii="宋体" w:cstheme="minorBidi"/>
          <w:b/>
          <w:bCs/>
          <w:color w:val="000000"/>
          <w:kern w:val="0"/>
          <w:sz w:val="24"/>
          <w:szCs w:val="24"/>
        </w:rPr>
      </w:pPr>
      <w:r>
        <w:rPr>
          <w:b/>
          <w:bCs/>
          <w:color w:val="000000"/>
          <w:kern w:val="0"/>
          <w:sz w:val="24"/>
          <w:szCs w:val="24"/>
        </w:rPr>
        <w:t>3. Monetary policies in the major economies</w:t>
      </w:r>
    </w:p>
    <w:p>
      <w:pPr>
        <w:pStyle w:val="30"/>
        <w:spacing w:beforeLines="50" w:afterLines="50"/>
        <w:ind w:firstLine="0" w:firstLineChars="0"/>
        <w:rPr>
          <w:rFonts w:ascii="仿宋_GB2312" w:eastAsia="仿宋_GB2312" w:cstheme="minorBidi"/>
          <w:color w:val="000000"/>
          <w:sz w:val="28"/>
          <w:szCs w:val="28"/>
        </w:rPr>
      </w:pPr>
      <w:r>
        <w:rPr>
          <w:rFonts w:eastAsia="仿宋_GB2312"/>
          <w:color w:val="000000"/>
          <w:sz w:val="24"/>
          <w:szCs w:val="24"/>
        </w:rPr>
        <w:t xml:space="preserve">The major advanced economies either began or </w:t>
      </w:r>
      <w:r>
        <w:rPr>
          <w:rFonts w:hint="eastAsia" w:eastAsia="仿宋_GB2312"/>
          <w:color w:val="000000"/>
          <w:sz w:val="24"/>
          <w:szCs w:val="24"/>
        </w:rPr>
        <w:t>prepared for</w:t>
      </w:r>
      <w:r>
        <w:rPr>
          <w:rFonts w:eastAsia="仿宋_GB2312"/>
          <w:color w:val="000000"/>
          <w:sz w:val="24"/>
          <w:szCs w:val="24"/>
        </w:rPr>
        <w:t xml:space="preserve"> monetary policy normalization. The US Fed’s Federal Open Market Committee (FOMC) raised </w:t>
      </w:r>
      <w:r>
        <w:rPr>
          <w:color w:val="000000"/>
          <w:sz w:val="24"/>
          <w:szCs w:val="24"/>
        </w:rPr>
        <w:t>the target range for the federal funds rate on March 15 and on June 14, each by 25 bps to the 1–1.25 percent range, while anticipating one more hike in 2017 and another three hikes in 2018. In addition, the minutes of the FOMC meeting in June shed light on the principles and plans of policy normalization, under which the FOMC intends to gradually reduce the Fed’s securities holdings by decreasing reinvestment of the principal payments it receives from maturing securities,</w:t>
      </w:r>
      <w:r>
        <w:t xml:space="preserve"> and </w:t>
      </w:r>
      <w:r>
        <w:rPr>
          <w:color w:val="000000"/>
          <w:sz w:val="24"/>
          <w:szCs w:val="24"/>
        </w:rPr>
        <w:t xml:space="preserve">payments will be reinvested only to the extent that they exceed gradually rising caps. For Treasury securities, the FOMC anticipates that the </w:t>
      </w:r>
      <w:r>
        <w:rPr>
          <w:rFonts w:hint="eastAsia"/>
          <w:color w:val="000000"/>
          <w:sz w:val="24"/>
          <w:szCs w:val="24"/>
        </w:rPr>
        <w:t xml:space="preserve">decreasing </w:t>
      </w:r>
      <w:r>
        <w:rPr>
          <w:color w:val="000000"/>
          <w:sz w:val="24"/>
          <w:szCs w:val="24"/>
        </w:rPr>
        <w:t>cap will be USD 6 billion per month initially and will increase in steps of USD 6 billion at three-month intervals over 12 months un</w:t>
      </w:r>
      <w:r>
        <w:rPr>
          <w:rFonts w:hint="eastAsia"/>
          <w:color w:val="000000"/>
          <w:sz w:val="24"/>
          <w:szCs w:val="24"/>
        </w:rPr>
        <w:t>til it reaches USD 30 billion per month. For agency debt and mortgage-backed securities</w:t>
      </w:r>
      <w:r>
        <w:rPr>
          <w:color w:val="000000"/>
          <w:sz w:val="24"/>
          <w:szCs w:val="24"/>
        </w:rPr>
        <w:t xml:space="preserve"> </w:t>
      </w:r>
      <w:r>
        <w:rPr>
          <w:rFonts w:hint="eastAsia"/>
          <w:color w:val="000000"/>
          <w:sz w:val="24"/>
          <w:szCs w:val="24"/>
        </w:rPr>
        <w:t xml:space="preserve">(MBS), the </w:t>
      </w:r>
      <w:r>
        <w:rPr>
          <w:color w:val="000000"/>
          <w:sz w:val="24"/>
          <w:szCs w:val="24"/>
        </w:rPr>
        <w:t>FOMC</w:t>
      </w:r>
      <w:r>
        <w:rPr>
          <w:rFonts w:hint="eastAsia"/>
          <w:color w:val="000000"/>
          <w:sz w:val="24"/>
          <w:szCs w:val="24"/>
        </w:rPr>
        <w:t xml:space="preserve"> anticipates that the decreasing cap will </w:t>
      </w:r>
      <w:r>
        <w:rPr>
          <w:color w:val="000000"/>
          <w:sz w:val="24"/>
          <w:szCs w:val="24"/>
        </w:rPr>
        <w:t xml:space="preserve">initially </w:t>
      </w:r>
      <w:r>
        <w:rPr>
          <w:rFonts w:hint="eastAsia"/>
          <w:color w:val="000000"/>
          <w:sz w:val="24"/>
          <w:szCs w:val="24"/>
        </w:rPr>
        <w:t xml:space="preserve">be USD 4 billion per month </w:t>
      </w:r>
      <w:r>
        <w:rPr>
          <w:color w:val="000000"/>
          <w:sz w:val="24"/>
          <w:szCs w:val="24"/>
        </w:rPr>
        <w:t>but</w:t>
      </w:r>
      <w:r>
        <w:rPr>
          <w:rFonts w:hint="eastAsia"/>
          <w:color w:val="000000"/>
          <w:sz w:val="24"/>
          <w:szCs w:val="24"/>
        </w:rPr>
        <w:t xml:space="preserve"> </w:t>
      </w:r>
      <w:r>
        <w:rPr>
          <w:color w:val="000000"/>
          <w:sz w:val="24"/>
          <w:szCs w:val="24"/>
        </w:rPr>
        <w:t xml:space="preserve">it </w:t>
      </w:r>
      <w:r>
        <w:rPr>
          <w:rFonts w:hint="eastAsia"/>
          <w:color w:val="000000"/>
          <w:sz w:val="24"/>
          <w:szCs w:val="24"/>
        </w:rPr>
        <w:t>will incr</w:t>
      </w:r>
      <w:r>
        <w:rPr>
          <w:color w:val="000000"/>
          <w:sz w:val="24"/>
          <w:szCs w:val="24"/>
        </w:rPr>
        <w:t xml:space="preserve">ease in steps of USD 4 billion at three-month intervals over 12 months until it reaches USD 20 billion per month. The Fed indicated in its July monetary policy statement that the FOMC expects to begin implementing its balance sheet normalization program relatively soon, provided that the economy evolves generally as anticipated. </w:t>
      </w:r>
    </w:p>
    <w:p>
      <w:pPr>
        <w:spacing w:beforeLines="50" w:afterLines="50"/>
        <w:rPr>
          <w:color w:val="000000" w:themeColor="text1"/>
          <w:sz w:val="24"/>
        </w:rPr>
      </w:pPr>
      <w:r>
        <w:rPr>
          <w:color w:val="000000"/>
          <w:sz w:val="24"/>
        </w:rPr>
        <w:t xml:space="preserve">The ECB decided on March 9, April 27, and June 8 to keep </w:t>
      </w:r>
      <w:r>
        <w:rPr>
          <w:rFonts w:eastAsia="仿宋_GB2312"/>
          <w:color w:val="000000"/>
          <w:sz w:val="24"/>
        </w:rPr>
        <w:t>interest rates on the main refinancing operations (MROs), the marginal lending facility, and the deposit facility</w:t>
      </w:r>
      <w:r>
        <w:rPr>
          <w:color w:val="000000"/>
          <w:sz w:val="24"/>
        </w:rPr>
        <w:t xml:space="preserve"> unchanged at 0 percent, 0.25 percent, and </w:t>
      </w:r>
      <w:r>
        <w:rPr>
          <w:rFonts w:ascii="Cambria Math" w:hAnsi="Cambria Math" w:cs="Cambria Math"/>
          <w:color w:val="000000"/>
          <w:sz w:val="24"/>
        </w:rPr>
        <w:t>‒</w:t>
      </w:r>
      <w:r>
        <w:rPr>
          <w:color w:val="000000"/>
          <w:sz w:val="24"/>
        </w:rPr>
        <w:t>0.40 percent</w:t>
      </w:r>
      <w:r>
        <w:rPr>
          <w:rFonts w:hint="eastAsia"/>
          <w:color w:val="000000"/>
          <w:sz w:val="24"/>
        </w:rPr>
        <w:t xml:space="preserve"> respectively</w:t>
      </w:r>
      <w:r>
        <w:rPr>
          <w:color w:val="000000"/>
          <w:sz w:val="24"/>
        </w:rPr>
        <w:t>, and to maintain its EUR 60 billion monthly asset pu</w:t>
      </w:r>
      <w:r>
        <w:rPr>
          <w:color w:val="000000" w:themeColor="text1"/>
          <w:sz w:val="24"/>
        </w:rPr>
        <w:t>rchase program until December 2017, which might be extended further if necessary. The ECB explicitly stated that deflationary risks had abated, and it removed any reference to</w:t>
      </w:r>
      <w:r>
        <w:rPr>
          <w:rFonts w:hint="eastAsia"/>
          <w:color w:val="000000" w:themeColor="text1"/>
          <w:sz w:val="24"/>
        </w:rPr>
        <w:t xml:space="preserve"> cutting</w:t>
      </w:r>
      <w:r>
        <w:rPr>
          <w:color w:val="000000" w:themeColor="text1"/>
          <w:sz w:val="24"/>
        </w:rPr>
        <w:t xml:space="preserve"> rates from its monetary policy announcement.</w:t>
      </w:r>
    </w:p>
    <w:p>
      <w:pPr>
        <w:pStyle w:val="30"/>
        <w:spacing w:before="156"/>
        <w:ind w:firstLine="0" w:firstLineChars="0"/>
        <w:rPr>
          <w:rFonts w:ascii="宋体" w:cstheme="minorBidi"/>
          <w:color w:val="000000"/>
          <w:sz w:val="24"/>
          <w:szCs w:val="24"/>
        </w:rPr>
      </w:pPr>
      <w:r>
        <w:rPr>
          <w:color w:val="000000"/>
          <w:sz w:val="24"/>
          <w:szCs w:val="24"/>
        </w:rPr>
        <w:t xml:space="preserve">The Bank of Japan (BOJ) announced on January 31, March 16, April 27, and June 16 that it will continue its negative interest-rate policy and will maintain the current size of its asset purchases. In the meantime, it will continue to keep the yield of 10-year government bonds near zero through yield curve control. On April 11, Haruhiko Kuroda, governor of the BOJ, at a meeting of the Japanese Diet provided details for the first time about exiting the quantitative easing, noting that the level of the interest rate and the size of the balance sheet will be the primary </w:t>
      </w:r>
      <w:r>
        <w:rPr>
          <w:rFonts w:hint="eastAsia"/>
          <w:color w:val="000000"/>
          <w:sz w:val="24"/>
          <w:szCs w:val="24"/>
        </w:rPr>
        <w:t xml:space="preserve">targets </w:t>
      </w:r>
      <w:r>
        <w:rPr>
          <w:color w:val="000000"/>
          <w:sz w:val="24"/>
          <w:szCs w:val="24"/>
        </w:rPr>
        <w:t xml:space="preserve">of its exit strategies.    </w:t>
      </w:r>
    </w:p>
    <w:p>
      <w:pPr>
        <w:pStyle w:val="30"/>
        <w:spacing w:before="156"/>
        <w:ind w:firstLine="0" w:firstLineChars="0"/>
        <w:rPr>
          <w:rFonts w:ascii="宋体" w:cstheme="minorBidi"/>
          <w:color w:val="000000"/>
          <w:sz w:val="24"/>
          <w:szCs w:val="24"/>
        </w:rPr>
      </w:pPr>
      <w:r>
        <w:rPr>
          <w:color w:val="000000"/>
          <w:sz w:val="24"/>
          <w:szCs w:val="24"/>
        </w:rPr>
        <w:t>The BOE decided on March 16 and June 15 to keep</w:t>
      </w:r>
      <w:r>
        <w:rPr>
          <w:rFonts w:hint="eastAsia"/>
          <w:color w:val="000000"/>
          <w:sz w:val="24"/>
          <w:szCs w:val="24"/>
        </w:rPr>
        <w:t xml:space="preserve"> unchanged </w:t>
      </w:r>
      <w:r>
        <w:rPr>
          <w:color w:val="000000"/>
          <w:sz w:val="24"/>
          <w:szCs w:val="24"/>
        </w:rPr>
        <w:t>the benchmark rate at 0.25 percent</w:t>
      </w:r>
      <w:r>
        <w:rPr>
          <w:rFonts w:hint="eastAsia"/>
          <w:color w:val="000000"/>
          <w:sz w:val="24"/>
          <w:szCs w:val="24"/>
        </w:rPr>
        <w:t>, t</w:t>
      </w:r>
      <w:r>
        <w:rPr>
          <w:color w:val="000000"/>
          <w:sz w:val="24"/>
          <w:szCs w:val="24"/>
        </w:rPr>
        <w:t>he size of its asset purchase scheme</w:t>
      </w:r>
      <w:r>
        <w:rPr>
          <w:rFonts w:hint="eastAsia"/>
          <w:color w:val="000000"/>
          <w:sz w:val="24"/>
          <w:szCs w:val="24"/>
        </w:rPr>
        <w:t xml:space="preserve"> </w:t>
      </w:r>
      <w:r>
        <w:rPr>
          <w:color w:val="000000"/>
          <w:sz w:val="24"/>
          <w:szCs w:val="24"/>
        </w:rPr>
        <w:t>at GBP 435 billion, and corporate bond purchases</w:t>
      </w:r>
      <w:r>
        <w:rPr>
          <w:rFonts w:hint="eastAsia"/>
          <w:color w:val="000000"/>
          <w:sz w:val="24"/>
          <w:szCs w:val="24"/>
        </w:rPr>
        <w:t xml:space="preserve"> at </w:t>
      </w:r>
      <w:r>
        <w:rPr>
          <w:color w:val="000000"/>
          <w:sz w:val="24"/>
          <w:szCs w:val="24"/>
        </w:rPr>
        <w:t>GBP 10 billion in an effort to meet its inflation target and to sustain employment and economic growth. In the face of rising inflation triggered by the weakening pound, the BOE indicated that it will continue to closely monitor economic developments and stand ready to respond to any changes in the economic outlook so as to ensure that inflation returns to the 2 percent target.</w:t>
      </w:r>
    </w:p>
    <w:p>
      <w:pPr>
        <w:pStyle w:val="30"/>
        <w:spacing w:before="156"/>
        <w:ind w:firstLine="0" w:firstLineChars="0"/>
        <w:rPr>
          <w:rFonts w:ascii="宋体" w:cstheme="minorBidi"/>
          <w:color w:val="000000"/>
          <w:sz w:val="24"/>
          <w:szCs w:val="24"/>
        </w:rPr>
      </w:pPr>
      <w:r>
        <w:rPr>
          <w:color w:val="000000"/>
          <w:sz w:val="24"/>
          <w:szCs w:val="24"/>
        </w:rPr>
        <w:t>Monetary policies in the emerging market economies diverged slightly. On the one hand, to address issues such as currency depreciation, capital outflows, and inflationary pressures, the Bank of Mexico raised its benchmark rate on four occasions to 7.00 percent, namely, on February 9 by 50 bps, and on March 30, May 18, and June 22 each by 25 bps. On the other hand, some economies further eased their monetary policies to boost economic growth. The Central Bank of the Russian Federation cut its key rate by 25 bps, 50 bps, and 25 bps on March 2</w:t>
      </w:r>
      <w:r>
        <w:rPr>
          <w:rFonts w:hint="eastAsia"/>
          <w:color w:val="000000"/>
          <w:sz w:val="24"/>
          <w:szCs w:val="24"/>
        </w:rPr>
        <w:t xml:space="preserve">4, </w:t>
      </w:r>
      <w:r>
        <w:rPr>
          <w:color w:val="000000"/>
          <w:sz w:val="24"/>
          <w:szCs w:val="24"/>
        </w:rPr>
        <w:t xml:space="preserve">April 28, </w:t>
      </w:r>
      <w:r>
        <w:rPr>
          <w:rFonts w:hint="eastAsia"/>
          <w:color w:val="000000"/>
          <w:sz w:val="24"/>
          <w:szCs w:val="24"/>
        </w:rPr>
        <w:t xml:space="preserve">and </w:t>
      </w:r>
      <w:r>
        <w:rPr>
          <w:color w:val="000000"/>
          <w:sz w:val="24"/>
          <w:szCs w:val="24"/>
        </w:rPr>
        <w:t>June 16</w:t>
      </w:r>
      <w:r>
        <w:rPr>
          <w:rFonts w:hint="eastAsia"/>
          <w:color w:val="000000"/>
          <w:sz w:val="24"/>
          <w:szCs w:val="24"/>
        </w:rPr>
        <w:t xml:space="preserve"> respectively </w:t>
      </w:r>
      <w:r>
        <w:rPr>
          <w:color w:val="000000"/>
          <w:sz w:val="24"/>
          <w:szCs w:val="24"/>
        </w:rPr>
        <w:t xml:space="preserve">to 9.00 percent. The Central Bank of Brazil </w:t>
      </w:r>
      <w:r>
        <w:rPr>
          <w:rFonts w:hint="eastAsia"/>
          <w:color w:val="000000"/>
          <w:sz w:val="24"/>
          <w:szCs w:val="24"/>
        </w:rPr>
        <w:t>cut</w:t>
      </w:r>
      <w:r>
        <w:rPr>
          <w:color w:val="000000"/>
          <w:sz w:val="24"/>
          <w:szCs w:val="24"/>
        </w:rPr>
        <w:t xml:space="preserve"> its policy rate by 75 bps, 75 bps, 100 bps, and 100 bps on January 11, February 22, April 12, and May 31 respectively to 10.25 percent.</w:t>
      </w:r>
      <w:r>
        <w:rPr>
          <w:color w:val="FF0000"/>
          <w:sz w:val="24"/>
          <w:szCs w:val="24"/>
        </w:rPr>
        <w:t xml:space="preserve"> </w:t>
      </w:r>
      <w:r>
        <w:rPr>
          <w:color w:val="000000"/>
          <w:sz w:val="24"/>
          <w:szCs w:val="24"/>
        </w:rPr>
        <w:t xml:space="preserve"> </w:t>
      </w:r>
    </w:p>
    <w:p>
      <w:pPr>
        <w:pStyle w:val="30"/>
        <w:spacing w:before="156"/>
        <w:ind w:firstLine="0" w:firstLineChars="0"/>
        <w:rPr>
          <w:rFonts w:ascii="宋体" w:cstheme="minorBidi"/>
          <w:b/>
          <w:bCs/>
          <w:color w:val="000000"/>
          <w:sz w:val="24"/>
          <w:szCs w:val="24"/>
        </w:rPr>
      </w:pPr>
      <w:r>
        <w:rPr>
          <w:b/>
          <w:bCs/>
          <w:color w:val="000000"/>
          <w:sz w:val="24"/>
          <w:szCs w:val="24"/>
        </w:rPr>
        <w:t>4. The global economic outlook and key risks</w:t>
      </w:r>
    </w:p>
    <w:p>
      <w:pPr>
        <w:pStyle w:val="30"/>
        <w:spacing w:before="156"/>
        <w:ind w:firstLine="0" w:firstLineChars="0"/>
        <w:rPr>
          <w:rFonts w:ascii="宋体" w:cstheme="minorBidi"/>
          <w:color w:val="000000"/>
          <w:kern w:val="0"/>
          <w:sz w:val="24"/>
          <w:szCs w:val="24"/>
        </w:rPr>
      </w:pPr>
      <w:r>
        <w:rPr>
          <w:color w:val="000000"/>
          <w:sz w:val="24"/>
          <w:szCs w:val="24"/>
        </w:rPr>
        <w:t>Monetary policy normalization in the major economies will pose challenges to the global economy and to the financial markets</w:t>
      </w:r>
      <w:r>
        <w:rPr>
          <w:color w:val="000000"/>
          <w:kern w:val="0"/>
          <w:sz w:val="24"/>
          <w:szCs w:val="24"/>
        </w:rPr>
        <w:t xml:space="preserve">. Although the global economy is recovering, the deep-rooted impact of the global financial crisis has not been fully mitigated. Given the stubbornly high debt levels in many countries, it remains questionable whether the recovery will continue after the monetary policy stance is reversed. Downside risks should not be ignored. </w:t>
      </w:r>
      <w:r>
        <w:rPr>
          <w:rFonts w:hint="eastAsia"/>
          <w:color w:val="000000"/>
          <w:kern w:val="0"/>
          <w:sz w:val="24"/>
          <w:szCs w:val="24"/>
        </w:rPr>
        <w:t>While</w:t>
      </w:r>
      <w:r>
        <w:rPr>
          <w:color w:val="000000"/>
          <w:kern w:val="0"/>
          <w:sz w:val="24"/>
          <w:szCs w:val="24"/>
        </w:rPr>
        <w:t xml:space="preserve"> the current financial market valuation is high and market volatility is low</w:t>
      </w:r>
      <w:r>
        <w:rPr>
          <w:rFonts w:hint="eastAsia"/>
          <w:color w:val="000000"/>
          <w:kern w:val="0"/>
          <w:sz w:val="24"/>
          <w:szCs w:val="24"/>
        </w:rPr>
        <w:t xml:space="preserve">, </w:t>
      </w:r>
      <w:r>
        <w:rPr>
          <w:color w:val="000000"/>
          <w:kern w:val="0"/>
          <w:sz w:val="24"/>
          <w:szCs w:val="24"/>
        </w:rPr>
        <w:t xml:space="preserve">the </w:t>
      </w:r>
      <w:r>
        <w:rPr>
          <w:rFonts w:hint="eastAsia"/>
          <w:color w:val="000000"/>
          <w:kern w:val="0"/>
          <w:sz w:val="24"/>
          <w:szCs w:val="24"/>
        </w:rPr>
        <w:t>p</w:t>
      </w:r>
      <w:r>
        <w:rPr>
          <w:color w:val="000000"/>
          <w:kern w:val="0"/>
          <w:sz w:val="24"/>
          <w:szCs w:val="24"/>
        </w:rPr>
        <w:t>robability of financial market adjustments will increase if the pace of monetary policy normalization is too rapid, which will have a certain impact on financial stability as interest rates may rise and asset prices may drop sharply. In addition, the emerging market economies will probably once again suffer from negative spillovers.</w:t>
      </w:r>
    </w:p>
    <w:p>
      <w:pPr>
        <w:pStyle w:val="30"/>
        <w:spacing w:before="156"/>
        <w:ind w:firstLine="0" w:firstLineChars="0"/>
        <w:rPr>
          <w:rFonts w:ascii="宋体" w:cstheme="minorBidi"/>
          <w:color w:val="000000"/>
          <w:kern w:val="0"/>
          <w:sz w:val="24"/>
          <w:szCs w:val="24"/>
        </w:rPr>
      </w:pPr>
      <w:r>
        <w:rPr>
          <w:color w:val="000000"/>
          <w:kern w:val="0"/>
          <w:sz w:val="24"/>
          <w:szCs w:val="24"/>
        </w:rPr>
        <w:t xml:space="preserve">Uncertainties remain over medium and long-term consumption and investment growth. The leverage ratio of the non-financial sector is still on the rise throughout the world. If interest rates rise due to monetary policy tightening, debt-servicing pressures on the household sector may grow, which will dampen consumption expenditures. In recent years, </w:t>
      </w:r>
      <w:r>
        <w:rPr>
          <w:color w:val="000000" w:themeColor="text1"/>
          <w:kern w:val="0"/>
          <w:sz w:val="24"/>
          <w:szCs w:val="24"/>
        </w:rPr>
        <w:t>the labor share of income has</w:t>
      </w:r>
      <w:r>
        <w:rPr>
          <w:color w:val="000000"/>
          <w:kern w:val="0"/>
          <w:sz w:val="24"/>
          <w:szCs w:val="24"/>
        </w:rPr>
        <w:t xml:space="preserve"> declined in </w:t>
      </w:r>
      <w:r>
        <w:rPr>
          <w:rFonts w:hint="eastAsia"/>
          <w:color w:val="000000"/>
          <w:kern w:val="0"/>
          <w:sz w:val="24"/>
          <w:szCs w:val="24"/>
        </w:rPr>
        <w:t>both</w:t>
      </w:r>
      <w:r>
        <w:rPr>
          <w:color w:val="000000"/>
          <w:kern w:val="0"/>
          <w:sz w:val="24"/>
          <w:szCs w:val="24"/>
        </w:rPr>
        <w:t xml:space="preserve"> the</w:t>
      </w:r>
      <w:r>
        <w:rPr>
          <w:rFonts w:hint="eastAsia"/>
          <w:color w:val="000000"/>
          <w:kern w:val="0"/>
          <w:sz w:val="24"/>
          <w:szCs w:val="24"/>
        </w:rPr>
        <w:t xml:space="preserve"> </w:t>
      </w:r>
      <w:r>
        <w:rPr>
          <w:color w:val="000000"/>
          <w:kern w:val="0"/>
          <w:sz w:val="24"/>
          <w:szCs w:val="24"/>
        </w:rPr>
        <w:t>advanced and the emerging market economies. The persistently low income of middle- and low-skilled labor has led to growing income disparities, which may further undermine the role of consumption in driving an economic recovery. Given slower gains in productivity, an aging population, higher political uncertainties,</w:t>
      </w:r>
      <w:r>
        <w:rPr>
          <w:rFonts w:hint="eastAsia"/>
          <w:color w:val="000000"/>
          <w:kern w:val="0"/>
          <w:sz w:val="24"/>
          <w:szCs w:val="24"/>
        </w:rPr>
        <w:t xml:space="preserve"> </w:t>
      </w:r>
      <w:r>
        <w:rPr>
          <w:color w:val="000000"/>
          <w:kern w:val="0"/>
          <w:sz w:val="24"/>
          <w:szCs w:val="24"/>
        </w:rPr>
        <w:t>and heavily-indebted enterprises, the prospects for global investments are by no means rosy.</w:t>
      </w:r>
    </w:p>
    <w:p>
      <w:pPr>
        <w:pStyle w:val="30"/>
        <w:spacing w:before="156"/>
        <w:ind w:firstLine="0" w:firstLineChars="0"/>
        <w:rPr>
          <w:color w:val="000000"/>
          <w:kern w:val="0"/>
          <w:sz w:val="24"/>
          <w:szCs w:val="24"/>
        </w:rPr>
      </w:pPr>
      <w:r>
        <w:rPr>
          <w:color w:val="000000"/>
          <w:kern w:val="0"/>
          <w:sz w:val="24"/>
          <w:szCs w:val="24"/>
        </w:rPr>
        <w:t>Risks from de-globalization and protectionism in trade and investment still need to be closely monitored. Once escalated, protectionism will slow down or even reverse global policy coordination and economic globalization, undermine trade liberalization, and obstruct labor and capital flows. It may also result in unsustainable policies, weigh on global productivity and economic growth</w:t>
      </w:r>
      <w:r>
        <w:rPr>
          <w:rFonts w:ascii="宋体" w:cs="宋体"/>
          <w:color w:val="000000"/>
          <w:kern w:val="0"/>
          <w:sz w:val="24"/>
          <w:szCs w:val="24"/>
        </w:rPr>
        <w:t>,</w:t>
      </w:r>
      <w:r>
        <w:rPr>
          <w:color w:val="000000"/>
          <w:kern w:val="0"/>
          <w:sz w:val="24"/>
          <w:szCs w:val="24"/>
        </w:rPr>
        <w:t xml:space="preserve"> and aggravate financial market turbulence.</w:t>
      </w:r>
    </w:p>
    <w:p>
      <w:pPr>
        <w:pStyle w:val="30"/>
        <w:spacing w:before="156"/>
        <w:ind w:firstLine="0" w:firstLineChars="0"/>
        <w:rPr>
          <w:color w:val="000000"/>
          <w:kern w:val="0"/>
          <w:sz w:val="24"/>
          <w:szCs w:val="24"/>
        </w:rPr>
      </w:pPr>
      <w:bookmarkStart w:id="150" w:name="_Toc484425040"/>
      <w:r>
        <w:rPr>
          <w:color w:val="000000"/>
          <w:kern w:val="0"/>
          <w:sz w:val="24"/>
          <w:szCs w:val="24"/>
        </w:rPr>
        <w:t>In addition, rising geopolitical tensions and political uncertainties will also have major implications for the global economy and financial markets.</w:t>
      </w:r>
      <w:bookmarkEnd w:id="150"/>
      <w:r>
        <w:rPr>
          <w:color w:val="000000"/>
          <w:kern w:val="0"/>
          <w:sz w:val="24"/>
          <w:szCs w:val="24"/>
        </w:rPr>
        <w:t xml:space="preserve"> </w:t>
      </w:r>
    </w:p>
    <w:p>
      <w:pPr>
        <w:pStyle w:val="3"/>
        <w:numPr>
          <w:ilvl w:val="0"/>
          <w:numId w:val="0"/>
        </w:numPr>
        <w:jc w:val="both"/>
        <w:rPr>
          <w:color w:val="000000"/>
          <w:szCs w:val="24"/>
          <w:lang w:eastAsia="zh-CN"/>
        </w:rPr>
      </w:pPr>
      <w:bookmarkStart w:id="151" w:name="_Toc476916152"/>
      <w:bookmarkStart w:id="152" w:name="_Toc484425041"/>
    </w:p>
    <w:p>
      <w:pPr>
        <w:pStyle w:val="3"/>
        <w:numPr>
          <w:ilvl w:val="0"/>
          <w:numId w:val="0"/>
        </w:numPr>
        <w:jc w:val="both"/>
        <w:rPr>
          <w:color w:val="000000"/>
          <w:szCs w:val="24"/>
          <w:lang w:eastAsia="zh-CN"/>
        </w:rPr>
      </w:pPr>
      <w:bookmarkStart w:id="153" w:name="_Toc492904388"/>
      <w:r>
        <w:rPr>
          <w:color w:val="000000"/>
          <w:szCs w:val="24"/>
        </w:rPr>
        <w:t>II. Macro-economic Developments in China</w:t>
      </w:r>
      <w:bookmarkEnd w:id="151"/>
      <w:bookmarkEnd w:id="152"/>
      <w:bookmarkEnd w:id="153"/>
    </w:p>
    <w:p>
      <w:pPr>
        <w:autoSpaceDE w:val="0"/>
        <w:autoSpaceDN w:val="0"/>
        <w:adjustRightInd w:val="0"/>
        <w:rPr>
          <w:sz w:val="24"/>
        </w:rPr>
      </w:pPr>
      <w:r>
        <w:rPr>
          <w:sz w:val="24"/>
        </w:rPr>
        <w:t>During</w:t>
      </w:r>
      <w:r>
        <w:rPr>
          <w:rFonts w:hint="eastAsia"/>
          <w:sz w:val="24"/>
        </w:rPr>
        <w:t xml:space="preserve"> the first half of 2017, </w:t>
      </w:r>
      <w:r>
        <w:rPr>
          <w:sz w:val="24"/>
        </w:rPr>
        <w:t xml:space="preserve">the </w:t>
      </w:r>
      <w:r>
        <w:rPr>
          <w:rFonts w:hint="eastAsia"/>
          <w:sz w:val="24"/>
        </w:rPr>
        <w:t>Chinese economy witnessed sound performance, with in-depth promotion of supply-side structural reform</w:t>
      </w:r>
      <w:r>
        <w:rPr>
          <w:sz w:val="24"/>
        </w:rPr>
        <w:t>s</w:t>
      </w:r>
      <w:r>
        <w:rPr>
          <w:rFonts w:hint="eastAsia"/>
          <w:sz w:val="24"/>
        </w:rPr>
        <w:t>, acceleration of upgrad</w:t>
      </w:r>
      <w:r>
        <w:rPr>
          <w:sz w:val="24"/>
        </w:rPr>
        <w:t>ing</w:t>
      </w:r>
      <w:r>
        <w:rPr>
          <w:rFonts w:hint="eastAsia"/>
          <w:sz w:val="24"/>
        </w:rPr>
        <w:t xml:space="preserve"> and </w:t>
      </w:r>
      <w:r>
        <w:rPr>
          <w:sz w:val="24"/>
        </w:rPr>
        <w:t>transformation</w:t>
      </w:r>
      <w:r>
        <w:rPr>
          <w:rFonts w:hint="eastAsia"/>
          <w:sz w:val="24"/>
        </w:rPr>
        <w:t xml:space="preserve"> of </w:t>
      </w:r>
      <w:r>
        <w:rPr>
          <w:sz w:val="24"/>
        </w:rPr>
        <w:t xml:space="preserve">the </w:t>
      </w:r>
      <w:r>
        <w:rPr>
          <w:rFonts w:hint="eastAsia"/>
          <w:sz w:val="24"/>
        </w:rPr>
        <w:t>growth model, and improved stability, equilibrium</w:t>
      </w:r>
      <w:r>
        <w:rPr>
          <w:sz w:val="24"/>
        </w:rPr>
        <w:t>,</w:t>
      </w:r>
      <w:r>
        <w:rPr>
          <w:rFonts w:hint="eastAsia"/>
          <w:sz w:val="24"/>
        </w:rPr>
        <w:t xml:space="preserve"> and </w:t>
      </w:r>
      <w:r>
        <w:rPr>
          <w:sz w:val="24"/>
        </w:rPr>
        <w:t>sustainability</w:t>
      </w:r>
      <w:r>
        <w:rPr>
          <w:rFonts w:hint="eastAsia"/>
          <w:sz w:val="24"/>
        </w:rPr>
        <w:t xml:space="preserve"> of economic development. </w:t>
      </w:r>
      <w:r>
        <w:rPr>
          <w:sz w:val="24"/>
        </w:rPr>
        <w:t>C</w:t>
      </w:r>
      <w:r>
        <w:rPr>
          <w:rFonts w:hint="eastAsia"/>
          <w:sz w:val="24"/>
        </w:rPr>
        <w:t>onsumption demand contributed significantly to economic growth, investment growth remained stable, and export</w:t>
      </w:r>
      <w:r>
        <w:rPr>
          <w:sz w:val="24"/>
        </w:rPr>
        <w:t>s</w:t>
      </w:r>
      <w:r>
        <w:rPr>
          <w:rFonts w:hint="eastAsia"/>
          <w:sz w:val="24"/>
        </w:rPr>
        <w:t xml:space="preserve"> and import</w:t>
      </w:r>
      <w:r>
        <w:rPr>
          <w:sz w:val="24"/>
        </w:rPr>
        <w:t>s</w:t>
      </w:r>
      <w:r>
        <w:rPr>
          <w:rFonts w:hint="eastAsia"/>
          <w:sz w:val="24"/>
        </w:rPr>
        <w:t xml:space="preserve"> grew rapidly. Industrial production accelerated, </w:t>
      </w:r>
      <w:r>
        <w:rPr>
          <w:sz w:val="24"/>
        </w:rPr>
        <w:t xml:space="preserve">with </w:t>
      </w:r>
      <w:r>
        <w:rPr>
          <w:rFonts w:hint="eastAsia"/>
          <w:sz w:val="24"/>
        </w:rPr>
        <w:t>tertiary industry account</w:t>
      </w:r>
      <w:r>
        <w:rPr>
          <w:sz w:val="24"/>
        </w:rPr>
        <w:t>ing</w:t>
      </w:r>
      <w:r>
        <w:rPr>
          <w:rFonts w:hint="eastAsia"/>
          <w:sz w:val="24"/>
        </w:rPr>
        <w:t xml:space="preserve"> for 54.1</w:t>
      </w:r>
      <w:r>
        <w:rPr>
          <w:sz w:val="24"/>
        </w:rPr>
        <w:t xml:space="preserve"> percent</w:t>
      </w:r>
      <w:r>
        <w:rPr>
          <w:rFonts w:hint="eastAsia"/>
          <w:sz w:val="24"/>
        </w:rPr>
        <w:t xml:space="preserve"> of GDP, 14 percentage points higher than </w:t>
      </w:r>
      <w:r>
        <w:rPr>
          <w:sz w:val="24"/>
        </w:rPr>
        <w:t xml:space="preserve">that of </w:t>
      </w:r>
      <w:r>
        <w:rPr>
          <w:rFonts w:hint="eastAsia"/>
          <w:sz w:val="24"/>
        </w:rPr>
        <w:t>secondary industry. Employment improved slightly and consumer price</w:t>
      </w:r>
      <w:r>
        <w:rPr>
          <w:sz w:val="24"/>
        </w:rPr>
        <w:t>s</w:t>
      </w:r>
      <w:r>
        <w:rPr>
          <w:rFonts w:hint="eastAsia"/>
          <w:sz w:val="24"/>
        </w:rPr>
        <w:t xml:space="preserve"> rose moderately. </w:t>
      </w:r>
      <w:r>
        <w:rPr>
          <w:sz w:val="24"/>
        </w:rPr>
        <w:t>During</w:t>
      </w:r>
      <w:r>
        <w:rPr>
          <w:rFonts w:hint="eastAsia"/>
          <w:sz w:val="24"/>
        </w:rPr>
        <w:t xml:space="preserve"> the first half of 2017,</w:t>
      </w:r>
      <w:r>
        <w:rPr>
          <w:sz w:val="24"/>
        </w:rPr>
        <w:t xml:space="preserve"> total GDP registered RMB </w:t>
      </w:r>
      <w:r>
        <w:rPr>
          <w:rFonts w:hint="eastAsia"/>
          <w:sz w:val="24"/>
        </w:rPr>
        <w:t>38.15</w:t>
      </w:r>
      <w:r>
        <w:rPr>
          <w:sz w:val="24"/>
        </w:rPr>
        <w:t xml:space="preserve"> trillion, </w:t>
      </w:r>
      <w:r>
        <w:rPr>
          <w:rFonts w:hint="eastAsia"/>
          <w:sz w:val="24"/>
        </w:rPr>
        <w:t xml:space="preserve">up by </w:t>
      </w:r>
      <w:r>
        <w:rPr>
          <w:sz w:val="24"/>
        </w:rPr>
        <w:t>6.9 percent year on year and up by 1.</w:t>
      </w:r>
      <w:r>
        <w:rPr>
          <w:rFonts w:hint="eastAsia"/>
          <w:sz w:val="24"/>
        </w:rPr>
        <w:t>7</w:t>
      </w:r>
      <w:r>
        <w:rPr>
          <w:sz w:val="24"/>
        </w:rPr>
        <w:t xml:space="preserve"> percent quarter on quarter in comparable terms. The CPI gained 1.4 percent year on year and the trade surplus stood at RMB </w:t>
      </w:r>
      <w:r>
        <w:rPr>
          <w:rFonts w:hint="eastAsia"/>
          <w:sz w:val="24"/>
        </w:rPr>
        <w:t>1.2782 tr</w:t>
      </w:r>
      <w:r>
        <w:rPr>
          <w:sz w:val="24"/>
        </w:rPr>
        <w:t>illion.</w:t>
      </w:r>
    </w:p>
    <w:p>
      <w:pPr>
        <w:autoSpaceDE w:val="0"/>
        <w:autoSpaceDN w:val="0"/>
        <w:adjustRightInd w:val="0"/>
        <w:rPr>
          <w:sz w:val="24"/>
        </w:rPr>
      </w:pPr>
    </w:p>
    <w:p>
      <w:pPr>
        <w:rPr>
          <w:b/>
          <w:bCs/>
          <w:sz w:val="24"/>
        </w:rPr>
      </w:pPr>
      <w:r>
        <w:rPr>
          <w:b/>
          <w:bCs/>
          <w:sz w:val="24"/>
        </w:rPr>
        <w:t xml:space="preserve">1. Consumption grew </w:t>
      </w:r>
      <w:r>
        <w:rPr>
          <w:rFonts w:hint="eastAsia"/>
          <w:b/>
          <w:bCs/>
          <w:sz w:val="24"/>
        </w:rPr>
        <w:t>soundly</w:t>
      </w:r>
      <w:r>
        <w:rPr>
          <w:b/>
          <w:bCs/>
          <w:sz w:val="24"/>
        </w:rPr>
        <w:t xml:space="preserve">, investment growth </w:t>
      </w:r>
      <w:r>
        <w:rPr>
          <w:rFonts w:hint="eastAsia"/>
          <w:b/>
          <w:bCs/>
          <w:sz w:val="24"/>
        </w:rPr>
        <w:t>remained stable</w:t>
      </w:r>
      <w:r>
        <w:rPr>
          <w:b/>
          <w:bCs/>
          <w:sz w:val="24"/>
        </w:rPr>
        <w:t xml:space="preserve">, and </w:t>
      </w:r>
      <w:r>
        <w:rPr>
          <w:rFonts w:hint="eastAsia"/>
          <w:b/>
          <w:bCs/>
          <w:sz w:val="24"/>
        </w:rPr>
        <w:t>import</w:t>
      </w:r>
      <w:r>
        <w:rPr>
          <w:b/>
          <w:bCs/>
          <w:sz w:val="24"/>
        </w:rPr>
        <w:t>s</w:t>
      </w:r>
      <w:r>
        <w:rPr>
          <w:rFonts w:hint="eastAsia"/>
          <w:b/>
          <w:bCs/>
          <w:sz w:val="24"/>
        </w:rPr>
        <w:t xml:space="preserve"> and export</w:t>
      </w:r>
      <w:r>
        <w:rPr>
          <w:b/>
          <w:bCs/>
          <w:sz w:val="24"/>
        </w:rPr>
        <w:t>s</w:t>
      </w:r>
      <w:r>
        <w:rPr>
          <w:rFonts w:hint="eastAsia"/>
          <w:b/>
          <w:bCs/>
          <w:sz w:val="24"/>
        </w:rPr>
        <w:t xml:space="preserve"> expanded rapidly</w:t>
      </w:r>
    </w:p>
    <w:p>
      <w:pPr>
        <w:autoSpaceDE w:val="0"/>
        <w:autoSpaceDN w:val="0"/>
        <w:adjustRightInd w:val="0"/>
        <w:rPr>
          <w:sz w:val="24"/>
        </w:rPr>
      </w:pPr>
      <w:r>
        <w:rPr>
          <w:sz w:val="24"/>
        </w:rPr>
        <w:t xml:space="preserve">The income of </w:t>
      </w:r>
      <w:r>
        <w:rPr>
          <w:rFonts w:hint="eastAsia"/>
          <w:sz w:val="24"/>
        </w:rPr>
        <w:t xml:space="preserve">rural and urban </w:t>
      </w:r>
      <w:r>
        <w:rPr>
          <w:sz w:val="24"/>
        </w:rPr>
        <w:t>residents</w:t>
      </w:r>
      <w:r>
        <w:rPr>
          <w:rFonts w:hint="eastAsia"/>
          <w:sz w:val="24"/>
        </w:rPr>
        <w:t xml:space="preserve"> grew rapidly and </w:t>
      </w:r>
      <w:r>
        <w:rPr>
          <w:sz w:val="24"/>
        </w:rPr>
        <w:t>consumption</w:t>
      </w:r>
      <w:r>
        <w:rPr>
          <w:rFonts w:hint="eastAsia"/>
          <w:sz w:val="24"/>
        </w:rPr>
        <w:t xml:space="preserve"> expanded soundly</w:t>
      </w:r>
      <w:r>
        <w:rPr>
          <w:sz w:val="24"/>
        </w:rPr>
        <w:t>. During</w:t>
      </w:r>
      <w:r>
        <w:rPr>
          <w:rFonts w:hint="eastAsia"/>
          <w:sz w:val="24"/>
        </w:rPr>
        <w:t xml:space="preserve"> the first half of </w:t>
      </w:r>
      <w:r>
        <w:rPr>
          <w:sz w:val="24"/>
        </w:rPr>
        <w:t xml:space="preserve">2017, the per capita disposable income of urban residents registered RMB </w:t>
      </w:r>
      <w:r>
        <w:rPr>
          <w:rFonts w:hint="eastAsia"/>
          <w:sz w:val="24"/>
        </w:rPr>
        <w:t>12,932</w:t>
      </w:r>
      <w:r>
        <w:rPr>
          <w:sz w:val="24"/>
        </w:rPr>
        <w:t>, up by 8.</w:t>
      </w:r>
      <w:r>
        <w:rPr>
          <w:rFonts w:hint="eastAsia"/>
          <w:sz w:val="24"/>
        </w:rPr>
        <w:t>8</w:t>
      </w:r>
      <w:r>
        <w:rPr>
          <w:sz w:val="24"/>
        </w:rPr>
        <w:t xml:space="preserve"> percent and 7</w:t>
      </w:r>
      <w:r>
        <w:rPr>
          <w:rFonts w:hint="eastAsia"/>
          <w:sz w:val="24"/>
        </w:rPr>
        <w:t>.3</w:t>
      </w:r>
      <w:r>
        <w:rPr>
          <w:sz w:val="24"/>
        </w:rPr>
        <w:t xml:space="preserve"> percent year on year in nominal terms and real terms respectively. Among this, the per capita disposable income of urban residents </w:t>
      </w:r>
      <w:r>
        <w:rPr>
          <w:rFonts w:hint="eastAsia"/>
          <w:sz w:val="24"/>
        </w:rPr>
        <w:t xml:space="preserve">registered RMB 18,332, up </w:t>
      </w:r>
      <w:r>
        <w:rPr>
          <w:sz w:val="24"/>
        </w:rPr>
        <w:t xml:space="preserve">by </w:t>
      </w:r>
      <w:r>
        <w:rPr>
          <w:rFonts w:hint="eastAsia"/>
          <w:sz w:val="24"/>
        </w:rPr>
        <w:t>8.1</w:t>
      </w:r>
      <w:r>
        <w:rPr>
          <w:sz w:val="24"/>
        </w:rPr>
        <w:t xml:space="preserve"> percent in nominal terms and up by </w:t>
      </w:r>
      <w:r>
        <w:rPr>
          <w:rFonts w:hint="eastAsia"/>
          <w:sz w:val="24"/>
        </w:rPr>
        <w:t>6.5</w:t>
      </w:r>
      <w:r>
        <w:rPr>
          <w:sz w:val="24"/>
        </w:rPr>
        <w:t xml:space="preserve"> percent in real terms year on year. </w:t>
      </w:r>
      <w:r>
        <w:rPr>
          <w:rFonts w:hint="eastAsia"/>
          <w:sz w:val="24"/>
        </w:rPr>
        <w:t>T</w:t>
      </w:r>
      <w:r>
        <w:rPr>
          <w:sz w:val="24"/>
        </w:rPr>
        <w:t>he per capita disposable income of</w:t>
      </w:r>
      <w:r>
        <w:rPr>
          <w:rFonts w:hint="eastAsia"/>
          <w:sz w:val="24"/>
        </w:rPr>
        <w:t xml:space="preserve"> rural </w:t>
      </w:r>
      <w:r>
        <w:rPr>
          <w:sz w:val="24"/>
        </w:rPr>
        <w:t xml:space="preserve">residents </w:t>
      </w:r>
      <w:r>
        <w:rPr>
          <w:rFonts w:hint="eastAsia"/>
          <w:sz w:val="24"/>
        </w:rPr>
        <w:t xml:space="preserve">registered RMB 6,562, up </w:t>
      </w:r>
      <w:r>
        <w:rPr>
          <w:sz w:val="24"/>
        </w:rPr>
        <w:t xml:space="preserve">by </w:t>
      </w:r>
      <w:r>
        <w:rPr>
          <w:rFonts w:hint="eastAsia"/>
          <w:sz w:val="24"/>
        </w:rPr>
        <w:t>8.5</w:t>
      </w:r>
      <w:r>
        <w:rPr>
          <w:sz w:val="24"/>
        </w:rPr>
        <w:t xml:space="preserve"> percent in nominal terms and up by </w:t>
      </w:r>
      <w:r>
        <w:rPr>
          <w:rFonts w:hint="eastAsia"/>
          <w:sz w:val="24"/>
        </w:rPr>
        <w:t>7</w:t>
      </w:r>
      <w:r>
        <w:rPr>
          <w:sz w:val="24"/>
        </w:rPr>
        <w:t>.</w:t>
      </w:r>
      <w:r>
        <w:rPr>
          <w:rFonts w:hint="eastAsia"/>
          <w:sz w:val="24"/>
        </w:rPr>
        <w:t>4</w:t>
      </w:r>
      <w:r>
        <w:rPr>
          <w:sz w:val="24"/>
        </w:rPr>
        <w:t xml:space="preserve"> percent in real terms year on year. C</w:t>
      </w:r>
      <w:r>
        <w:rPr>
          <w:rFonts w:hint="eastAsia"/>
          <w:sz w:val="24"/>
        </w:rPr>
        <w:t xml:space="preserve">onsumption demand </w:t>
      </w:r>
      <w:r>
        <w:rPr>
          <w:sz w:val="24"/>
        </w:rPr>
        <w:t>remained</w:t>
      </w:r>
      <w:r>
        <w:rPr>
          <w:rFonts w:hint="eastAsia"/>
          <w:sz w:val="24"/>
        </w:rPr>
        <w:t xml:space="preserve"> an important driving force </w:t>
      </w:r>
      <w:r>
        <w:rPr>
          <w:sz w:val="24"/>
        </w:rPr>
        <w:t>behind</w:t>
      </w:r>
      <w:r>
        <w:rPr>
          <w:rFonts w:hint="eastAsia"/>
          <w:sz w:val="24"/>
        </w:rPr>
        <w:t xml:space="preserve"> </w:t>
      </w:r>
      <w:r>
        <w:rPr>
          <w:sz w:val="24"/>
        </w:rPr>
        <w:t>economic</w:t>
      </w:r>
      <w:r>
        <w:rPr>
          <w:rFonts w:hint="eastAsia"/>
          <w:sz w:val="24"/>
        </w:rPr>
        <w:t xml:space="preserve"> growth</w:t>
      </w:r>
      <w:r>
        <w:rPr>
          <w:sz w:val="24"/>
        </w:rPr>
        <w:t>,</w:t>
      </w:r>
      <w:r>
        <w:rPr>
          <w:rFonts w:hint="eastAsia"/>
          <w:sz w:val="24"/>
        </w:rPr>
        <w:t xml:space="preserve"> and final </w:t>
      </w:r>
      <w:r>
        <w:rPr>
          <w:sz w:val="24"/>
        </w:rPr>
        <w:t>consumption</w:t>
      </w:r>
      <w:r>
        <w:rPr>
          <w:rFonts w:hint="eastAsia"/>
          <w:sz w:val="24"/>
        </w:rPr>
        <w:t xml:space="preserve"> contributed 63.4 percent to GDP growth. </w:t>
      </w:r>
      <w:r>
        <w:rPr>
          <w:sz w:val="24"/>
        </w:rPr>
        <w:t>According to the Q</w:t>
      </w:r>
      <w:r>
        <w:rPr>
          <w:rFonts w:hint="eastAsia"/>
          <w:sz w:val="24"/>
        </w:rPr>
        <w:t>2</w:t>
      </w:r>
      <w:r>
        <w:rPr>
          <w:sz w:val="24"/>
        </w:rPr>
        <w:t xml:space="preserve"> </w:t>
      </w:r>
      <w:r>
        <w:rPr>
          <w:i/>
          <w:iCs/>
          <w:sz w:val="24"/>
        </w:rPr>
        <w:t>Urban Depositors’ Survey</w:t>
      </w:r>
      <w:r>
        <w:rPr>
          <w:sz w:val="24"/>
        </w:rPr>
        <w:t xml:space="preserve"> conducted by the People’s Bank of China, </w:t>
      </w:r>
      <w:r>
        <w:rPr>
          <w:rFonts w:hint="eastAsia"/>
          <w:sz w:val="24"/>
        </w:rPr>
        <w:t>c</w:t>
      </w:r>
      <w:r>
        <w:rPr>
          <w:sz w:val="24"/>
        </w:rPr>
        <w:t>onsumer willingness to consume continued to edge up</w:t>
      </w:r>
      <w:r>
        <w:rPr>
          <w:rFonts w:hint="eastAsia"/>
          <w:sz w:val="24"/>
        </w:rPr>
        <w:t xml:space="preserve"> and t</w:t>
      </w:r>
      <w:r>
        <w:rPr>
          <w:sz w:val="24"/>
        </w:rPr>
        <w:t xml:space="preserve">he share of residents inclined to consume </w:t>
      </w:r>
      <w:r>
        <w:rPr>
          <w:rFonts w:hint="eastAsia"/>
          <w:sz w:val="24"/>
        </w:rPr>
        <w:t>posted</w:t>
      </w:r>
      <w:r>
        <w:rPr>
          <w:sz w:val="24"/>
        </w:rPr>
        <w:t xml:space="preserve"> 2</w:t>
      </w:r>
      <w:r>
        <w:rPr>
          <w:rFonts w:hint="eastAsia"/>
          <w:sz w:val="24"/>
        </w:rPr>
        <w:t>5.4</w:t>
      </w:r>
      <w:r>
        <w:rPr>
          <w:sz w:val="24"/>
        </w:rPr>
        <w:t xml:space="preserve"> percent, </w:t>
      </w:r>
      <w:r>
        <w:rPr>
          <w:rFonts w:hint="eastAsia"/>
          <w:sz w:val="24"/>
        </w:rPr>
        <w:t xml:space="preserve">1.7 </w:t>
      </w:r>
      <w:r>
        <w:rPr>
          <w:sz w:val="24"/>
        </w:rPr>
        <w:t xml:space="preserve">percentage points </w:t>
      </w:r>
      <w:r>
        <w:rPr>
          <w:rFonts w:hint="eastAsia"/>
          <w:sz w:val="24"/>
        </w:rPr>
        <w:t xml:space="preserve">and 4.2 percentage points higher than </w:t>
      </w:r>
      <w:r>
        <w:rPr>
          <w:sz w:val="24"/>
        </w:rPr>
        <w:t xml:space="preserve">those in </w:t>
      </w:r>
      <w:r>
        <w:rPr>
          <w:rFonts w:hint="eastAsia"/>
          <w:sz w:val="24"/>
        </w:rPr>
        <w:t xml:space="preserve">Q1 and </w:t>
      </w:r>
      <w:r>
        <w:rPr>
          <w:sz w:val="24"/>
        </w:rPr>
        <w:t xml:space="preserve">in </w:t>
      </w:r>
      <w:r>
        <w:rPr>
          <w:rFonts w:hint="eastAsia"/>
          <w:sz w:val="24"/>
        </w:rPr>
        <w:t>the second quarter of 2016 respectively</w:t>
      </w:r>
      <w:r>
        <w:rPr>
          <w:sz w:val="24"/>
        </w:rPr>
        <w:t xml:space="preserve">. During </w:t>
      </w:r>
      <w:r>
        <w:rPr>
          <w:rFonts w:hint="eastAsia"/>
          <w:sz w:val="24"/>
        </w:rPr>
        <w:t>the first half of 2017</w:t>
      </w:r>
      <w:r>
        <w:rPr>
          <w:sz w:val="24"/>
        </w:rPr>
        <w:t xml:space="preserve">, </w:t>
      </w:r>
      <w:r>
        <w:rPr>
          <w:rFonts w:hint="eastAsia"/>
          <w:sz w:val="24"/>
        </w:rPr>
        <w:t>r</w:t>
      </w:r>
      <w:r>
        <w:rPr>
          <w:sz w:val="24"/>
        </w:rPr>
        <w:t>etail sales rose 10</w:t>
      </w:r>
      <w:r>
        <w:rPr>
          <w:rFonts w:hint="eastAsia"/>
          <w:sz w:val="24"/>
        </w:rPr>
        <w:t>.4</w:t>
      </w:r>
      <w:r>
        <w:rPr>
          <w:sz w:val="24"/>
        </w:rPr>
        <w:t xml:space="preserve"> percent year on year to RMB </w:t>
      </w:r>
      <w:r>
        <w:rPr>
          <w:rFonts w:hint="eastAsia"/>
          <w:sz w:val="24"/>
        </w:rPr>
        <w:t>17.24</w:t>
      </w:r>
      <w:r>
        <w:rPr>
          <w:sz w:val="24"/>
        </w:rPr>
        <w:t xml:space="preserve"> trillion, 0.4 percentage point </w:t>
      </w:r>
      <w:r>
        <w:rPr>
          <w:rFonts w:hint="eastAsia"/>
          <w:sz w:val="24"/>
        </w:rPr>
        <w:t>higher</w:t>
      </w:r>
      <w:r>
        <w:rPr>
          <w:sz w:val="24"/>
        </w:rPr>
        <w:t xml:space="preserve"> than those in </w:t>
      </w:r>
      <w:r>
        <w:rPr>
          <w:rFonts w:hint="eastAsia"/>
          <w:sz w:val="24"/>
        </w:rPr>
        <w:t>Q1</w:t>
      </w:r>
      <w:r>
        <w:rPr>
          <w:sz w:val="24"/>
        </w:rPr>
        <w:t>. Rural retail sales ex</w:t>
      </w:r>
      <w:r>
        <w:rPr>
          <w:rFonts w:hint="eastAsia"/>
          <w:sz w:val="24"/>
        </w:rPr>
        <w:t>panded more rapidly than th</w:t>
      </w:r>
      <w:r>
        <w:rPr>
          <w:sz w:val="24"/>
        </w:rPr>
        <w:t>ose</w:t>
      </w:r>
      <w:r>
        <w:rPr>
          <w:rFonts w:hint="eastAsia"/>
          <w:sz w:val="24"/>
        </w:rPr>
        <w:t xml:space="preserve"> in the urban area</w:t>
      </w:r>
      <w:r>
        <w:rPr>
          <w:sz w:val="24"/>
        </w:rPr>
        <w:t>s</w:t>
      </w:r>
      <w:r>
        <w:rPr>
          <w:rFonts w:hint="eastAsia"/>
          <w:sz w:val="24"/>
        </w:rPr>
        <w:t xml:space="preserve">. </w:t>
      </w:r>
      <w:r>
        <w:rPr>
          <w:sz w:val="24"/>
        </w:rPr>
        <w:t>During</w:t>
      </w:r>
      <w:r>
        <w:rPr>
          <w:rFonts w:hint="eastAsia"/>
          <w:sz w:val="24"/>
        </w:rPr>
        <w:t xml:space="preserve"> the first half of 2017, rural retail sales went</w:t>
      </w:r>
      <w:r>
        <w:rPr>
          <w:sz w:val="24"/>
        </w:rPr>
        <w:t xml:space="preserve"> up by 1</w:t>
      </w:r>
      <w:r>
        <w:rPr>
          <w:rFonts w:hint="eastAsia"/>
          <w:sz w:val="24"/>
        </w:rPr>
        <w:t>2</w:t>
      </w:r>
      <w:r>
        <w:rPr>
          <w:sz w:val="24"/>
        </w:rPr>
        <w:t>.</w:t>
      </w:r>
      <w:r>
        <w:rPr>
          <w:rFonts w:hint="eastAsia"/>
          <w:sz w:val="24"/>
        </w:rPr>
        <w:t>3</w:t>
      </w:r>
      <w:r>
        <w:rPr>
          <w:sz w:val="24"/>
        </w:rPr>
        <w:t xml:space="preserve"> percent year on year, which was </w:t>
      </w:r>
      <w:r>
        <w:rPr>
          <w:rFonts w:hint="eastAsia"/>
          <w:sz w:val="24"/>
        </w:rPr>
        <w:t>2.2</w:t>
      </w:r>
      <w:r>
        <w:rPr>
          <w:sz w:val="24"/>
        </w:rPr>
        <w:t xml:space="preserve"> percentage point</w:t>
      </w:r>
      <w:r>
        <w:rPr>
          <w:rFonts w:hint="eastAsia"/>
          <w:sz w:val="24"/>
        </w:rPr>
        <w:t>s</w:t>
      </w:r>
      <w:r>
        <w:rPr>
          <w:sz w:val="24"/>
        </w:rPr>
        <w:t xml:space="preserve"> higher than </w:t>
      </w:r>
      <w:r>
        <w:rPr>
          <w:rFonts w:hint="eastAsia"/>
          <w:sz w:val="24"/>
        </w:rPr>
        <w:t>th</w:t>
      </w:r>
      <w:r>
        <w:rPr>
          <w:sz w:val="24"/>
        </w:rPr>
        <w:t>ose in the urban areas. S</w:t>
      </w:r>
      <w:r>
        <w:rPr>
          <w:rFonts w:hint="eastAsia"/>
          <w:sz w:val="24"/>
        </w:rPr>
        <w:t>ales of goods for consumption upgrad</w:t>
      </w:r>
      <w:r>
        <w:rPr>
          <w:sz w:val="24"/>
        </w:rPr>
        <w:t>ing</w:t>
      </w:r>
      <w:r>
        <w:rPr>
          <w:rFonts w:hint="eastAsia"/>
          <w:sz w:val="24"/>
        </w:rPr>
        <w:t>, such as cultural products,</w:t>
      </w:r>
      <w:r>
        <w:rPr>
          <w:sz w:val="24"/>
        </w:rPr>
        <w:t xml:space="preserve"> </w:t>
      </w:r>
      <w:r>
        <w:rPr>
          <w:rFonts w:hint="eastAsia"/>
          <w:sz w:val="24"/>
        </w:rPr>
        <w:t>office supplies, cosmetics, communication</w:t>
      </w:r>
      <w:r>
        <w:rPr>
          <w:sz w:val="24"/>
        </w:rPr>
        <w:t>s</w:t>
      </w:r>
      <w:r>
        <w:rPr>
          <w:rFonts w:hint="eastAsia"/>
          <w:sz w:val="24"/>
        </w:rPr>
        <w:t xml:space="preserve"> equipment, automobiles, </w:t>
      </w:r>
      <w:r>
        <w:rPr>
          <w:sz w:val="24"/>
        </w:rPr>
        <w:t xml:space="preserve">and so forth, </w:t>
      </w:r>
      <w:r>
        <w:rPr>
          <w:rFonts w:hint="eastAsia"/>
          <w:sz w:val="24"/>
        </w:rPr>
        <w:t>accelerated rapidly</w:t>
      </w:r>
      <w:r>
        <w:rPr>
          <w:sz w:val="24"/>
        </w:rPr>
        <w:t xml:space="preserve">. </w:t>
      </w:r>
      <w:r>
        <w:rPr>
          <w:rFonts w:hint="eastAsia"/>
          <w:sz w:val="24"/>
        </w:rPr>
        <w:t xml:space="preserve"> </w:t>
      </w:r>
      <w:r>
        <w:rPr>
          <w:sz w:val="24"/>
        </w:rPr>
        <w:t>O</w:t>
      </w:r>
      <w:r>
        <w:rPr>
          <w:rFonts w:hint="eastAsia"/>
          <w:sz w:val="24"/>
        </w:rPr>
        <w:t>nline sale</w:t>
      </w:r>
      <w:r>
        <w:rPr>
          <w:sz w:val="24"/>
        </w:rPr>
        <w:t>s</w:t>
      </w:r>
      <w:r>
        <w:rPr>
          <w:rFonts w:hint="eastAsia"/>
          <w:sz w:val="24"/>
        </w:rPr>
        <w:t xml:space="preserve"> grew vigorously and real-world retail started to pick up. </w:t>
      </w:r>
      <w:r>
        <w:rPr>
          <w:sz w:val="24"/>
        </w:rPr>
        <w:t>During</w:t>
      </w:r>
      <w:r>
        <w:rPr>
          <w:rFonts w:hint="eastAsia"/>
          <w:sz w:val="24"/>
        </w:rPr>
        <w:t xml:space="preserve"> the first half of 2017, online sale</w:t>
      </w:r>
      <w:r>
        <w:rPr>
          <w:sz w:val="24"/>
        </w:rPr>
        <w:t>s</w:t>
      </w:r>
      <w:r>
        <w:rPr>
          <w:rFonts w:hint="eastAsia"/>
          <w:sz w:val="24"/>
        </w:rPr>
        <w:t xml:space="preserve"> posted RMB 3.11 trillion, an increase of 33.4 percent year on year. Sales </w:t>
      </w:r>
      <w:r>
        <w:rPr>
          <w:sz w:val="24"/>
        </w:rPr>
        <w:t>in</w:t>
      </w:r>
      <w:r>
        <w:rPr>
          <w:rFonts w:hint="eastAsia"/>
          <w:sz w:val="24"/>
        </w:rPr>
        <w:t xml:space="preserve"> shops and </w:t>
      </w:r>
      <w:r>
        <w:rPr>
          <w:sz w:val="24"/>
        </w:rPr>
        <w:t>department</w:t>
      </w:r>
      <w:r>
        <w:rPr>
          <w:rFonts w:hint="eastAsia"/>
          <w:sz w:val="24"/>
        </w:rPr>
        <w:t xml:space="preserve"> stores monitored by the Department of Commerce gained 5.6 </w:t>
      </w:r>
      <w:r>
        <w:rPr>
          <w:sz w:val="24"/>
        </w:rPr>
        <w:t xml:space="preserve">percent </w:t>
      </w:r>
      <w:r>
        <w:rPr>
          <w:rFonts w:hint="eastAsia"/>
          <w:sz w:val="24"/>
        </w:rPr>
        <w:t xml:space="preserve">and 1.3 percent respectively, 3.6 </w:t>
      </w:r>
      <w:r>
        <w:rPr>
          <w:sz w:val="24"/>
        </w:rPr>
        <w:t xml:space="preserve">percentage points </w:t>
      </w:r>
      <w:r>
        <w:rPr>
          <w:rFonts w:hint="eastAsia"/>
          <w:sz w:val="24"/>
        </w:rPr>
        <w:t xml:space="preserve">and 0.7 percentage point higher than </w:t>
      </w:r>
      <w:r>
        <w:rPr>
          <w:sz w:val="24"/>
        </w:rPr>
        <w:t xml:space="preserve">those in </w:t>
      </w:r>
      <w:r>
        <w:rPr>
          <w:rFonts w:hint="eastAsia"/>
          <w:sz w:val="24"/>
        </w:rPr>
        <w:t>the first half of 2016 respectively.</w:t>
      </w:r>
    </w:p>
    <w:p>
      <w:pPr>
        <w:autoSpaceDE w:val="0"/>
        <w:autoSpaceDN w:val="0"/>
        <w:adjustRightInd w:val="0"/>
        <w:rPr>
          <w:sz w:val="24"/>
        </w:rPr>
      </w:pPr>
    </w:p>
    <w:p>
      <w:pPr>
        <w:autoSpaceDE w:val="0"/>
        <w:autoSpaceDN w:val="0"/>
        <w:adjustRightInd w:val="0"/>
        <w:rPr>
          <w:sz w:val="24"/>
        </w:rPr>
      </w:pPr>
      <w:r>
        <w:rPr>
          <w:sz w:val="24"/>
        </w:rPr>
        <w:t xml:space="preserve">Fixed-asset investments </w:t>
      </w:r>
      <w:r>
        <w:rPr>
          <w:rFonts w:hint="eastAsia"/>
          <w:sz w:val="24"/>
        </w:rPr>
        <w:t>remained stable</w:t>
      </w:r>
      <w:r>
        <w:rPr>
          <w:sz w:val="24"/>
        </w:rPr>
        <w:t xml:space="preserve">, </w:t>
      </w:r>
      <w:r>
        <w:rPr>
          <w:rFonts w:hint="eastAsia"/>
          <w:sz w:val="24"/>
        </w:rPr>
        <w:t>and</w:t>
      </w:r>
      <w:r>
        <w:rPr>
          <w:sz w:val="24"/>
        </w:rPr>
        <w:t xml:space="preserve"> manufacturing and private-investment growth continued to pick up. During </w:t>
      </w:r>
      <w:r>
        <w:rPr>
          <w:rFonts w:hint="eastAsia"/>
          <w:sz w:val="24"/>
        </w:rPr>
        <w:t>the first half of 2017</w:t>
      </w:r>
      <w:r>
        <w:rPr>
          <w:sz w:val="24"/>
        </w:rPr>
        <w:t xml:space="preserve">, fixed-asset investments (excluding </w:t>
      </w:r>
      <w:r>
        <w:rPr>
          <w:rFonts w:hint="eastAsia"/>
          <w:sz w:val="24"/>
        </w:rPr>
        <w:t>th</w:t>
      </w:r>
      <w:r>
        <w:rPr>
          <w:sz w:val="24"/>
        </w:rPr>
        <w:t>ose</w:t>
      </w:r>
      <w:r>
        <w:rPr>
          <w:rFonts w:hint="eastAsia"/>
          <w:sz w:val="24"/>
        </w:rPr>
        <w:t xml:space="preserve"> </w:t>
      </w:r>
      <w:r>
        <w:rPr>
          <w:sz w:val="24"/>
        </w:rPr>
        <w:t>by</w:t>
      </w:r>
      <w:r>
        <w:rPr>
          <w:rFonts w:hint="eastAsia"/>
          <w:sz w:val="24"/>
        </w:rPr>
        <w:t xml:space="preserve"> rural residents</w:t>
      </w:r>
      <w:r>
        <w:rPr>
          <w:sz w:val="24"/>
        </w:rPr>
        <w:t xml:space="preserve">) reached RMB </w:t>
      </w:r>
      <w:r>
        <w:rPr>
          <w:rFonts w:hint="eastAsia"/>
          <w:sz w:val="24"/>
        </w:rPr>
        <w:t>28.06</w:t>
      </w:r>
      <w:r>
        <w:rPr>
          <w:sz w:val="24"/>
        </w:rPr>
        <w:t xml:space="preserve"> trillion, up by </w:t>
      </w:r>
      <w:r>
        <w:rPr>
          <w:rFonts w:hint="eastAsia"/>
          <w:sz w:val="24"/>
        </w:rPr>
        <w:t>8.6</w:t>
      </w:r>
      <w:r>
        <w:rPr>
          <w:sz w:val="24"/>
        </w:rPr>
        <w:t xml:space="preserve"> percent year on year in nominal terms</w:t>
      </w:r>
      <w:r>
        <w:rPr>
          <w:rFonts w:hint="eastAsia"/>
          <w:sz w:val="24"/>
        </w:rPr>
        <w:t xml:space="preserve">, which </w:t>
      </w:r>
      <w:r>
        <w:rPr>
          <w:sz w:val="24"/>
        </w:rPr>
        <w:t>was</w:t>
      </w:r>
      <w:r>
        <w:rPr>
          <w:rFonts w:hint="eastAsia"/>
          <w:sz w:val="24"/>
        </w:rPr>
        <w:t xml:space="preserve"> the same as the average growth from January to May. There are several features </w:t>
      </w:r>
      <w:r>
        <w:rPr>
          <w:sz w:val="24"/>
        </w:rPr>
        <w:t>of</w:t>
      </w:r>
      <w:r>
        <w:rPr>
          <w:rFonts w:hint="eastAsia"/>
          <w:sz w:val="24"/>
        </w:rPr>
        <w:t xml:space="preserve"> current fixed-asset investment</w:t>
      </w:r>
      <w:r>
        <w:rPr>
          <w:sz w:val="24"/>
        </w:rPr>
        <w:t>s</w:t>
      </w:r>
      <w:r>
        <w:rPr>
          <w:rFonts w:hint="eastAsia"/>
          <w:sz w:val="24"/>
        </w:rPr>
        <w:t xml:space="preserve">. First, manufacturing investment and private investment expanded. </w:t>
      </w:r>
      <w:r>
        <w:rPr>
          <w:sz w:val="24"/>
        </w:rPr>
        <w:t>During</w:t>
      </w:r>
      <w:r>
        <w:rPr>
          <w:rFonts w:hint="eastAsia"/>
          <w:sz w:val="24"/>
        </w:rPr>
        <w:t xml:space="preserve"> the first half of 2017, private investment expanded by 7.2 percent, 4.4 percent higher than</w:t>
      </w:r>
      <w:r>
        <w:rPr>
          <w:sz w:val="24"/>
        </w:rPr>
        <w:t xml:space="preserve"> that in</w:t>
      </w:r>
      <w:r>
        <w:rPr>
          <w:rFonts w:hint="eastAsia"/>
          <w:sz w:val="24"/>
        </w:rPr>
        <w:t xml:space="preserve"> the same period of 2016; </w:t>
      </w:r>
      <w:r>
        <w:rPr>
          <w:sz w:val="24"/>
        </w:rPr>
        <w:t>growth</w:t>
      </w:r>
      <w:r>
        <w:rPr>
          <w:rFonts w:hint="eastAsia"/>
          <w:sz w:val="24"/>
        </w:rPr>
        <w:t xml:space="preserve"> of manufacturing investment registered 5.5 percent, rising </w:t>
      </w:r>
      <w:r>
        <w:rPr>
          <w:sz w:val="24"/>
        </w:rPr>
        <w:t>for</w:t>
      </w:r>
      <w:r>
        <w:rPr>
          <w:rFonts w:hint="eastAsia"/>
          <w:sz w:val="24"/>
        </w:rPr>
        <w:t xml:space="preserve"> the second consecutive month. Second, infrastructure investment increased substantially. </w:t>
      </w:r>
      <w:r>
        <w:rPr>
          <w:sz w:val="24"/>
        </w:rPr>
        <w:t>During</w:t>
      </w:r>
      <w:r>
        <w:rPr>
          <w:rFonts w:hint="eastAsia"/>
          <w:sz w:val="24"/>
        </w:rPr>
        <w:t xml:space="preserve"> the first half of 2017, infrastructure investment (</w:t>
      </w:r>
      <w:r>
        <w:rPr>
          <w:sz w:val="24"/>
        </w:rPr>
        <w:t>not including electricity, heat, gas, and water production and supply)</w:t>
      </w:r>
      <w:r>
        <w:rPr>
          <w:rFonts w:hint="eastAsia"/>
          <w:sz w:val="24"/>
        </w:rPr>
        <w:t xml:space="preserve"> increased by 21.1 percent year on year, contributing 46.5 percent to</w:t>
      </w:r>
      <w:r>
        <w:rPr>
          <w:sz w:val="24"/>
        </w:rPr>
        <w:t xml:space="preserve"> the</w:t>
      </w:r>
      <w:r>
        <w:rPr>
          <w:rFonts w:hint="eastAsia"/>
          <w:sz w:val="24"/>
        </w:rPr>
        <w:t xml:space="preserve"> total investment growth and driving up investment growth by 4 percentage points. Third, </w:t>
      </w:r>
      <w:r>
        <w:rPr>
          <w:sz w:val="24"/>
        </w:rPr>
        <w:t>the contraction</w:t>
      </w:r>
      <w:r>
        <w:rPr>
          <w:rFonts w:hint="eastAsia"/>
          <w:sz w:val="24"/>
        </w:rPr>
        <w:t xml:space="preserve"> of investment </w:t>
      </w:r>
      <w:r>
        <w:rPr>
          <w:sz w:val="24"/>
        </w:rPr>
        <w:t>in Northeast China narrowed and investment growth in the other regions was generally stable.</w:t>
      </w:r>
    </w:p>
    <w:p>
      <w:pPr>
        <w:autoSpaceDE w:val="0"/>
        <w:autoSpaceDN w:val="0"/>
        <w:adjustRightInd w:val="0"/>
        <w:rPr>
          <w:sz w:val="24"/>
        </w:rPr>
      </w:pPr>
    </w:p>
    <w:p>
      <w:pPr>
        <w:rPr>
          <w:sz w:val="24"/>
        </w:rPr>
      </w:pPr>
      <w:r>
        <w:rPr>
          <w:sz w:val="24"/>
        </w:rPr>
        <w:t>Imports and exports gr</w:t>
      </w:r>
      <w:r>
        <w:rPr>
          <w:rFonts w:hint="eastAsia"/>
          <w:sz w:val="24"/>
        </w:rPr>
        <w:t>ew rapidly</w:t>
      </w:r>
      <w:r>
        <w:rPr>
          <w:sz w:val="24"/>
        </w:rPr>
        <w:t xml:space="preserve"> and</w:t>
      </w:r>
      <w:r>
        <w:rPr>
          <w:rFonts w:hint="eastAsia"/>
          <w:sz w:val="24"/>
        </w:rPr>
        <w:t xml:space="preserve"> </w:t>
      </w:r>
      <w:r>
        <w:rPr>
          <w:sz w:val="24"/>
        </w:rPr>
        <w:t xml:space="preserve">the </w:t>
      </w:r>
      <w:r>
        <w:rPr>
          <w:rFonts w:hint="eastAsia"/>
          <w:sz w:val="24"/>
        </w:rPr>
        <w:t>foreign trade structure improved</w:t>
      </w:r>
      <w:r>
        <w:rPr>
          <w:sz w:val="24"/>
        </w:rPr>
        <w:t xml:space="preserve">. </w:t>
      </w:r>
      <w:r>
        <w:rPr>
          <w:rFonts w:hint="eastAsia"/>
          <w:sz w:val="24"/>
        </w:rPr>
        <w:t>In RMB terms</w:t>
      </w:r>
      <w:r>
        <w:rPr>
          <w:sz w:val="24"/>
        </w:rPr>
        <w:t xml:space="preserve">, total imports and exports during </w:t>
      </w:r>
      <w:r>
        <w:rPr>
          <w:rFonts w:hint="eastAsia"/>
          <w:sz w:val="24"/>
        </w:rPr>
        <w:t>the first half of 2017</w:t>
      </w:r>
      <w:r>
        <w:rPr>
          <w:sz w:val="24"/>
        </w:rPr>
        <w:t xml:space="preserve"> reached RMB </w:t>
      </w:r>
      <w:r>
        <w:rPr>
          <w:rFonts w:hint="eastAsia"/>
          <w:sz w:val="24"/>
        </w:rPr>
        <w:t>13.14</w:t>
      </w:r>
      <w:r>
        <w:rPr>
          <w:sz w:val="24"/>
        </w:rPr>
        <w:t xml:space="preserve"> trillion, up by </w:t>
      </w:r>
      <w:r>
        <w:rPr>
          <w:rFonts w:hint="eastAsia"/>
          <w:sz w:val="24"/>
        </w:rPr>
        <w:t>19.6</w:t>
      </w:r>
      <w:r>
        <w:rPr>
          <w:sz w:val="24"/>
        </w:rPr>
        <w:t xml:space="preserve"> percent year on year. Exports gained 1</w:t>
      </w:r>
      <w:r>
        <w:rPr>
          <w:rFonts w:hint="eastAsia"/>
          <w:sz w:val="24"/>
        </w:rPr>
        <w:t>5.0</w:t>
      </w:r>
      <w:r>
        <w:rPr>
          <w:sz w:val="24"/>
        </w:rPr>
        <w:t xml:space="preserve"> percent year on year to reach RMB </w:t>
      </w:r>
      <w:r>
        <w:rPr>
          <w:rFonts w:hint="eastAsia"/>
          <w:sz w:val="24"/>
        </w:rPr>
        <w:t>7.21</w:t>
      </w:r>
      <w:r>
        <w:rPr>
          <w:sz w:val="24"/>
        </w:rPr>
        <w:t xml:space="preserve"> trillion, and imports gained </w:t>
      </w:r>
      <w:r>
        <w:rPr>
          <w:rFonts w:hint="eastAsia"/>
          <w:sz w:val="24"/>
        </w:rPr>
        <w:t>25.7</w:t>
      </w:r>
      <w:r>
        <w:rPr>
          <w:sz w:val="24"/>
        </w:rPr>
        <w:t xml:space="preserve"> percent year on year to reach RMB </w:t>
      </w:r>
      <w:r>
        <w:rPr>
          <w:rFonts w:hint="eastAsia"/>
          <w:sz w:val="24"/>
        </w:rPr>
        <w:t>5.93</w:t>
      </w:r>
      <w:r>
        <w:rPr>
          <w:sz w:val="24"/>
        </w:rPr>
        <w:t xml:space="preserve"> trillion, resulting in a trade surplus of RMB </w:t>
      </w:r>
      <w:r>
        <w:rPr>
          <w:rFonts w:hint="eastAsia"/>
          <w:sz w:val="24"/>
        </w:rPr>
        <w:t>1.28</w:t>
      </w:r>
      <w:r>
        <w:rPr>
          <w:sz w:val="24"/>
        </w:rPr>
        <w:t xml:space="preserve"> </w:t>
      </w:r>
      <w:r>
        <w:rPr>
          <w:rFonts w:hint="eastAsia"/>
          <w:sz w:val="24"/>
        </w:rPr>
        <w:t>tr</w:t>
      </w:r>
      <w:r>
        <w:rPr>
          <w:sz w:val="24"/>
        </w:rPr>
        <w:t xml:space="preserve">illion, </w:t>
      </w:r>
      <w:r>
        <w:rPr>
          <w:rFonts w:hint="eastAsia"/>
          <w:sz w:val="24"/>
        </w:rPr>
        <w:t>17</w:t>
      </w:r>
      <w:r>
        <w:rPr>
          <w:sz w:val="24"/>
        </w:rPr>
        <w:t xml:space="preserve">.7 percent narrower year on year. In </w:t>
      </w:r>
      <w:r>
        <w:rPr>
          <w:rFonts w:hint="eastAsia"/>
          <w:sz w:val="24"/>
        </w:rPr>
        <w:t xml:space="preserve">US dollar terms, </w:t>
      </w:r>
      <w:r>
        <w:rPr>
          <w:sz w:val="24"/>
        </w:rPr>
        <w:t>imports and exports during</w:t>
      </w:r>
      <w:r>
        <w:rPr>
          <w:rFonts w:hint="eastAsia"/>
          <w:sz w:val="24"/>
        </w:rPr>
        <w:t xml:space="preserve"> the first half of 2017 </w:t>
      </w:r>
      <w:r>
        <w:rPr>
          <w:sz w:val="24"/>
        </w:rPr>
        <w:t xml:space="preserve">rose by </w:t>
      </w:r>
      <w:r>
        <w:rPr>
          <w:rFonts w:hint="eastAsia"/>
          <w:sz w:val="24"/>
        </w:rPr>
        <w:t>13</w:t>
      </w:r>
      <w:r>
        <w:rPr>
          <w:sz w:val="24"/>
        </w:rPr>
        <w:t xml:space="preserve"> percent year on year to USD </w:t>
      </w:r>
      <w:r>
        <w:rPr>
          <w:rFonts w:hint="eastAsia"/>
          <w:sz w:val="24"/>
        </w:rPr>
        <w:t>1.91</w:t>
      </w:r>
      <w:r>
        <w:rPr>
          <w:sz w:val="24"/>
        </w:rPr>
        <w:t xml:space="preserve"> </w:t>
      </w:r>
      <w:r>
        <w:rPr>
          <w:rFonts w:hint="eastAsia"/>
          <w:sz w:val="24"/>
        </w:rPr>
        <w:t>tr</w:t>
      </w:r>
      <w:r>
        <w:rPr>
          <w:sz w:val="24"/>
        </w:rPr>
        <w:t>illion</w:t>
      </w:r>
      <w:r>
        <w:rPr>
          <w:rFonts w:hint="eastAsia"/>
          <w:sz w:val="24"/>
        </w:rPr>
        <w:t>. E</w:t>
      </w:r>
      <w:r>
        <w:rPr>
          <w:sz w:val="24"/>
        </w:rPr>
        <w:t xml:space="preserve">xports </w:t>
      </w:r>
      <w:r>
        <w:rPr>
          <w:rFonts w:hint="eastAsia"/>
          <w:sz w:val="24"/>
        </w:rPr>
        <w:t xml:space="preserve">and imports </w:t>
      </w:r>
      <w:r>
        <w:rPr>
          <w:sz w:val="24"/>
        </w:rPr>
        <w:t xml:space="preserve">to </w:t>
      </w:r>
      <w:r>
        <w:rPr>
          <w:rFonts w:hint="eastAsia"/>
          <w:sz w:val="24"/>
        </w:rPr>
        <w:t xml:space="preserve">traditional markets picked up and trade with </w:t>
      </w:r>
      <w:r>
        <w:rPr>
          <w:sz w:val="24"/>
        </w:rPr>
        <w:t xml:space="preserve">some Belt and Road countries </w:t>
      </w:r>
      <w:r>
        <w:rPr>
          <w:rFonts w:hint="eastAsia"/>
          <w:sz w:val="24"/>
        </w:rPr>
        <w:t>increased</w:t>
      </w:r>
      <w:r>
        <w:rPr>
          <w:sz w:val="24"/>
        </w:rPr>
        <w:t xml:space="preserve">. </w:t>
      </w:r>
      <w:r>
        <w:rPr>
          <w:rFonts w:hint="eastAsia"/>
          <w:sz w:val="24"/>
        </w:rPr>
        <w:t>In terms of firms, t</w:t>
      </w:r>
      <w:r>
        <w:rPr>
          <w:sz w:val="24"/>
        </w:rPr>
        <w:t>he private sector remained the largest exporter, accounting for 4</w:t>
      </w:r>
      <w:r>
        <w:rPr>
          <w:rFonts w:hint="eastAsia"/>
          <w:sz w:val="24"/>
        </w:rPr>
        <w:t>6.7</w:t>
      </w:r>
      <w:r>
        <w:rPr>
          <w:sz w:val="24"/>
        </w:rPr>
        <w:t xml:space="preserve"> percent of the total</w:t>
      </w:r>
      <w:r>
        <w:rPr>
          <w:rFonts w:hint="eastAsia"/>
          <w:sz w:val="24"/>
        </w:rPr>
        <w:t xml:space="preserve">, 1.1 percentage points higher than </w:t>
      </w:r>
      <w:r>
        <w:rPr>
          <w:sz w:val="24"/>
        </w:rPr>
        <w:t xml:space="preserve">that in </w:t>
      </w:r>
      <w:r>
        <w:rPr>
          <w:rFonts w:hint="eastAsia"/>
          <w:sz w:val="24"/>
        </w:rPr>
        <w:t>the first half of 2016</w:t>
      </w:r>
      <w:r>
        <w:rPr>
          <w:sz w:val="24"/>
        </w:rPr>
        <w:t xml:space="preserve">. </w:t>
      </w:r>
      <w:r>
        <w:rPr>
          <w:rFonts w:hint="eastAsia"/>
          <w:sz w:val="24"/>
        </w:rPr>
        <w:t>From the perspective of trade, t</w:t>
      </w:r>
      <w:r>
        <w:rPr>
          <w:sz w:val="24"/>
        </w:rPr>
        <w:t>he share of general trade rose by 0.</w:t>
      </w:r>
      <w:r>
        <w:rPr>
          <w:rFonts w:hint="eastAsia"/>
          <w:sz w:val="24"/>
        </w:rPr>
        <w:t>4</w:t>
      </w:r>
      <w:r>
        <w:rPr>
          <w:sz w:val="24"/>
        </w:rPr>
        <w:t xml:space="preserve"> percentage point year on year to 56.</w:t>
      </w:r>
      <w:r>
        <w:rPr>
          <w:rFonts w:hint="eastAsia"/>
          <w:sz w:val="24"/>
        </w:rPr>
        <w:t>7</w:t>
      </w:r>
      <w:r>
        <w:rPr>
          <w:sz w:val="24"/>
        </w:rPr>
        <w:t xml:space="preserve"> percent of the total. The t</w:t>
      </w:r>
      <w:r>
        <w:rPr>
          <w:rFonts w:hint="eastAsia"/>
          <w:sz w:val="24"/>
        </w:rPr>
        <w:t xml:space="preserve">rade </w:t>
      </w:r>
      <w:r>
        <w:rPr>
          <w:sz w:val="24"/>
        </w:rPr>
        <w:t>structure</w:t>
      </w:r>
      <w:r>
        <w:rPr>
          <w:rFonts w:hint="eastAsia"/>
          <w:sz w:val="24"/>
        </w:rPr>
        <w:t xml:space="preserve"> improved slightly. In terms of products, m</w:t>
      </w:r>
      <w:r>
        <w:rPr>
          <w:sz w:val="24"/>
        </w:rPr>
        <w:t>achinery and electronic products and traditional labor-intensive products remain the major export products, accounting for 5</w:t>
      </w:r>
      <w:r>
        <w:rPr>
          <w:rFonts w:hint="eastAsia"/>
          <w:sz w:val="24"/>
        </w:rPr>
        <w:t>7.2</w:t>
      </w:r>
      <w:r>
        <w:rPr>
          <w:sz w:val="24"/>
        </w:rPr>
        <w:t xml:space="preserve"> percent and 20.5 percent of the total exports respectively. Imports of commodities, including iron ore</w:t>
      </w:r>
      <w:r>
        <w:rPr>
          <w:rFonts w:hint="eastAsia"/>
          <w:sz w:val="24"/>
        </w:rPr>
        <w:t xml:space="preserve">, </w:t>
      </w:r>
      <w:r>
        <w:rPr>
          <w:sz w:val="24"/>
        </w:rPr>
        <w:t>crude oil,</w:t>
      </w:r>
      <w:r>
        <w:rPr>
          <w:rFonts w:hint="eastAsia"/>
          <w:sz w:val="24"/>
        </w:rPr>
        <w:t xml:space="preserve"> and natural gas</w:t>
      </w:r>
      <w:r>
        <w:rPr>
          <w:sz w:val="24"/>
        </w:rPr>
        <w:t xml:space="preserve"> continued to grow in terms of both quantity and price.</w:t>
      </w:r>
    </w:p>
    <w:p>
      <w:pPr>
        <w:rPr>
          <w:sz w:val="24"/>
        </w:rPr>
      </w:pPr>
    </w:p>
    <w:p>
      <w:pPr>
        <w:rPr>
          <w:sz w:val="24"/>
        </w:rPr>
      </w:pPr>
      <w:r>
        <w:rPr>
          <w:sz w:val="24"/>
        </w:rPr>
        <w:t xml:space="preserve">Foreign direct investments (FDI) continued to focus on high-end industries, and the </w:t>
      </w:r>
      <w:r>
        <w:rPr>
          <w:rFonts w:hint="eastAsia"/>
          <w:sz w:val="24"/>
        </w:rPr>
        <w:t xml:space="preserve">drop </w:t>
      </w:r>
      <w:r>
        <w:rPr>
          <w:sz w:val="24"/>
        </w:rPr>
        <w:t>in</w:t>
      </w:r>
      <w:r>
        <w:rPr>
          <w:rFonts w:hint="eastAsia"/>
          <w:sz w:val="24"/>
        </w:rPr>
        <w:t xml:space="preserve"> outbound investment</w:t>
      </w:r>
      <w:r>
        <w:rPr>
          <w:sz w:val="24"/>
        </w:rPr>
        <w:t>s</w:t>
      </w:r>
      <w:r>
        <w:rPr>
          <w:rFonts w:hint="eastAsia"/>
          <w:sz w:val="24"/>
        </w:rPr>
        <w:t xml:space="preserve"> narrowed</w:t>
      </w:r>
      <w:r>
        <w:rPr>
          <w:sz w:val="24"/>
        </w:rPr>
        <w:t xml:space="preserve">. In </w:t>
      </w:r>
      <w:r>
        <w:rPr>
          <w:rFonts w:hint="eastAsia"/>
          <w:sz w:val="24"/>
        </w:rPr>
        <w:t>the first half of 2017</w:t>
      </w:r>
      <w:r>
        <w:rPr>
          <w:sz w:val="24"/>
        </w:rPr>
        <w:t>, actually utilized FDI</w:t>
      </w:r>
      <w:r>
        <w:rPr>
          <w:rFonts w:hint="eastAsia"/>
          <w:sz w:val="24"/>
        </w:rPr>
        <w:t xml:space="preserve"> was stable</w:t>
      </w:r>
      <w:r>
        <w:rPr>
          <w:sz w:val="24"/>
        </w:rPr>
        <w:t>,</w:t>
      </w:r>
      <w:r>
        <w:rPr>
          <w:rFonts w:hint="eastAsia"/>
          <w:sz w:val="24"/>
        </w:rPr>
        <w:t xml:space="preserve"> with </w:t>
      </w:r>
      <w:r>
        <w:rPr>
          <w:sz w:val="24"/>
        </w:rPr>
        <w:t xml:space="preserve">a </w:t>
      </w:r>
      <w:r>
        <w:rPr>
          <w:rFonts w:hint="eastAsia"/>
          <w:sz w:val="24"/>
        </w:rPr>
        <w:t>decline of 0.</w:t>
      </w:r>
      <w:r>
        <w:rPr>
          <w:sz w:val="24"/>
        </w:rPr>
        <w:t xml:space="preserve">1 percent year on year to RMB </w:t>
      </w:r>
      <w:r>
        <w:rPr>
          <w:rFonts w:hint="eastAsia"/>
          <w:sz w:val="24"/>
        </w:rPr>
        <w:t>441.54</w:t>
      </w:r>
      <w:r>
        <w:rPr>
          <w:sz w:val="24"/>
        </w:rPr>
        <w:t xml:space="preserve"> billion. </w:t>
      </w:r>
      <w:r>
        <w:rPr>
          <w:rFonts w:hint="eastAsia"/>
          <w:sz w:val="24"/>
        </w:rPr>
        <w:t xml:space="preserve">In terms of industries, </w:t>
      </w:r>
      <w:r>
        <w:rPr>
          <w:sz w:val="24"/>
        </w:rPr>
        <w:t>during</w:t>
      </w:r>
      <w:r>
        <w:rPr>
          <w:rFonts w:hint="eastAsia"/>
          <w:sz w:val="24"/>
        </w:rPr>
        <w:t xml:space="preserve"> the first half of 2017, FDI in the </w:t>
      </w:r>
      <w:r>
        <w:rPr>
          <w:sz w:val="24"/>
        </w:rPr>
        <w:t>service industry reach</w:t>
      </w:r>
      <w:r>
        <w:rPr>
          <w:rFonts w:hint="eastAsia"/>
          <w:sz w:val="24"/>
        </w:rPr>
        <w:t>ed</w:t>
      </w:r>
      <w:r>
        <w:rPr>
          <w:sz w:val="24"/>
        </w:rPr>
        <w:t xml:space="preserve"> RMB </w:t>
      </w:r>
      <w:r>
        <w:rPr>
          <w:rFonts w:hint="eastAsia"/>
          <w:sz w:val="24"/>
        </w:rPr>
        <w:t>309.99</w:t>
      </w:r>
      <w:r>
        <w:rPr>
          <w:sz w:val="24"/>
        </w:rPr>
        <w:t xml:space="preserve"> billion, accounting for 7</w:t>
      </w:r>
      <w:r>
        <w:rPr>
          <w:rFonts w:hint="eastAsia"/>
          <w:sz w:val="24"/>
        </w:rPr>
        <w:t>0.2</w:t>
      </w:r>
      <w:r>
        <w:rPr>
          <w:sz w:val="24"/>
        </w:rPr>
        <w:t xml:space="preserve"> percent of the total. </w:t>
      </w:r>
      <w:r>
        <w:rPr>
          <w:rFonts w:hint="eastAsia"/>
          <w:sz w:val="24"/>
        </w:rPr>
        <w:t>FDI in the</w:t>
      </w:r>
      <w:r>
        <w:rPr>
          <w:sz w:val="24"/>
        </w:rPr>
        <w:t xml:space="preserve"> high-tech service industry gained 1</w:t>
      </w:r>
      <w:r>
        <w:rPr>
          <w:rFonts w:hint="eastAsia"/>
          <w:sz w:val="24"/>
        </w:rPr>
        <w:t>1</w:t>
      </w:r>
      <w:r>
        <w:rPr>
          <w:sz w:val="24"/>
        </w:rPr>
        <w:t>.</w:t>
      </w:r>
      <w:r>
        <w:rPr>
          <w:rFonts w:hint="eastAsia"/>
          <w:sz w:val="24"/>
        </w:rPr>
        <w:t>1</w:t>
      </w:r>
      <w:r>
        <w:rPr>
          <w:sz w:val="24"/>
        </w:rPr>
        <w:t xml:space="preserve"> percent to reach RMB </w:t>
      </w:r>
      <w:r>
        <w:rPr>
          <w:rFonts w:hint="eastAsia"/>
          <w:sz w:val="24"/>
        </w:rPr>
        <w:t>34.97</w:t>
      </w:r>
      <w:r>
        <w:rPr>
          <w:sz w:val="24"/>
        </w:rPr>
        <w:t xml:space="preserve"> billion. </w:t>
      </w:r>
      <w:r>
        <w:rPr>
          <w:rFonts w:hint="eastAsia"/>
          <w:sz w:val="24"/>
        </w:rPr>
        <w:t>FDI in the</w:t>
      </w:r>
      <w:r>
        <w:rPr>
          <w:sz w:val="24"/>
        </w:rPr>
        <w:t xml:space="preserve"> manufacturing industry</w:t>
      </w:r>
      <w:r>
        <w:rPr>
          <w:rFonts w:hint="eastAsia"/>
          <w:sz w:val="24"/>
        </w:rPr>
        <w:t xml:space="preserve"> increased by 3</w:t>
      </w:r>
      <w:r>
        <w:rPr>
          <w:sz w:val="24"/>
        </w:rPr>
        <w:t xml:space="preserve"> percent</w:t>
      </w:r>
      <w:r>
        <w:rPr>
          <w:rFonts w:hint="eastAsia"/>
          <w:sz w:val="24"/>
        </w:rPr>
        <w:t xml:space="preserve"> year on year to </w:t>
      </w:r>
      <w:r>
        <w:rPr>
          <w:sz w:val="24"/>
        </w:rPr>
        <w:t xml:space="preserve">reach RMB </w:t>
      </w:r>
      <w:r>
        <w:rPr>
          <w:rFonts w:hint="eastAsia"/>
          <w:sz w:val="24"/>
        </w:rPr>
        <w:t>128.6</w:t>
      </w:r>
      <w:r>
        <w:rPr>
          <w:sz w:val="24"/>
        </w:rPr>
        <w:t xml:space="preserve"> billion, accounting for 2</w:t>
      </w:r>
      <w:r>
        <w:rPr>
          <w:rFonts w:hint="eastAsia"/>
          <w:sz w:val="24"/>
        </w:rPr>
        <w:t>9.1</w:t>
      </w:r>
      <w:r>
        <w:rPr>
          <w:sz w:val="24"/>
        </w:rPr>
        <w:t xml:space="preserve"> percent of the total. During</w:t>
      </w:r>
      <w:r>
        <w:rPr>
          <w:rFonts w:hint="eastAsia"/>
          <w:sz w:val="24"/>
        </w:rPr>
        <w:t xml:space="preserve"> the first half of 2017, o</w:t>
      </w:r>
      <w:r>
        <w:rPr>
          <w:sz w:val="24"/>
        </w:rPr>
        <w:t>utbound non-financial direct investments by domestic investors registered USD</w:t>
      </w:r>
      <w:r>
        <w:rPr>
          <w:rFonts w:hint="eastAsia"/>
          <w:sz w:val="24"/>
        </w:rPr>
        <w:t xml:space="preserve"> 48.19</w:t>
      </w:r>
      <w:r>
        <w:rPr>
          <w:color w:val="000000"/>
          <w:sz w:val="24"/>
        </w:rPr>
        <w:t xml:space="preserve"> </w:t>
      </w:r>
      <w:r>
        <w:rPr>
          <w:sz w:val="24"/>
        </w:rPr>
        <w:t>billion, down by 4</w:t>
      </w:r>
      <w:r>
        <w:rPr>
          <w:rFonts w:hint="eastAsia"/>
          <w:sz w:val="24"/>
        </w:rPr>
        <w:t>5</w:t>
      </w:r>
      <w:r>
        <w:rPr>
          <w:sz w:val="24"/>
        </w:rPr>
        <w:t xml:space="preserve">.8 percent year on year. </w:t>
      </w:r>
      <w:r>
        <w:rPr>
          <w:rFonts w:hint="eastAsia"/>
          <w:sz w:val="24"/>
        </w:rPr>
        <w:t>Outbound investment</w:t>
      </w:r>
      <w:r>
        <w:rPr>
          <w:sz w:val="24"/>
        </w:rPr>
        <w:t>s</w:t>
      </w:r>
      <w:r>
        <w:rPr>
          <w:rFonts w:hint="eastAsia"/>
          <w:sz w:val="24"/>
        </w:rPr>
        <w:t xml:space="preserve"> in June gained 65.5</w:t>
      </w:r>
      <w:r>
        <w:rPr>
          <w:sz w:val="24"/>
        </w:rPr>
        <w:t xml:space="preserve"> percent</w:t>
      </w:r>
      <w:r>
        <w:rPr>
          <w:rFonts w:hint="eastAsia"/>
          <w:sz w:val="24"/>
        </w:rPr>
        <w:t xml:space="preserve"> month on month, achieving positive growth </w:t>
      </w:r>
      <w:r>
        <w:rPr>
          <w:sz w:val="24"/>
        </w:rPr>
        <w:t>for two</w:t>
      </w:r>
      <w:r>
        <w:rPr>
          <w:rFonts w:hint="eastAsia"/>
          <w:sz w:val="24"/>
        </w:rPr>
        <w:t xml:space="preserve"> consecutive months. In the first half of 2017, d</w:t>
      </w:r>
      <w:r>
        <w:rPr>
          <w:sz w:val="24"/>
        </w:rPr>
        <w:t xml:space="preserve">irect investments to the Belt and Road countries reached USD </w:t>
      </w:r>
      <w:r>
        <w:rPr>
          <w:rFonts w:hint="eastAsia"/>
          <w:sz w:val="24"/>
        </w:rPr>
        <w:t>6.61</w:t>
      </w:r>
      <w:r>
        <w:rPr>
          <w:sz w:val="24"/>
        </w:rPr>
        <w:t xml:space="preserve"> billion, accounting for 1</w:t>
      </w:r>
      <w:r>
        <w:rPr>
          <w:rFonts w:hint="eastAsia"/>
          <w:sz w:val="24"/>
        </w:rPr>
        <w:t>3.7</w:t>
      </w:r>
      <w:r>
        <w:rPr>
          <w:sz w:val="24"/>
        </w:rPr>
        <w:t xml:space="preserve"> percent of the total, </w:t>
      </w:r>
      <w:r>
        <w:rPr>
          <w:rFonts w:hint="eastAsia"/>
          <w:sz w:val="24"/>
        </w:rPr>
        <w:t xml:space="preserve">up by </w:t>
      </w:r>
      <w:r>
        <w:rPr>
          <w:sz w:val="24"/>
        </w:rPr>
        <w:t xml:space="preserve"> </w:t>
      </w:r>
      <w:r>
        <w:rPr>
          <w:rFonts w:hint="eastAsia"/>
          <w:sz w:val="24"/>
        </w:rPr>
        <w:t>6.0</w:t>
      </w:r>
      <w:r>
        <w:rPr>
          <w:sz w:val="24"/>
        </w:rPr>
        <w:t xml:space="preserve"> percentage points year on year and indicat</w:t>
      </w:r>
      <w:r>
        <w:rPr>
          <w:rFonts w:hint="eastAsia"/>
          <w:sz w:val="24"/>
        </w:rPr>
        <w:t>ing</w:t>
      </w:r>
      <w:r>
        <w:rPr>
          <w:sz w:val="24"/>
        </w:rPr>
        <w:t xml:space="preserve"> that investment cooperation is </w:t>
      </w:r>
      <w:r>
        <w:rPr>
          <w:rFonts w:hint="eastAsia"/>
          <w:sz w:val="24"/>
        </w:rPr>
        <w:t>advancing soundly</w:t>
      </w:r>
      <w:r>
        <w:rPr>
          <w:sz w:val="24"/>
        </w:rPr>
        <w:t xml:space="preserve">. The sectoral structure of outbound investments improved further. During </w:t>
      </w:r>
      <w:r>
        <w:rPr>
          <w:rFonts w:hint="eastAsia"/>
          <w:sz w:val="24"/>
        </w:rPr>
        <w:t>the first half of 2017</w:t>
      </w:r>
      <w:r>
        <w:rPr>
          <w:sz w:val="24"/>
        </w:rPr>
        <w:t xml:space="preserve">, </w:t>
      </w:r>
      <w:r>
        <w:rPr>
          <w:rFonts w:hint="eastAsia"/>
          <w:sz w:val="24"/>
        </w:rPr>
        <w:t>outbound investment</w:t>
      </w:r>
      <w:r>
        <w:rPr>
          <w:sz w:val="24"/>
        </w:rPr>
        <w:t>s</w:t>
      </w:r>
      <w:r>
        <w:rPr>
          <w:rFonts w:hint="eastAsia"/>
          <w:sz w:val="24"/>
        </w:rPr>
        <w:t xml:space="preserve"> ma</w:t>
      </w:r>
      <w:r>
        <w:rPr>
          <w:sz w:val="24"/>
        </w:rPr>
        <w:t>inly</w:t>
      </w:r>
      <w:r>
        <w:rPr>
          <w:rFonts w:hint="eastAsia"/>
          <w:sz w:val="24"/>
        </w:rPr>
        <w:t xml:space="preserve"> focused on leasing/commercial services, manufacturing, wholesale</w:t>
      </w:r>
      <w:r>
        <w:rPr>
          <w:sz w:val="24"/>
        </w:rPr>
        <w:t xml:space="preserve"> and retail</w:t>
      </w:r>
      <w:r>
        <w:rPr>
          <w:rFonts w:hint="eastAsia"/>
          <w:sz w:val="24"/>
        </w:rPr>
        <w:t xml:space="preserve">, </w:t>
      </w:r>
      <w:r>
        <w:rPr>
          <w:sz w:val="24"/>
        </w:rPr>
        <w:t>and the information transfers</w:t>
      </w:r>
      <w:r>
        <w:rPr>
          <w:rFonts w:hint="eastAsia"/>
          <w:sz w:val="24"/>
        </w:rPr>
        <w:t>/software/information</w:t>
      </w:r>
      <w:r>
        <w:rPr>
          <w:sz w:val="24"/>
        </w:rPr>
        <w:t xml:space="preserve"> technology service industries</w:t>
      </w:r>
      <w:r>
        <w:rPr>
          <w:rFonts w:hint="eastAsia"/>
          <w:sz w:val="24"/>
        </w:rPr>
        <w:t>,</w:t>
      </w:r>
      <w:r>
        <w:rPr>
          <w:sz w:val="24"/>
        </w:rPr>
        <w:t xml:space="preserve"> account</w:t>
      </w:r>
      <w:r>
        <w:rPr>
          <w:rFonts w:hint="eastAsia"/>
          <w:sz w:val="24"/>
        </w:rPr>
        <w:t>ing</w:t>
      </w:r>
      <w:r>
        <w:rPr>
          <w:sz w:val="24"/>
        </w:rPr>
        <w:t xml:space="preserve"> for </w:t>
      </w:r>
      <w:r>
        <w:rPr>
          <w:rFonts w:hint="eastAsia"/>
          <w:sz w:val="24"/>
        </w:rPr>
        <w:t>28</w:t>
      </w:r>
      <w:r>
        <w:rPr>
          <w:sz w:val="24"/>
        </w:rPr>
        <w:t>.3</w:t>
      </w:r>
      <w:r>
        <w:rPr>
          <w:rFonts w:hint="eastAsia"/>
          <w:sz w:val="24"/>
        </w:rPr>
        <w:t>, 18.3, 12.7</w:t>
      </w:r>
      <w:r>
        <w:rPr>
          <w:sz w:val="24"/>
        </w:rPr>
        <w:t>,</w:t>
      </w:r>
      <w:r>
        <w:rPr>
          <w:rFonts w:hint="eastAsia"/>
          <w:sz w:val="24"/>
        </w:rPr>
        <w:t xml:space="preserve"> and 11.4 </w:t>
      </w:r>
      <w:r>
        <w:rPr>
          <w:sz w:val="24"/>
        </w:rPr>
        <w:t>percent of the total</w:t>
      </w:r>
      <w:r>
        <w:rPr>
          <w:rFonts w:hint="eastAsia"/>
          <w:sz w:val="24"/>
        </w:rPr>
        <w:t xml:space="preserve"> respectively</w:t>
      </w:r>
      <w:r>
        <w:rPr>
          <w:sz w:val="24"/>
        </w:rPr>
        <w:t>.</w:t>
      </w:r>
    </w:p>
    <w:p>
      <w:pPr>
        <w:rPr>
          <w:sz w:val="24"/>
        </w:rPr>
      </w:pPr>
    </w:p>
    <w:p>
      <w:pPr>
        <w:pStyle w:val="4"/>
        <w:jc w:val="center"/>
        <w:rPr>
          <w:rFonts w:ascii="Times New Roman" w:hAnsi="Times New Roman" w:cs="Times New Roman"/>
          <w:b/>
          <w:sz w:val="24"/>
          <w:szCs w:val="24"/>
        </w:rPr>
      </w:pPr>
      <w:bookmarkStart w:id="154" w:name="_Toc492909040"/>
      <w:r>
        <w:rPr>
          <w:rFonts w:ascii="Times New Roman" w:hAnsi="Times New Roman" w:cs="Times New Roman"/>
          <w:b/>
          <w:sz w:val="24"/>
          <w:szCs w:val="24"/>
        </w:rPr>
        <w:t xml:space="preserve">Figure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Figure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5</w:t>
      </w:r>
      <w:r>
        <w:rPr>
          <w:rFonts w:ascii="Times New Roman" w:hAnsi="Times New Roman" w:cs="Times New Roman"/>
          <w:b/>
          <w:sz w:val="24"/>
          <w:szCs w:val="24"/>
        </w:rPr>
        <w:fldChar w:fldCharType="end"/>
      </w:r>
      <w:r>
        <w:rPr>
          <w:rFonts w:ascii="Times New Roman" w:hAnsi="Times New Roman" w:eastAsia="仿宋_GB2312" w:cs="Times New Roman"/>
          <w:b/>
          <w:bCs/>
          <w:sz w:val="24"/>
          <w:szCs w:val="24"/>
        </w:rPr>
        <w:t xml:space="preserve"> Import and Export Growth and the Trade Surplus</w:t>
      </w:r>
      <w:bookmarkEnd w:id="154"/>
    </w:p>
    <w:p>
      <w:pPr>
        <w:jc w:val="center"/>
        <w:rPr>
          <w:rFonts w:cstheme="minorBidi"/>
          <w:sz w:val="24"/>
        </w:rPr>
      </w:pPr>
      <w:r>
        <w:drawing>
          <wp:inline distT="0" distB="0" distL="0" distR="0">
            <wp:extent cx="5281930" cy="296164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0"/>
                    <a:srcRect/>
                    <a:stretch>
                      <a:fillRect/>
                    </a:stretch>
                  </pic:blipFill>
                  <pic:spPr>
                    <a:xfrm>
                      <a:off x="0" y="0"/>
                      <a:ext cx="5281930" cy="2961640"/>
                    </a:xfrm>
                    <a:prstGeom prst="rect">
                      <a:avLst/>
                    </a:prstGeom>
                    <a:noFill/>
                    <a:ln w="9525">
                      <a:noFill/>
                      <a:miter lim="800000"/>
                      <a:headEnd/>
                      <a:tailEnd/>
                    </a:ln>
                  </pic:spPr>
                </pic:pic>
              </a:graphicData>
            </a:graphic>
          </wp:inline>
        </w:drawing>
      </w:r>
    </w:p>
    <w:p>
      <w:pPr>
        <w:pStyle w:val="33"/>
        <w:spacing w:line="240" w:lineRule="auto"/>
        <w:ind w:firstLine="0" w:firstLineChars="0"/>
        <w:rPr>
          <w:rFonts w:ascii="Times New Roman" w:hAnsi="Times New Roman"/>
          <w:snapToGrid w:val="0"/>
        </w:rPr>
      </w:pPr>
      <w:r>
        <w:rPr>
          <w:rFonts w:ascii="Times New Roman" w:hAnsi="Times New Roman"/>
          <w:snapToGrid w:val="0"/>
          <w:sz w:val="21"/>
          <w:szCs w:val="21"/>
        </w:rPr>
        <w:t>Source: General Administration of Customs</w:t>
      </w:r>
    </w:p>
    <w:p>
      <w:pPr>
        <w:rPr>
          <w:rFonts w:cstheme="minorBidi"/>
          <w:sz w:val="24"/>
        </w:rPr>
      </w:pPr>
    </w:p>
    <w:p>
      <w:pPr>
        <w:rPr>
          <w:sz w:val="24"/>
        </w:rPr>
      </w:pPr>
    </w:p>
    <w:p>
      <w:pPr>
        <w:rPr>
          <w:b/>
          <w:bCs/>
          <w:sz w:val="24"/>
        </w:rPr>
      </w:pPr>
      <w:r>
        <w:rPr>
          <w:b/>
          <w:bCs/>
          <w:sz w:val="24"/>
        </w:rPr>
        <w:t>2. Agricultural production was generally stable and industrial production picked up notably</w:t>
      </w:r>
    </w:p>
    <w:p>
      <w:pPr>
        <w:rPr>
          <w:sz w:val="24"/>
        </w:rPr>
      </w:pPr>
      <w:r>
        <w:rPr>
          <w:rFonts w:hint="eastAsia"/>
          <w:sz w:val="24"/>
        </w:rPr>
        <w:t>In terms of industries, t</w:t>
      </w:r>
      <w:r>
        <w:rPr>
          <w:sz w:val="24"/>
        </w:rPr>
        <w:t xml:space="preserve">he value-added of tertiary industry grew faster than that of secondary industry, </w:t>
      </w:r>
      <w:r>
        <w:rPr>
          <w:rFonts w:hint="eastAsia"/>
          <w:sz w:val="24"/>
        </w:rPr>
        <w:t xml:space="preserve">though the share of secondary industry picked up. </w:t>
      </w:r>
      <w:r>
        <w:rPr>
          <w:sz w:val="24"/>
        </w:rPr>
        <w:t>I</w:t>
      </w:r>
      <w:r>
        <w:rPr>
          <w:rFonts w:hint="eastAsia"/>
          <w:sz w:val="24"/>
        </w:rPr>
        <w:t xml:space="preserve">n the first half of 2017, </w:t>
      </w:r>
      <w:r>
        <w:rPr>
          <w:sz w:val="24"/>
        </w:rPr>
        <w:t xml:space="preserve">the value-added of the primary, secondary, and tertiary industries were RMB </w:t>
      </w:r>
      <w:r>
        <w:rPr>
          <w:rFonts w:hint="eastAsia"/>
          <w:sz w:val="24"/>
        </w:rPr>
        <w:t>2.2</w:t>
      </w:r>
      <w:r>
        <w:rPr>
          <w:sz w:val="24"/>
        </w:rPr>
        <w:t xml:space="preserve"> </w:t>
      </w:r>
      <w:r>
        <w:rPr>
          <w:rFonts w:hint="eastAsia"/>
          <w:sz w:val="24"/>
        </w:rPr>
        <w:t>tr</w:t>
      </w:r>
      <w:r>
        <w:rPr>
          <w:sz w:val="24"/>
        </w:rPr>
        <w:t xml:space="preserve">illion, RMB </w:t>
      </w:r>
      <w:r>
        <w:rPr>
          <w:rFonts w:hint="eastAsia"/>
          <w:sz w:val="24"/>
        </w:rPr>
        <w:t>15.3 t</w:t>
      </w:r>
      <w:r>
        <w:rPr>
          <w:sz w:val="24"/>
        </w:rPr>
        <w:t xml:space="preserve">rillion, and RMB </w:t>
      </w:r>
      <w:r>
        <w:rPr>
          <w:rFonts w:hint="eastAsia"/>
          <w:sz w:val="24"/>
        </w:rPr>
        <w:t>20.7</w:t>
      </w:r>
      <w:r>
        <w:rPr>
          <w:sz w:val="24"/>
        </w:rPr>
        <w:t xml:space="preserve"> trillion respectively, up 3</w:t>
      </w:r>
      <w:r>
        <w:rPr>
          <w:rFonts w:hint="eastAsia"/>
          <w:sz w:val="24"/>
        </w:rPr>
        <w:t>.5</w:t>
      </w:r>
      <w:r>
        <w:rPr>
          <w:sz w:val="24"/>
        </w:rPr>
        <w:t xml:space="preserve"> percent, 6.4 percent, and 7.7 percent year on year and accounting for </w:t>
      </w:r>
      <w:r>
        <w:rPr>
          <w:rFonts w:hint="eastAsia"/>
          <w:sz w:val="24"/>
        </w:rPr>
        <w:t>5</w:t>
      </w:r>
      <w:r>
        <w:rPr>
          <w:sz w:val="24"/>
        </w:rPr>
        <w:t xml:space="preserve">.8 percent, </w:t>
      </w:r>
      <w:r>
        <w:rPr>
          <w:rFonts w:hint="eastAsia"/>
          <w:sz w:val="24"/>
        </w:rPr>
        <w:t>40</w:t>
      </w:r>
      <w:r>
        <w:rPr>
          <w:sz w:val="24"/>
        </w:rPr>
        <w:t>.</w:t>
      </w:r>
      <w:r>
        <w:rPr>
          <w:rFonts w:hint="eastAsia"/>
          <w:sz w:val="24"/>
        </w:rPr>
        <w:t>1</w:t>
      </w:r>
      <w:r>
        <w:rPr>
          <w:sz w:val="24"/>
        </w:rPr>
        <w:t xml:space="preserve"> percent, and 5</w:t>
      </w:r>
      <w:r>
        <w:rPr>
          <w:rFonts w:hint="eastAsia"/>
          <w:sz w:val="24"/>
        </w:rPr>
        <w:t>4</w:t>
      </w:r>
      <w:r>
        <w:rPr>
          <w:sz w:val="24"/>
        </w:rPr>
        <w:t>.</w:t>
      </w:r>
      <w:r>
        <w:rPr>
          <w:rFonts w:hint="eastAsia"/>
          <w:sz w:val="24"/>
        </w:rPr>
        <w:t>1</w:t>
      </w:r>
      <w:r>
        <w:rPr>
          <w:sz w:val="24"/>
        </w:rPr>
        <w:t xml:space="preserve"> percent of GDP. The share of tertiary industry</w:t>
      </w:r>
      <w:r>
        <w:rPr>
          <w:rFonts w:hint="eastAsia"/>
          <w:sz w:val="24"/>
        </w:rPr>
        <w:t xml:space="preserve"> </w:t>
      </w:r>
      <w:r>
        <w:rPr>
          <w:sz w:val="24"/>
        </w:rPr>
        <w:t>was</w:t>
      </w:r>
      <w:r>
        <w:rPr>
          <w:rFonts w:hint="eastAsia"/>
          <w:sz w:val="24"/>
        </w:rPr>
        <w:t xml:space="preserve"> 14 percentage points higher than that of secondary industry, though the share of </w:t>
      </w:r>
      <w:r>
        <w:rPr>
          <w:sz w:val="24"/>
        </w:rPr>
        <w:t>secondary industry</w:t>
      </w:r>
      <w:r>
        <w:rPr>
          <w:rFonts w:hint="eastAsia"/>
          <w:sz w:val="24"/>
        </w:rPr>
        <w:t xml:space="preserve"> increased by 1.4 percentage points compared with Q1</w:t>
      </w:r>
      <w:r>
        <w:rPr>
          <w:sz w:val="24"/>
        </w:rPr>
        <w:t xml:space="preserve">. </w:t>
      </w:r>
    </w:p>
    <w:p>
      <w:pPr>
        <w:rPr>
          <w:sz w:val="24"/>
        </w:rPr>
      </w:pPr>
    </w:p>
    <w:p>
      <w:pPr>
        <w:rPr>
          <w:sz w:val="24"/>
        </w:rPr>
      </w:pPr>
      <w:r>
        <w:rPr>
          <w:sz w:val="24"/>
        </w:rPr>
        <w:t>Agricultural production was generally</w:t>
      </w:r>
      <w:r>
        <w:rPr>
          <w:rFonts w:hint="eastAsia"/>
          <w:sz w:val="24"/>
        </w:rPr>
        <w:t xml:space="preserve"> stable</w:t>
      </w:r>
      <w:r>
        <w:rPr>
          <w:sz w:val="24"/>
        </w:rPr>
        <w:t>.</w:t>
      </w:r>
      <w:r>
        <w:rPr>
          <w:rFonts w:hint="eastAsia"/>
          <w:sz w:val="24"/>
        </w:rPr>
        <w:t xml:space="preserve"> Summer grain crops rose by 0.9 percent year on year to 140.52 million tons, a 1.31 million ton increase from 2016</w:t>
      </w:r>
      <w:r>
        <w:rPr>
          <w:sz w:val="24"/>
        </w:rPr>
        <w:t xml:space="preserve">. During </w:t>
      </w:r>
      <w:r>
        <w:rPr>
          <w:rFonts w:hint="eastAsia"/>
          <w:sz w:val="24"/>
        </w:rPr>
        <w:t>the first half of 2017</w:t>
      </w:r>
      <w:r>
        <w:rPr>
          <w:sz w:val="24"/>
        </w:rPr>
        <w:t>, total output of pork, beef, mutton,</w:t>
      </w:r>
      <w:r>
        <w:rPr>
          <w:rFonts w:hint="eastAsia"/>
          <w:sz w:val="24"/>
        </w:rPr>
        <w:t xml:space="preserve"> </w:t>
      </w:r>
      <w:r>
        <w:rPr>
          <w:sz w:val="24"/>
        </w:rPr>
        <w:t xml:space="preserve">and poultry increased by </w:t>
      </w:r>
      <w:r>
        <w:rPr>
          <w:rFonts w:hint="eastAsia"/>
          <w:sz w:val="24"/>
        </w:rPr>
        <w:t>1</w:t>
      </w:r>
      <w:r>
        <w:rPr>
          <w:sz w:val="24"/>
        </w:rPr>
        <w:t xml:space="preserve"> percent year on year to </w:t>
      </w:r>
      <w:r>
        <w:rPr>
          <w:rFonts w:hint="eastAsia"/>
          <w:sz w:val="24"/>
        </w:rPr>
        <w:t>38.92</w:t>
      </w:r>
      <w:r>
        <w:rPr>
          <w:sz w:val="24"/>
        </w:rPr>
        <w:t xml:space="preserve"> million tons</w:t>
      </w:r>
      <w:r>
        <w:rPr>
          <w:rFonts w:hint="eastAsia"/>
          <w:sz w:val="24"/>
        </w:rPr>
        <w:t xml:space="preserve">, 0.8 percentage point higher than that </w:t>
      </w:r>
      <w:r>
        <w:rPr>
          <w:sz w:val="24"/>
        </w:rPr>
        <w:t>in</w:t>
      </w:r>
      <w:r>
        <w:rPr>
          <w:rFonts w:hint="eastAsia"/>
          <w:sz w:val="24"/>
        </w:rPr>
        <w:t xml:space="preserve"> Q1</w:t>
      </w:r>
      <w:r>
        <w:rPr>
          <w:sz w:val="24"/>
        </w:rPr>
        <w:t xml:space="preserve">. </w:t>
      </w:r>
    </w:p>
    <w:p>
      <w:pPr>
        <w:rPr>
          <w:sz w:val="24"/>
        </w:rPr>
      </w:pPr>
    </w:p>
    <w:p>
      <w:pPr>
        <w:rPr>
          <w:sz w:val="24"/>
        </w:rPr>
      </w:pPr>
      <w:r>
        <w:rPr>
          <w:sz w:val="24"/>
        </w:rPr>
        <w:t>Industrial production accelerated and corporate</w:t>
      </w:r>
      <w:r>
        <w:rPr>
          <w:rFonts w:hint="eastAsia"/>
          <w:sz w:val="24"/>
        </w:rPr>
        <w:t xml:space="preserve"> profits </w:t>
      </w:r>
      <w:r>
        <w:rPr>
          <w:sz w:val="24"/>
        </w:rPr>
        <w:t xml:space="preserve">continued to improve. During </w:t>
      </w:r>
      <w:r>
        <w:rPr>
          <w:rFonts w:hint="eastAsia"/>
          <w:sz w:val="24"/>
        </w:rPr>
        <w:t xml:space="preserve">the </w:t>
      </w:r>
      <w:r>
        <w:rPr>
          <w:sz w:val="24"/>
        </w:rPr>
        <w:t>first</w:t>
      </w:r>
      <w:r>
        <w:rPr>
          <w:rFonts w:hint="eastAsia"/>
          <w:sz w:val="24"/>
        </w:rPr>
        <w:t xml:space="preserve"> half of 2017</w:t>
      </w:r>
      <w:r>
        <w:rPr>
          <w:sz w:val="24"/>
        </w:rPr>
        <w:t>, the value-added of statistically large industrial firms (SLIFs) increased by 6.</w:t>
      </w:r>
      <w:r>
        <w:rPr>
          <w:rFonts w:hint="eastAsia"/>
          <w:sz w:val="24"/>
        </w:rPr>
        <w:t>9</w:t>
      </w:r>
      <w:r>
        <w:rPr>
          <w:sz w:val="24"/>
        </w:rPr>
        <w:t xml:space="preserve"> percent year on year in comparable prices, </w:t>
      </w:r>
      <w:r>
        <w:rPr>
          <w:rFonts w:hint="eastAsia"/>
          <w:sz w:val="24"/>
        </w:rPr>
        <w:t>0.1</w:t>
      </w:r>
      <w:r>
        <w:rPr>
          <w:sz w:val="24"/>
        </w:rPr>
        <w:t xml:space="preserve"> percentage point higher than that in </w:t>
      </w:r>
      <w:r>
        <w:rPr>
          <w:rFonts w:hint="eastAsia"/>
          <w:sz w:val="24"/>
        </w:rPr>
        <w:t xml:space="preserve">Q1. The </w:t>
      </w:r>
      <w:r>
        <w:rPr>
          <w:sz w:val="24"/>
        </w:rPr>
        <w:t>manufacturing</w:t>
      </w:r>
      <w:r>
        <w:rPr>
          <w:rFonts w:hint="eastAsia"/>
          <w:sz w:val="24"/>
        </w:rPr>
        <w:t xml:space="preserve"> industry w</w:t>
      </w:r>
      <w:r>
        <w:rPr>
          <w:sz w:val="24"/>
        </w:rPr>
        <w:t>as</w:t>
      </w:r>
      <w:r>
        <w:rPr>
          <w:rFonts w:hint="eastAsia"/>
          <w:sz w:val="24"/>
        </w:rPr>
        <w:t xml:space="preserve"> upgrading to </w:t>
      </w:r>
      <w:r>
        <w:rPr>
          <w:sz w:val="24"/>
        </w:rPr>
        <w:t xml:space="preserve">the </w:t>
      </w:r>
      <w:r>
        <w:rPr>
          <w:rFonts w:hint="eastAsia"/>
          <w:sz w:val="24"/>
        </w:rPr>
        <w:t xml:space="preserve">mid- and high-end. </w:t>
      </w:r>
      <w:r>
        <w:rPr>
          <w:sz w:val="24"/>
        </w:rPr>
        <w:t>I</w:t>
      </w:r>
      <w:r>
        <w:rPr>
          <w:rFonts w:hint="eastAsia"/>
          <w:sz w:val="24"/>
        </w:rPr>
        <w:t>n the first half of 2017,</w:t>
      </w:r>
      <w:r>
        <w:rPr>
          <w:sz w:val="24"/>
        </w:rPr>
        <w:t xml:space="preserve"> growth</w:t>
      </w:r>
      <w:r>
        <w:rPr>
          <w:rFonts w:hint="eastAsia"/>
          <w:sz w:val="24"/>
        </w:rPr>
        <w:t xml:space="preserve"> of value-added in </w:t>
      </w:r>
      <w:r>
        <w:rPr>
          <w:sz w:val="24"/>
        </w:rPr>
        <w:t xml:space="preserve">the </w:t>
      </w:r>
      <w:r>
        <w:rPr>
          <w:rFonts w:hint="eastAsia"/>
          <w:sz w:val="24"/>
        </w:rPr>
        <w:t xml:space="preserve">high-tech and equipment manufacturing industries outperformed the SLIFs by 6.2 </w:t>
      </w:r>
      <w:r>
        <w:rPr>
          <w:sz w:val="24"/>
        </w:rPr>
        <w:t xml:space="preserve">percentage points </w:t>
      </w:r>
      <w:r>
        <w:rPr>
          <w:rFonts w:hint="eastAsia"/>
          <w:sz w:val="24"/>
        </w:rPr>
        <w:t xml:space="preserve">and 4.6 percentage points </w:t>
      </w:r>
      <w:r>
        <w:rPr>
          <w:sz w:val="24"/>
        </w:rPr>
        <w:t>respectively</w:t>
      </w:r>
      <w:r>
        <w:rPr>
          <w:rFonts w:hint="eastAsia"/>
          <w:sz w:val="24"/>
        </w:rPr>
        <w:t xml:space="preserve">, accounting for 12.2 </w:t>
      </w:r>
      <w:r>
        <w:rPr>
          <w:sz w:val="24"/>
        </w:rPr>
        <w:t xml:space="preserve">percent </w:t>
      </w:r>
      <w:r>
        <w:rPr>
          <w:rFonts w:hint="eastAsia"/>
          <w:sz w:val="24"/>
        </w:rPr>
        <w:t xml:space="preserve">and 32.3 percent of the total value-added </w:t>
      </w:r>
      <w:r>
        <w:rPr>
          <w:sz w:val="24"/>
        </w:rPr>
        <w:t>of</w:t>
      </w:r>
      <w:r>
        <w:rPr>
          <w:rFonts w:hint="eastAsia"/>
          <w:sz w:val="24"/>
        </w:rPr>
        <w:t xml:space="preserve"> SLIFs respectively. Corporate profits continued to improve. </w:t>
      </w:r>
      <w:r>
        <w:rPr>
          <w:sz w:val="24"/>
        </w:rPr>
        <w:t>During</w:t>
      </w:r>
      <w:r>
        <w:rPr>
          <w:rFonts w:hint="eastAsia"/>
          <w:sz w:val="24"/>
        </w:rPr>
        <w:t xml:space="preserve"> the first half of 2017</w:t>
      </w:r>
      <w:r>
        <w:rPr>
          <w:sz w:val="24"/>
        </w:rPr>
        <w:t xml:space="preserve">, the profits of SLIFs surged </w:t>
      </w:r>
      <w:r>
        <w:rPr>
          <w:rFonts w:hint="eastAsia"/>
          <w:sz w:val="24"/>
        </w:rPr>
        <w:t>22</w:t>
      </w:r>
      <w:r>
        <w:rPr>
          <w:sz w:val="24"/>
        </w:rPr>
        <w:t xml:space="preserve"> percent year on year to RMB </w:t>
      </w:r>
      <w:r>
        <w:rPr>
          <w:rFonts w:hint="eastAsia"/>
          <w:sz w:val="24"/>
        </w:rPr>
        <w:t>3633.75</w:t>
      </w:r>
      <w:r>
        <w:rPr>
          <w:sz w:val="24"/>
        </w:rPr>
        <w:t xml:space="preserve"> billion,</w:t>
      </w:r>
      <w:r>
        <w:rPr>
          <w:rFonts w:hint="eastAsia"/>
          <w:sz w:val="24"/>
        </w:rPr>
        <w:t xml:space="preserve"> with year-on-year </w:t>
      </w:r>
      <w:r>
        <w:rPr>
          <w:sz w:val="24"/>
        </w:rPr>
        <w:t>growth</w:t>
      </w:r>
      <w:r>
        <w:rPr>
          <w:rFonts w:hint="eastAsia"/>
          <w:sz w:val="24"/>
        </w:rPr>
        <w:t xml:space="preserve"> in June register</w:t>
      </w:r>
      <w:r>
        <w:rPr>
          <w:sz w:val="24"/>
        </w:rPr>
        <w:t>ing</w:t>
      </w:r>
      <w:r>
        <w:rPr>
          <w:rFonts w:hint="eastAsia"/>
          <w:sz w:val="24"/>
        </w:rPr>
        <w:t xml:space="preserve"> 19.1 percent, 2.4 percentage points higher than th</w:t>
      </w:r>
      <w:r>
        <w:rPr>
          <w:sz w:val="24"/>
        </w:rPr>
        <w:t>ose</w:t>
      </w:r>
      <w:r>
        <w:rPr>
          <w:rFonts w:hint="eastAsia"/>
          <w:sz w:val="24"/>
        </w:rPr>
        <w:t xml:space="preserve"> </w:t>
      </w:r>
      <w:r>
        <w:rPr>
          <w:sz w:val="24"/>
        </w:rPr>
        <w:t>in</w:t>
      </w:r>
      <w:r>
        <w:rPr>
          <w:rFonts w:hint="eastAsia"/>
          <w:sz w:val="24"/>
        </w:rPr>
        <w:t xml:space="preserve"> May</w:t>
      </w:r>
      <w:r>
        <w:rPr>
          <w:sz w:val="24"/>
        </w:rPr>
        <w:t xml:space="preserve">. </w:t>
      </w:r>
      <w:r>
        <w:rPr>
          <w:rFonts w:hint="eastAsia"/>
          <w:sz w:val="24"/>
        </w:rPr>
        <w:t>P</w:t>
      </w:r>
      <w:r>
        <w:rPr>
          <w:sz w:val="24"/>
        </w:rPr>
        <w:t xml:space="preserve">rofit margins of key businesses </w:t>
      </w:r>
      <w:r>
        <w:rPr>
          <w:rFonts w:hint="eastAsia"/>
          <w:sz w:val="24"/>
        </w:rPr>
        <w:t xml:space="preserve">stood at </w:t>
      </w:r>
      <w:r>
        <w:rPr>
          <w:sz w:val="24"/>
        </w:rPr>
        <w:t>6.</w:t>
      </w:r>
      <w:r>
        <w:rPr>
          <w:rFonts w:hint="eastAsia"/>
          <w:sz w:val="24"/>
        </w:rPr>
        <w:t>35</w:t>
      </w:r>
      <w:r>
        <w:rPr>
          <w:sz w:val="24"/>
        </w:rPr>
        <w:t xml:space="preserve"> percent, </w:t>
      </w:r>
      <w:r>
        <w:rPr>
          <w:rFonts w:hint="eastAsia"/>
          <w:sz w:val="24"/>
        </w:rPr>
        <w:t>0.29 percentage point higher than th</w:t>
      </w:r>
      <w:r>
        <w:rPr>
          <w:sz w:val="24"/>
        </w:rPr>
        <w:t>ose in the</w:t>
      </w:r>
      <w:r>
        <w:rPr>
          <w:rFonts w:hint="eastAsia"/>
          <w:sz w:val="24"/>
        </w:rPr>
        <w:t xml:space="preserve"> last year</w:t>
      </w:r>
      <w:r>
        <w:rPr>
          <w:sz w:val="24"/>
        </w:rPr>
        <w:t xml:space="preserve"> and</w:t>
      </w:r>
      <w:r>
        <w:rPr>
          <w:rFonts w:hint="eastAsia"/>
          <w:sz w:val="24"/>
        </w:rPr>
        <w:t xml:space="preserve"> maintaining </w:t>
      </w:r>
      <w:r>
        <w:rPr>
          <w:sz w:val="24"/>
        </w:rPr>
        <w:t>an</w:t>
      </w:r>
      <w:r>
        <w:rPr>
          <w:rFonts w:hint="eastAsia"/>
          <w:sz w:val="24"/>
        </w:rPr>
        <w:t xml:space="preserve"> upward trend</w:t>
      </w:r>
      <w:r>
        <w:rPr>
          <w:sz w:val="24"/>
        </w:rPr>
        <w:t>. According to the</w:t>
      </w:r>
      <w:r>
        <w:rPr>
          <w:i/>
          <w:iCs/>
          <w:sz w:val="24"/>
        </w:rPr>
        <w:t xml:space="preserve"> </w:t>
      </w:r>
      <w:r>
        <w:rPr>
          <w:iCs/>
          <w:sz w:val="24"/>
        </w:rPr>
        <w:t>Q2</w:t>
      </w:r>
      <w:r>
        <w:rPr>
          <w:i/>
          <w:iCs/>
          <w:sz w:val="24"/>
        </w:rPr>
        <w:t xml:space="preserve"> Entrepreneurs’ Survey</w:t>
      </w:r>
      <w:r>
        <w:rPr>
          <w:sz w:val="24"/>
        </w:rPr>
        <w:t xml:space="preserve"> </w:t>
      </w:r>
      <w:r>
        <w:rPr>
          <w:i/>
          <w:iCs/>
          <w:sz w:val="24"/>
        </w:rPr>
        <w:t xml:space="preserve">of 5,000 </w:t>
      </w:r>
      <w:r>
        <w:rPr>
          <w:rFonts w:hint="eastAsia"/>
          <w:i/>
          <w:iCs/>
          <w:sz w:val="24"/>
        </w:rPr>
        <w:t xml:space="preserve">Industrial </w:t>
      </w:r>
      <w:r>
        <w:rPr>
          <w:i/>
          <w:iCs/>
          <w:sz w:val="24"/>
        </w:rPr>
        <w:t>Enterprises</w:t>
      </w:r>
      <w:r>
        <w:rPr>
          <w:sz w:val="24"/>
        </w:rPr>
        <w:t>, conducted by the PBC, the corporate performance index posted 5</w:t>
      </w:r>
      <w:r>
        <w:rPr>
          <w:rFonts w:hint="eastAsia"/>
          <w:sz w:val="24"/>
        </w:rPr>
        <w:t>4.6</w:t>
      </w:r>
      <w:r>
        <w:rPr>
          <w:sz w:val="24"/>
        </w:rPr>
        <w:t xml:space="preserve"> percent, </w:t>
      </w:r>
      <w:r>
        <w:rPr>
          <w:rFonts w:hint="eastAsia"/>
          <w:sz w:val="24"/>
        </w:rPr>
        <w:t>up by</w:t>
      </w:r>
      <w:r>
        <w:rPr>
          <w:sz w:val="24"/>
        </w:rPr>
        <w:t xml:space="preserve"> </w:t>
      </w:r>
      <w:r>
        <w:rPr>
          <w:rFonts w:hint="eastAsia"/>
          <w:sz w:val="24"/>
        </w:rPr>
        <w:t>1.9</w:t>
      </w:r>
      <w:r>
        <w:rPr>
          <w:sz w:val="24"/>
        </w:rPr>
        <w:t xml:space="preserve"> percentage point</w:t>
      </w:r>
      <w:r>
        <w:rPr>
          <w:rFonts w:hint="eastAsia"/>
          <w:sz w:val="24"/>
        </w:rPr>
        <w:t>s</w:t>
      </w:r>
      <w:r>
        <w:rPr>
          <w:sz w:val="24"/>
        </w:rPr>
        <w:t xml:space="preserve"> </w:t>
      </w:r>
      <w:r>
        <w:rPr>
          <w:rFonts w:hint="eastAsia"/>
          <w:sz w:val="24"/>
        </w:rPr>
        <w:t xml:space="preserve">over </w:t>
      </w:r>
      <w:r>
        <w:rPr>
          <w:sz w:val="24"/>
        </w:rPr>
        <w:t>the last quarter and</w:t>
      </w:r>
      <w:r>
        <w:rPr>
          <w:rFonts w:hint="eastAsia"/>
          <w:sz w:val="24"/>
        </w:rPr>
        <w:t xml:space="preserve"> </w:t>
      </w:r>
      <w:r>
        <w:rPr>
          <w:sz w:val="24"/>
        </w:rPr>
        <w:t>exceed</w:t>
      </w:r>
      <w:r>
        <w:rPr>
          <w:rFonts w:hint="eastAsia"/>
          <w:sz w:val="24"/>
        </w:rPr>
        <w:t>ing</w:t>
      </w:r>
      <w:r>
        <w:rPr>
          <w:sz w:val="24"/>
        </w:rPr>
        <w:t xml:space="preserve"> 50 percent for the </w:t>
      </w:r>
      <w:r>
        <w:rPr>
          <w:rFonts w:hint="eastAsia"/>
          <w:sz w:val="24"/>
        </w:rPr>
        <w:t>fourth</w:t>
      </w:r>
      <w:r>
        <w:rPr>
          <w:sz w:val="24"/>
        </w:rPr>
        <w:t xml:space="preserve"> consecutive quarter. The corporate profit index reached </w:t>
      </w:r>
      <w:r>
        <w:rPr>
          <w:rFonts w:hint="eastAsia"/>
          <w:sz w:val="24"/>
        </w:rPr>
        <w:t>56.1</w:t>
      </w:r>
      <w:r>
        <w:rPr>
          <w:sz w:val="24"/>
        </w:rPr>
        <w:t xml:space="preserve"> percent, </w:t>
      </w:r>
      <w:r>
        <w:rPr>
          <w:rFonts w:hint="eastAsia"/>
          <w:sz w:val="24"/>
        </w:rPr>
        <w:t>up by 6.2 and 3.4</w:t>
      </w:r>
      <w:r>
        <w:rPr>
          <w:sz w:val="24"/>
        </w:rPr>
        <w:t xml:space="preserve"> percentage points hq/q and y/y</w:t>
      </w:r>
      <w:r>
        <w:rPr>
          <w:rFonts w:hint="eastAsia"/>
          <w:sz w:val="24"/>
        </w:rPr>
        <w:t xml:space="preserve"> respectively.</w:t>
      </w:r>
      <w:r>
        <w:rPr>
          <w:sz w:val="24"/>
        </w:rPr>
        <w:t xml:space="preserve"> </w:t>
      </w:r>
      <w:r>
        <w:rPr>
          <w:rFonts w:hint="eastAsia"/>
          <w:sz w:val="24"/>
        </w:rPr>
        <w:t>Th</w:t>
      </w:r>
      <w:r>
        <w:rPr>
          <w:sz w:val="24"/>
        </w:rPr>
        <w:t xml:space="preserve">e domestic order index posted </w:t>
      </w:r>
      <w:r>
        <w:rPr>
          <w:rFonts w:hint="eastAsia"/>
          <w:sz w:val="24"/>
        </w:rPr>
        <w:t>50.6</w:t>
      </w:r>
      <w:r>
        <w:rPr>
          <w:sz w:val="24"/>
        </w:rPr>
        <w:t xml:space="preserve"> percent</w:t>
      </w:r>
      <w:r>
        <w:rPr>
          <w:rFonts w:hint="eastAsia"/>
          <w:sz w:val="24"/>
        </w:rPr>
        <w:t xml:space="preserve"> and </w:t>
      </w:r>
      <w:r>
        <w:rPr>
          <w:sz w:val="24"/>
        </w:rPr>
        <w:t xml:space="preserve">the export order index posted </w:t>
      </w:r>
      <w:r>
        <w:rPr>
          <w:rFonts w:hint="eastAsia"/>
          <w:sz w:val="24"/>
        </w:rPr>
        <w:t>50.4</w:t>
      </w:r>
      <w:r>
        <w:rPr>
          <w:sz w:val="24"/>
        </w:rPr>
        <w:t xml:space="preserve"> percent,</w:t>
      </w:r>
      <w:r>
        <w:rPr>
          <w:rFonts w:hint="eastAsia"/>
          <w:sz w:val="24"/>
        </w:rPr>
        <w:t xml:space="preserve"> both exceeding 50</w:t>
      </w:r>
      <w:r>
        <w:rPr>
          <w:sz w:val="24"/>
        </w:rPr>
        <w:t xml:space="preserve"> percent</w:t>
      </w:r>
      <w:r>
        <w:rPr>
          <w:rFonts w:hint="eastAsia"/>
          <w:sz w:val="24"/>
        </w:rPr>
        <w:t xml:space="preserve"> for the first time since Q4 </w:t>
      </w:r>
      <w:r>
        <w:rPr>
          <w:sz w:val="24"/>
        </w:rPr>
        <w:t xml:space="preserve">of </w:t>
      </w:r>
      <w:r>
        <w:rPr>
          <w:rFonts w:hint="eastAsia"/>
          <w:sz w:val="24"/>
        </w:rPr>
        <w:t>2011</w:t>
      </w:r>
      <w:r>
        <w:rPr>
          <w:sz w:val="24"/>
        </w:rPr>
        <w:t>.</w:t>
      </w:r>
    </w:p>
    <w:p>
      <w:pPr>
        <w:rPr>
          <w:sz w:val="24"/>
        </w:rPr>
      </w:pPr>
    </w:p>
    <w:p>
      <w:pPr>
        <w:rPr>
          <w:sz w:val="24"/>
        </w:rPr>
      </w:pPr>
      <w:r>
        <w:rPr>
          <w:b/>
          <w:bCs/>
          <w:sz w:val="24"/>
        </w:rPr>
        <w:t xml:space="preserve">3. Consumer prices rose moderately and the growth of producer prices </w:t>
      </w:r>
      <w:r>
        <w:rPr>
          <w:rFonts w:hint="eastAsia"/>
          <w:b/>
          <w:bCs/>
          <w:sz w:val="24"/>
        </w:rPr>
        <w:t>declined</w:t>
      </w:r>
    </w:p>
    <w:p>
      <w:pPr>
        <w:rPr>
          <w:sz w:val="24"/>
        </w:rPr>
      </w:pPr>
      <w:r>
        <w:rPr>
          <w:rFonts w:hint="eastAsia"/>
          <w:sz w:val="24"/>
        </w:rPr>
        <w:t xml:space="preserve">Consumer prices rose moderately. </w:t>
      </w:r>
      <w:r>
        <w:rPr>
          <w:sz w:val="24"/>
        </w:rPr>
        <w:t xml:space="preserve">During </w:t>
      </w:r>
      <w:r>
        <w:rPr>
          <w:rFonts w:hint="eastAsia"/>
          <w:sz w:val="24"/>
        </w:rPr>
        <w:t>the first half of 2017</w:t>
      </w:r>
      <w:r>
        <w:rPr>
          <w:sz w:val="24"/>
        </w:rPr>
        <w:t>, the CPI rose 1.4 percent year on year</w:t>
      </w:r>
      <w:r>
        <w:rPr>
          <w:rFonts w:hint="eastAsia"/>
          <w:sz w:val="24"/>
        </w:rPr>
        <w:t>.</w:t>
      </w:r>
      <w:r>
        <w:rPr>
          <w:sz w:val="24"/>
        </w:rPr>
        <w:t xml:space="preserve"> Monthly growth from </w:t>
      </w:r>
      <w:r>
        <w:rPr>
          <w:rFonts w:hint="eastAsia"/>
          <w:sz w:val="24"/>
        </w:rPr>
        <w:t>April</w:t>
      </w:r>
      <w:r>
        <w:rPr>
          <w:sz w:val="24"/>
        </w:rPr>
        <w:t xml:space="preserve"> through </w:t>
      </w:r>
      <w:r>
        <w:rPr>
          <w:rFonts w:hint="eastAsia"/>
          <w:sz w:val="24"/>
        </w:rPr>
        <w:t>June</w:t>
      </w:r>
      <w:r>
        <w:rPr>
          <w:sz w:val="24"/>
        </w:rPr>
        <w:t xml:space="preserve"> registered </w:t>
      </w:r>
      <w:r>
        <w:rPr>
          <w:rFonts w:hint="eastAsia"/>
          <w:sz w:val="24"/>
        </w:rPr>
        <w:t>1.2</w:t>
      </w:r>
      <w:r>
        <w:rPr>
          <w:sz w:val="24"/>
        </w:rPr>
        <w:t xml:space="preserve"> percent, </w:t>
      </w:r>
      <w:r>
        <w:rPr>
          <w:rFonts w:hint="eastAsia"/>
          <w:sz w:val="24"/>
        </w:rPr>
        <w:t>1.5</w:t>
      </w:r>
      <w:r>
        <w:rPr>
          <w:sz w:val="24"/>
        </w:rPr>
        <w:t xml:space="preserve"> percent, and </w:t>
      </w:r>
      <w:r>
        <w:rPr>
          <w:rFonts w:hint="eastAsia"/>
          <w:sz w:val="24"/>
        </w:rPr>
        <w:t>1.5</w:t>
      </w:r>
      <w:r>
        <w:rPr>
          <w:sz w:val="24"/>
        </w:rPr>
        <w:t xml:space="preserve"> percent respectively, </w:t>
      </w:r>
      <w:r>
        <w:rPr>
          <w:rFonts w:hint="eastAsia"/>
          <w:sz w:val="24"/>
        </w:rPr>
        <w:t xml:space="preserve">with </w:t>
      </w:r>
      <w:r>
        <w:rPr>
          <w:sz w:val="24"/>
        </w:rPr>
        <w:t>an</w:t>
      </w:r>
      <w:r>
        <w:rPr>
          <w:rFonts w:hint="eastAsia"/>
          <w:sz w:val="24"/>
        </w:rPr>
        <w:t xml:space="preserve"> average of 1.4 percent in Q2, </w:t>
      </w:r>
      <w:r>
        <w:rPr>
          <w:sz w:val="24"/>
        </w:rPr>
        <w:t xml:space="preserve">the </w:t>
      </w:r>
      <w:r>
        <w:rPr>
          <w:rFonts w:hint="eastAsia"/>
          <w:sz w:val="24"/>
        </w:rPr>
        <w:t xml:space="preserve">same as that </w:t>
      </w:r>
      <w:r>
        <w:rPr>
          <w:sz w:val="24"/>
        </w:rPr>
        <w:t>in</w:t>
      </w:r>
      <w:r>
        <w:rPr>
          <w:rFonts w:hint="eastAsia"/>
          <w:sz w:val="24"/>
        </w:rPr>
        <w:t xml:space="preserve"> Q1</w:t>
      </w:r>
      <w:r>
        <w:rPr>
          <w:sz w:val="24"/>
        </w:rPr>
        <w:t>.</w:t>
      </w:r>
      <w:r>
        <w:rPr>
          <w:rFonts w:hint="eastAsia"/>
          <w:sz w:val="24"/>
        </w:rPr>
        <w:t xml:space="preserve"> In terms of food and non-food</w:t>
      </w:r>
      <w:r>
        <w:rPr>
          <w:sz w:val="24"/>
        </w:rPr>
        <w:t xml:space="preserve"> items, food prices </w:t>
      </w:r>
      <w:r>
        <w:rPr>
          <w:rFonts w:hint="eastAsia"/>
          <w:sz w:val="24"/>
        </w:rPr>
        <w:t xml:space="preserve">dipped further and </w:t>
      </w:r>
      <w:r>
        <w:rPr>
          <w:sz w:val="24"/>
        </w:rPr>
        <w:t xml:space="preserve">the growth of non-food prices </w:t>
      </w:r>
      <w:r>
        <w:rPr>
          <w:rFonts w:hint="eastAsia"/>
          <w:sz w:val="24"/>
        </w:rPr>
        <w:t>remained stable</w:t>
      </w:r>
      <w:r>
        <w:rPr>
          <w:sz w:val="24"/>
        </w:rPr>
        <w:t>. In Q</w:t>
      </w:r>
      <w:r>
        <w:rPr>
          <w:rFonts w:hint="eastAsia"/>
          <w:sz w:val="24"/>
        </w:rPr>
        <w:t>2</w:t>
      </w:r>
      <w:r>
        <w:rPr>
          <w:sz w:val="24"/>
        </w:rPr>
        <w:t xml:space="preserve">, the price of food declined by 2.1 percent year on year, </w:t>
      </w:r>
      <w:r>
        <w:rPr>
          <w:rFonts w:hint="eastAsia"/>
          <w:sz w:val="24"/>
        </w:rPr>
        <w:t xml:space="preserve">0.1 percentage point greater </w:t>
      </w:r>
      <w:r>
        <w:rPr>
          <w:sz w:val="24"/>
        </w:rPr>
        <w:t xml:space="preserve">than </w:t>
      </w:r>
      <w:r>
        <w:rPr>
          <w:rFonts w:hint="eastAsia"/>
          <w:sz w:val="24"/>
        </w:rPr>
        <w:t xml:space="preserve">that </w:t>
      </w:r>
      <w:r>
        <w:rPr>
          <w:sz w:val="24"/>
        </w:rPr>
        <w:t>in</w:t>
      </w:r>
      <w:r>
        <w:rPr>
          <w:rFonts w:hint="eastAsia"/>
          <w:sz w:val="24"/>
        </w:rPr>
        <w:t xml:space="preserve"> Q1</w:t>
      </w:r>
      <w:r>
        <w:rPr>
          <w:sz w:val="24"/>
        </w:rPr>
        <w:t xml:space="preserve">. The price of non-food items climbed 2.3 percent year on year, </w:t>
      </w:r>
      <w:r>
        <w:rPr>
          <w:rFonts w:hint="eastAsia"/>
          <w:sz w:val="24"/>
        </w:rPr>
        <w:t>the same as</w:t>
      </w:r>
      <w:r>
        <w:rPr>
          <w:sz w:val="24"/>
        </w:rPr>
        <w:t xml:space="preserve"> that in the previous quarter. </w:t>
      </w:r>
      <w:r>
        <w:rPr>
          <w:rFonts w:hint="eastAsia"/>
          <w:sz w:val="24"/>
        </w:rPr>
        <w:t>In terms of consumer goods and services, growth</w:t>
      </w:r>
      <w:r>
        <w:rPr>
          <w:sz w:val="24"/>
        </w:rPr>
        <w:t xml:space="preserve"> in the price</w:t>
      </w:r>
      <w:r>
        <w:rPr>
          <w:rFonts w:hint="eastAsia"/>
          <w:sz w:val="24"/>
        </w:rPr>
        <w:t xml:space="preserve"> </w:t>
      </w:r>
      <w:r>
        <w:rPr>
          <w:sz w:val="24"/>
        </w:rPr>
        <w:t>of consumer goods</w:t>
      </w:r>
      <w:r>
        <w:rPr>
          <w:rFonts w:hint="eastAsia"/>
          <w:sz w:val="24"/>
        </w:rPr>
        <w:t xml:space="preserve"> declined slightly</w:t>
      </w:r>
      <w:r>
        <w:rPr>
          <w:sz w:val="24"/>
        </w:rPr>
        <w:t xml:space="preserve">, </w:t>
      </w:r>
      <w:r>
        <w:rPr>
          <w:rFonts w:hint="eastAsia"/>
          <w:sz w:val="24"/>
        </w:rPr>
        <w:t>while</w:t>
      </w:r>
      <w:r>
        <w:rPr>
          <w:sz w:val="24"/>
        </w:rPr>
        <w:t xml:space="preserve"> growth in the price of services </w:t>
      </w:r>
      <w:r>
        <w:rPr>
          <w:rFonts w:hint="eastAsia"/>
          <w:sz w:val="24"/>
        </w:rPr>
        <w:t>accelerated</w:t>
      </w:r>
      <w:r>
        <w:rPr>
          <w:sz w:val="24"/>
        </w:rPr>
        <w:t xml:space="preserve">. </w:t>
      </w:r>
      <w:r>
        <w:rPr>
          <w:rFonts w:hint="eastAsia"/>
          <w:sz w:val="24"/>
        </w:rPr>
        <w:t>T</w:t>
      </w:r>
      <w:r>
        <w:rPr>
          <w:sz w:val="24"/>
        </w:rPr>
        <w:t>he price of consumer goods rose 0.</w:t>
      </w:r>
      <w:r>
        <w:rPr>
          <w:rFonts w:hint="eastAsia"/>
          <w:sz w:val="24"/>
        </w:rPr>
        <w:t>5</w:t>
      </w:r>
      <w:r>
        <w:rPr>
          <w:sz w:val="24"/>
        </w:rPr>
        <w:t xml:space="preserve"> percent year on year, </w:t>
      </w:r>
      <w:r>
        <w:rPr>
          <w:rFonts w:hint="eastAsia"/>
          <w:sz w:val="24"/>
        </w:rPr>
        <w:t>0.2</w:t>
      </w:r>
      <w:r>
        <w:rPr>
          <w:sz w:val="24"/>
        </w:rPr>
        <w:t xml:space="preserve"> percentage points less than that in the last quarter. The price index for services was up 2.</w:t>
      </w:r>
      <w:r>
        <w:rPr>
          <w:rFonts w:hint="eastAsia"/>
          <w:sz w:val="24"/>
        </w:rPr>
        <w:t>9</w:t>
      </w:r>
      <w:r>
        <w:rPr>
          <w:sz w:val="24"/>
        </w:rPr>
        <w:t xml:space="preserve"> percent year on year, 0.</w:t>
      </w:r>
      <w:r>
        <w:rPr>
          <w:rFonts w:hint="eastAsia"/>
          <w:sz w:val="24"/>
        </w:rPr>
        <w:t>1</w:t>
      </w:r>
      <w:r>
        <w:rPr>
          <w:sz w:val="24"/>
        </w:rPr>
        <w:t xml:space="preserve"> percentage point higher than that in the last quarter. </w:t>
      </w:r>
    </w:p>
    <w:p>
      <w:pPr>
        <w:rPr>
          <w:sz w:val="24"/>
        </w:rPr>
      </w:pPr>
    </w:p>
    <w:p>
      <w:pPr>
        <w:rPr>
          <w:sz w:val="24"/>
        </w:rPr>
      </w:pPr>
      <w:r>
        <w:rPr>
          <w:sz w:val="24"/>
        </w:rPr>
        <w:t>The growth of producer prices</w:t>
      </w:r>
      <w:r>
        <w:rPr>
          <w:rFonts w:hint="eastAsia"/>
          <w:sz w:val="24"/>
        </w:rPr>
        <w:t xml:space="preserve"> slowed down</w:t>
      </w:r>
      <w:r>
        <w:rPr>
          <w:sz w:val="24"/>
        </w:rPr>
        <w:t xml:space="preserve">. During </w:t>
      </w:r>
      <w:r>
        <w:rPr>
          <w:rFonts w:hint="eastAsia"/>
          <w:sz w:val="24"/>
        </w:rPr>
        <w:t>the first half of 2017</w:t>
      </w:r>
      <w:r>
        <w:rPr>
          <w:sz w:val="24"/>
        </w:rPr>
        <w:t xml:space="preserve">, the PPI gained </w:t>
      </w:r>
      <w:r>
        <w:rPr>
          <w:rFonts w:hint="eastAsia"/>
          <w:sz w:val="24"/>
        </w:rPr>
        <w:t>6.6</w:t>
      </w:r>
      <w:r>
        <w:rPr>
          <w:sz w:val="24"/>
        </w:rPr>
        <w:t xml:space="preserve"> percent year on year, </w:t>
      </w:r>
      <w:r>
        <w:rPr>
          <w:rFonts w:hint="eastAsia"/>
          <w:sz w:val="24"/>
        </w:rPr>
        <w:t>1.6</w:t>
      </w:r>
      <w:r>
        <w:rPr>
          <w:sz w:val="24"/>
        </w:rPr>
        <w:t xml:space="preserve"> percentage points </w:t>
      </w:r>
      <w:r>
        <w:rPr>
          <w:rFonts w:hint="eastAsia"/>
          <w:sz w:val="24"/>
        </w:rPr>
        <w:t>lower</w:t>
      </w:r>
      <w:r>
        <w:rPr>
          <w:sz w:val="24"/>
        </w:rPr>
        <w:t xml:space="preserve"> than that in the last quarter. Monthly growth from </w:t>
      </w:r>
      <w:r>
        <w:rPr>
          <w:rFonts w:hint="eastAsia"/>
          <w:sz w:val="24"/>
        </w:rPr>
        <w:t>April</w:t>
      </w:r>
      <w:r>
        <w:rPr>
          <w:sz w:val="24"/>
        </w:rPr>
        <w:t xml:space="preserve"> through </w:t>
      </w:r>
      <w:r>
        <w:rPr>
          <w:rFonts w:hint="eastAsia"/>
          <w:sz w:val="24"/>
        </w:rPr>
        <w:t>June</w:t>
      </w:r>
      <w:r>
        <w:rPr>
          <w:sz w:val="24"/>
        </w:rPr>
        <w:t xml:space="preserve"> stood at 6.</w:t>
      </w:r>
      <w:r>
        <w:rPr>
          <w:rFonts w:hint="eastAsia"/>
          <w:sz w:val="24"/>
        </w:rPr>
        <w:t>4</w:t>
      </w:r>
      <w:r>
        <w:rPr>
          <w:sz w:val="24"/>
        </w:rPr>
        <w:t xml:space="preserve"> percent, </w:t>
      </w:r>
      <w:r>
        <w:rPr>
          <w:rFonts w:hint="eastAsia"/>
          <w:sz w:val="24"/>
        </w:rPr>
        <w:t>5.5</w:t>
      </w:r>
      <w:r>
        <w:rPr>
          <w:sz w:val="24"/>
        </w:rPr>
        <w:t xml:space="preserve"> percent, and </w:t>
      </w:r>
      <w:r>
        <w:rPr>
          <w:rFonts w:hint="eastAsia"/>
          <w:sz w:val="24"/>
        </w:rPr>
        <w:t>5.5</w:t>
      </w:r>
      <w:r>
        <w:rPr>
          <w:sz w:val="24"/>
        </w:rPr>
        <w:t xml:space="preserve"> percent respectively</w:t>
      </w:r>
      <w:r>
        <w:rPr>
          <w:rFonts w:hint="eastAsia"/>
          <w:sz w:val="24"/>
        </w:rPr>
        <w:t xml:space="preserve">, </w:t>
      </w:r>
      <w:r>
        <w:rPr>
          <w:sz w:val="24"/>
        </w:rPr>
        <w:t>averaging</w:t>
      </w:r>
      <w:r>
        <w:rPr>
          <w:rFonts w:hint="eastAsia"/>
          <w:sz w:val="24"/>
        </w:rPr>
        <w:t xml:space="preserve"> 5.8 percent in Q2</w:t>
      </w:r>
      <w:r>
        <w:rPr>
          <w:sz w:val="24"/>
        </w:rPr>
        <w:t xml:space="preserve"> and d</w:t>
      </w:r>
      <w:r>
        <w:rPr>
          <w:rFonts w:hint="eastAsia"/>
          <w:sz w:val="24"/>
        </w:rPr>
        <w:t xml:space="preserve">own 1.6 percent from </w:t>
      </w:r>
      <w:r>
        <w:rPr>
          <w:sz w:val="24"/>
        </w:rPr>
        <w:t xml:space="preserve">the </w:t>
      </w:r>
      <w:r>
        <w:rPr>
          <w:rFonts w:hint="eastAsia"/>
          <w:sz w:val="24"/>
        </w:rPr>
        <w:t>last quarter</w:t>
      </w:r>
      <w:r>
        <w:rPr>
          <w:sz w:val="24"/>
        </w:rPr>
        <w:t xml:space="preserve">. </w:t>
      </w:r>
      <w:r>
        <w:rPr>
          <w:rFonts w:hint="eastAsia"/>
          <w:sz w:val="24"/>
        </w:rPr>
        <w:t xml:space="preserve">In terms of </w:t>
      </w:r>
      <w:r>
        <w:rPr>
          <w:sz w:val="24"/>
        </w:rPr>
        <w:t>consumer</w:t>
      </w:r>
      <w:r>
        <w:rPr>
          <w:rFonts w:hint="eastAsia"/>
          <w:sz w:val="24"/>
        </w:rPr>
        <w:t xml:space="preserve"> goods and capital goods, </w:t>
      </w:r>
      <w:r>
        <w:rPr>
          <w:sz w:val="24"/>
        </w:rPr>
        <w:t xml:space="preserve">the </w:t>
      </w:r>
      <w:r>
        <w:rPr>
          <w:rFonts w:hint="eastAsia"/>
          <w:sz w:val="24"/>
        </w:rPr>
        <w:t>growth of capital goods slowed down significantly</w:t>
      </w:r>
      <w:r>
        <w:rPr>
          <w:sz w:val="24"/>
        </w:rPr>
        <w:t>, whereas the</w:t>
      </w:r>
      <w:r>
        <w:rPr>
          <w:rFonts w:hint="eastAsia"/>
          <w:sz w:val="24"/>
        </w:rPr>
        <w:t xml:space="preserve"> growth of consumer goods slowed down slightly. </w:t>
      </w:r>
      <w:r>
        <w:rPr>
          <w:sz w:val="24"/>
        </w:rPr>
        <w:t>I</w:t>
      </w:r>
      <w:r>
        <w:rPr>
          <w:rFonts w:hint="eastAsia"/>
          <w:sz w:val="24"/>
        </w:rPr>
        <w:t>n Q2,</w:t>
      </w:r>
      <w:r>
        <w:rPr>
          <w:sz w:val="24"/>
        </w:rPr>
        <w:t xml:space="preserve"> </w:t>
      </w:r>
      <w:r>
        <w:rPr>
          <w:rFonts w:hint="eastAsia"/>
          <w:sz w:val="24"/>
        </w:rPr>
        <w:t>t</w:t>
      </w:r>
      <w:r>
        <w:rPr>
          <w:sz w:val="24"/>
        </w:rPr>
        <w:t xml:space="preserve">he price of capital goods rose </w:t>
      </w:r>
      <w:r>
        <w:rPr>
          <w:rFonts w:hint="eastAsia"/>
          <w:sz w:val="24"/>
        </w:rPr>
        <w:t>7.7</w:t>
      </w:r>
      <w:r>
        <w:rPr>
          <w:sz w:val="24"/>
        </w:rPr>
        <w:t xml:space="preserve"> percent year on year, 2.2 percentage points </w:t>
      </w:r>
      <w:r>
        <w:rPr>
          <w:rFonts w:hint="eastAsia"/>
          <w:sz w:val="24"/>
        </w:rPr>
        <w:t>lower</w:t>
      </w:r>
      <w:r>
        <w:rPr>
          <w:sz w:val="24"/>
        </w:rPr>
        <w:t xml:space="preserve"> than that in </w:t>
      </w:r>
      <w:r>
        <w:rPr>
          <w:rFonts w:hint="eastAsia"/>
          <w:sz w:val="24"/>
        </w:rPr>
        <w:t>Q1</w:t>
      </w:r>
      <w:r>
        <w:rPr>
          <w:sz w:val="24"/>
        </w:rPr>
        <w:t xml:space="preserve">. </w:t>
      </w:r>
      <w:r>
        <w:rPr>
          <w:rFonts w:hint="eastAsia"/>
          <w:sz w:val="24"/>
        </w:rPr>
        <w:t>T</w:t>
      </w:r>
      <w:r>
        <w:rPr>
          <w:sz w:val="24"/>
        </w:rPr>
        <w:t>he price of consumer goods climbed 0.</w:t>
      </w:r>
      <w:r>
        <w:rPr>
          <w:rFonts w:hint="eastAsia"/>
          <w:sz w:val="24"/>
        </w:rPr>
        <w:t>6</w:t>
      </w:r>
      <w:r>
        <w:rPr>
          <w:sz w:val="24"/>
        </w:rPr>
        <w:t xml:space="preserve"> percent, which was 0.</w:t>
      </w:r>
      <w:r>
        <w:rPr>
          <w:rFonts w:hint="eastAsia"/>
          <w:sz w:val="24"/>
        </w:rPr>
        <w:t>2</w:t>
      </w:r>
      <w:r>
        <w:rPr>
          <w:sz w:val="24"/>
        </w:rPr>
        <w:t xml:space="preserve"> percentage point </w:t>
      </w:r>
      <w:r>
        <w:rPr>
          <w:rFonts w:hint="eastAsia"/>
          <w:sz w:val="24"/>
        </w:rPr>
        <w:t>lower</w:t>
      </w:r>
      <w:r>
        <w:rPr>
          <w:sz w:val="24"/>
        </w:rPr>
        <w:t xml:space="preserve"> than that in</w:t>
      </w:r>
      <w:r>
        <w:rPr>
          <w:rFonts w:hint="eastAsia"/>
          <w:sz w:val="24"/>
        </w:rPr>
        <w:t xml:space="preserve"> Q1</w:t>
      </w:r>
      <w:r>
        <w:rPr>
          <w:sz w:val="24"/>
        </w:rPr>
        <w:t xml:space="preserve">. The Purchasing Price Index for Industrial Products (PPIIP) gained </w:t>
      </w:r>
      <w:r>
        <w:rPr>
          <w:rFonts w:hint="eastAsia"/>
          <w:sz w:val="24"/>
        </w:rPr>
        <w:t>8.7</w:t>
      </w:r>
      <w:r>
        <w:rPr>
          <w:sz w:val="24"/>
        </w:rPr>
        <w:t xml:space="preserve"> percent year on year,</w:t>
      </w:r>
      <w:r>
        <w:rPr>
          <w:rFonts w:hint="eastAsia"/>
          <w:sz w:val="24"/>
        </w:rPr>
        <w:t xml:space="preserve"> with m</w:t>
      </w:r>
      <w:r>
        <w:rPr>
          <w:sz w:val="24"/>
        </w:rPr>
        <w:t xml:space="preserve">onthly growth from </w:t>
      </w:r>
      <w:r>
        <w:rPr>
          <w:rFonts w:hint="eastAsia"/>
          <w:sz w:val="24"/>
        </w:rPr>
        <w:t>April</w:t>
      </w:r>
      <w:r>
        <w:rPr>
          <w:sz w:val="24"/>
        </w:rPr>
        <w:t xml:space="preserve"> through </w:t>
      </w:r>
      <w:r>
        <w:rPr>
          <w:rFonts w:hint="eastAsia"/>
          <w:sz w:val="24"/>
        </w:rPr>
        <w:t>June</w:t>
      </w:r>
      <w:r>
        <w:rPr>
          <w:sz w:val="24"/>
        </w:rPr>
        <w:t xml:space="preserve"> </w:t>
      </w:r>
      <w:r>
        <w:rPr>
          <w:rFonts w:hint="eastAsia"/>
          <w:sz w:val="24"/>
        </w:rPr>
        <w:t>at</w:t>
      </w:r>
      <w:r>
        <w:rPr>
          <w:sz w:val="24"/>
        </w:rPr>
        <w:t xml:space="preserve"> </w:t>
      </w:r>
      <w:r>
        <w:rPr>
          <w:rFonts w:hint="eastAsia"/>
          <w:sz w:val="24"/>
        </w:rPr>
        <w:t>9.0</w:t>
      </w:r>
      <w:r>
        <w:rPr>
          <w:sz w:val="24"/>
        </w:rPr>
        <w:t xml:space="preserve"> percent, </w:t>
      </w:r>
      <w:r>
        <w:rPr>
          <w:rFonts w:hint="eastAsia"/>
          <w:sz w:val="24"/>
        </w:rPr>
        <w:t>8.0</w:t>
      </w:r>
      <w:r>
        <w:rPr>
          <w:sz w:val="24"/>
        </w:rPr>
        <w:t xml:space="preserve"> percent, and </w:t>
      </w:r>
      <w:r>
        <w:rPr>
          <w:rFonts w:hint="eastAsia"/>
          <w:sz w:val="24"/>
        </w:rPr>
        <w:t>7.3</w:t>
      </w:r>
      <w:r>
        <w:rPr>
          <w:sz w:val="24"/>
        </w:rPr>
        <w:t xml:space="preserve"> percent respectively</w:t>
      </w:r>
      <w:r>
        <w:rPr>
          <w:rFonts w:hint="eastAsia"/>
          <w:sz w:val="24"/>
        </w:rPr>
        <w:t xml:space="preserve">, an average of 8.1 percent which </w:t>
      </w:r>
      <w:r>
        <w:rPr>
          <w:sz w:val="24"/>
        </w:rPr>
        <w:t>was</w:t>
      </w:r>
      <w:r>
        <w:rPr>
          <w:rFonts w:hint="eastAsia"/>
          <w:sz w:val="24"/>
        </w:rPr>
        <w:t xml:space="preserve"> 1.3 percentage points lower than</w:t>
      </w:r>
      <w:r>
        <w:rPr>
          <w:sz w:val="24"/>
        </w:rPr>
        <w:t xml:space="preserve"> that in</w:t>
      </w:r>
      <w:r>
        <w:rPr>
          <w:rFonts w:hint="eastAsia"/>
          <w:sz w:val="24"/>
        </w:rPr>
        <w:t xml:space="preserve"> Q1</w:t>
      </w:r>
      <w:r>
        <w:rPr>
          <w:sz w:val="24"/>
        </w:rPr>
        <w:t xml:space="preserve">. </w:t>
      </w:r>
      <w:r>
        <w:rPr>
          <w:rFonts w:hint="eastAsia"/>
          <w:sz w:val="24"/>
        </w:rPr>
        <w:t xml:space="preserve">In Q2, the </w:t>
      </w:r>
      <w:r>
        <w:rPr>
          <w:sz w:val="24"/>
        </w:rPr>
        <w:t xml:space="preserve">price of agricultural products declined by </w:t>
      </w:r>
      <w:r>
        <w:rPr>
          <w:rFonts w:hint="eastAsia"/>
          <w:sz w:val="24"/>
        </w:rPr>
        <w:t>6.4</w:t>
      </w:r>
      <w:r>
        <w:rPr>
          <w:sz w:val="24"/>
        </w:rPr>
        <w:t xml:space="preserve"> percent year on year, </w:t>
      </w:r>
      <w:r>
        <w:rPr>
          <w:rFonts w:hint="eastAsia"/>
          <w:sz w:val="24"/>
        </w:rPr>
        <w:t>4.2 percentage points lower</w:t>
      </w:r>
      <w:r>
        <w:rPr>
          <w:sz w:val="24"/>
        </w:rPr>
        <w:t xml:space="preserve"> than that in the last quarter. The price of agricultural capital goods rose </w:t>
      </w:r>
      <w:r>
        <w:rPr>
          <w:rFonts w:hint="eastAsia"/>
          <w:sz w:val="24"/>
        </w:rPr>
        <w:t>0.1</w:t>
      </w:r>
      <w:r>
        <w:rPr>
          <w:sz w:val="24"/>
        </w:rPr>
        <w:t xml:space="preserve"> percent year on year, 1.</w:t>
      </w:r>
      <w:r>
        <w:rPr>
          <w:rFonts w:hint="eastAsia"/>
          <w:sz w:val="24"/>
        </w:rPr>
        <w:t>1</w:t>
      </w:r>
      <w:r>
        <w:rPr>
          <w:sz w:val="24"/>
        </w:rPr>
        <w:t xml:space="preserve"> percentage points </w:t>
      </w:r>
      <w:r>
        <w:rPr>
          <w:rFonts w:hint="eastAsia"/>
          <w:sz w:val="24"/>
        </w:rPr>
        <w:t>less</w:t>
      </w:r>
      <w:r>
        <w:rPr>
          <w:sz w:val="24"/>
        </w:rPr>
        <w:t xml:space="preserve"> than that in the previous quarter. In </w:t>
      </w:r>
      <w:r>
        <w:rPr>
          <w:rFonts w:hint="eastAsia"/>
          <w:sz w:val="24"/>
        </w:rPr>
        <w:t>the first half of 2017</w:t>
      </w:r>
      <w:r>
        <w:rPr>
          <w:sz w:val="24"/>
        </w:rPr>
        <w:t xml:space="preserve">, the </w:t>
      </w:r>
      <w:r>
        <w:rPr>
          <w:rFonts w:hint="eastAsia"/>
          <w:sz w:val="24"/>
        </w:rPr>
        <w:t>Capital Goods Pr</w:t>
      </w:r>
      <w:r>
        <w:rPr>
          <w:sz w:val="24"/>
        </w:rPr>
        <w:t>ic</w:t>
      </w:r>
      <w:r>
        <w:rPr>
          <w:rFonts w:hint="eastAsia"/>
          <w:sz w:val="24"/>
        </w:rPr>
        <w:t>e Index (</w:t>
      </w:r>
      <w:r>
        <w:rPr>
          <w:sz w:val="24"/>
        </w:rPr>
        <w:t>CGPI</w:t>
      </w:r>
      <w:r>
        <w:rPr>
          <w:rFonts w:hint="eastAsia"/>
          <w:sz w:val="24"/>
        </w:rPr>
        <w:t>)</w:t>
      </w:r>
      <w:r>
        <w:rPr>
          <w:sz w:val="24"/>
        </w:rPr>
        <w:t xml:space="preserve">, compiled by the PBC, rose by </w:t>
      </w:r>
      <w:r>
        <w:rPr>
          <w:rFonts w:hint="eastAsia"/>
          <w:sz w:val="24"/>
        </w:rPr>
        <w:t>7.6</w:t>
      </w:r>
      <w:r>
        <w:rPr>
          <w:sz w:val="24"/>
        </w:rPr>
        <w:t xml:space="preserve"> percent year on year, with a more rapid price recovery in primary goods, at </w:t>
      </w:r>
      <w:r>
        <w:rPr>
          <w:rFonts w:hint="eastAsia"/>
          <w:sz w:val="24"/>
        </w:rPr>
        <w:t>8.5</w:t>
      </w:r>
      <w:r>
        <w:rPr>
          <w:sz w:val="24"/>
        </w:rPr>
        <w:t xml:space="preserve"> percent </w:t>
      </w:r>
      <w:r>
        <w:rPr>
          <w:rFonts w:hint="eastAsia"/>
          <w:sz w:val="24"/>
        </w:rPr>
        <w:t xml:space="preserve">growth </w:t>
      </w:r>
      <w:r>
        <w:rPr>
          <w:sz w:val="24"/>
        </w:rPr>
        <w:t xml:space="preserve">year on year. The price of investment goods climbed by </w:t>
      </w:r>
      <w:r>
        <w:rPr>
          <w:rFonts w:hint="eastAsia"/>
          <w:sz w:val="24"/>
        </w:rPr>
        <w:t>6.8</w:t>
      </w:r>
      <w:r>
        <w:rPr>
          <w:sz w:val="24"/>
        </w:rPr>
        <w:t xml:space="preserve"> percent whereas the price of consumer goods </w:t>
      </w:r>
      <w:r>
        <w:rPr>
          <w:rFonts w:hint="eastAsia"/>
          <w:sz w:val="24"/>
        </w:rPr>
        <w:t>declined</w:t>
      </w:r>
      <w:r>
        <w:rPr>
          <w:sz w:val="24"/>
        </w:rPr>
        <w:t xml:space="preserve"> by </w:t>
      </w:r>
      <w:r>
        <w:rPr>
          <w:rFonts w:hint="eastAsia"/>
          <w:sz w:val="24"/>
        </w:rPr>
        <w:t>0.03</w:t>
      </w:r>
      <w:r>
        <w:rPr>
          <w:sz w:val="24"/>
        </w:rPr>
        <w:t xml:space="preserve"> percent year on year.</w:t>
      </w:r>
    </w:p>
    <w:p>
      <w:pPr>
        <w:rPr>
          <w:sz w:val="24"/>
        </w:rPr>
      </w:pPr>
    </w:p>
    <w:p>
      <w:pPr>
        <w:rPr>
          <w:sz w:val="24"/>
        </w:rPr>
      </w:pPr>
      <w:r>
        <w:rPr>
          <w:sz w:val="24"/>
        </w:rPr>
        <w:t xml:space="preserve">The price </w:t>
      </w:r>
      <w:r>
        <w:rPr>
          <w:rFonts w:hint="eastAsia"/>
          <w:sz w:val="24"/>
        </w:rPr>
        <w:t>of</w:t>
      </w:r>
      <w:r>
        <w:rPr>
          <w:sz w:val="24"/>
        </w:rPr>
        <w:t xml:space="preserve"> global commodities</w:t>
      </w:r>
      <w:r>
        <w:rPr>
          <w:rFonts w:hint="eastAsia"/>
          <w:sz w:val="24"/>
        </w:rPr>
        <w:t xml:space="preserve"> moved </w:t>
      </w:r>
      <w:r>
        <w:rPr>
          <w:sz w:val="24"/>
        </w:rPr>
        <w:t>generally</w:t>
      </w:r>
      <w:r>
        <w:rPr>
          <w:rFonts w:hint="eastAsia"/>
          <w:sz w:val="24"/>
        </w:rPr>
        <w:t xml:space="preserve"> downward and</w:t>
      </w:r>
      <w:r>
        <w:rPr>
          <w:sz w:val="24"/>
        </w:rPr>
        <w:t xml:space="preserve"> the growth of import prices </w:t>
      </w:r>
      <w:r>
        <w:rPr>
          <w:rFonts w:hint="eastAsia"/>
          <w:sz w:val="24"/>
        </w:rPr>
        <w:t>slowed down</w:t>
      </w:r>
      <w:r>
        <w:rPr>
          <w:sz w:val="24"/>
        </w:rPr>
        <w:t>. In Q</w:t>
      </w:r>
      <w:r>
        <w:rPr>
          <w:rFonts w:hint="eastAsia"/>
          <w:sz w:val="24"/>
        </w:rPr>
        <w:t>2</w:t>
      </w:r>
      <w:r>
        <w:rPr>
          <w:sz w:val="24"/>
        </w:rPr>
        <w:t xml:space="preserve">, the average price of ICE Brent oil futures rose </w:t>
      </w:r>
      <w:r>
        <w:rPr>
          <w:rFonts w:hint="eastAsia"/>
          <w:sz w:val="24"/>
        </w:rPr>
        <w:t>by 8.0</w:t>
      </w:r>
      <w:r>
        <w:rPr>
          <w:sz w:val="24"/>
        </w:rPr>
        <w:t xml:space="preserve"> percent year on year, </w:t>
      </w:r>
      <w:r>
        <w:rPr>
          <w:rFonts w:hint="eastAsia"/>
          <w:sz w:val="24"/>
        </w:rPr>
        <w:t xml:space="preserve">but </w:t>
      </w:r>
      <w:r>
        <w:rPr>
          <w:sz w:val="24"/>
        </w:rPr>
        <w:t xml:space="preserve">it </w:t>
      </w:r>
      <w:r>
        <w:rPr>
          <w:rFonts w:hint="eastAsia"/>
          <w:sz w:val="24"/>
        </w:rPr>
        <w:t xml:space="preserve">dropped by </w:t>
      </w:r>
      <w:r>
        <w:rPr>
          <w:sz w:val="24"/>
        </w:rPr>
        <w:t>6.9 percent quarter</w:t>
      </w:r>
      <w:r>
        <w:rPr>
          <w:rFonts w:hint="eastAsia"/>
          <w:sz w:val="24"/>
        </w:rPr>
        <w:t xml:space="preserve"> on quarter</w:t>
      </w:r>
      <w:r>
        <w:rPr>
          <w:sz w:val="24"/>
        </w:rPr>
        <w:t xml:space="preserve">. On the London Metal Exchange, the average price of spot copper surged </w:t>
      </w:r>
      <w:r>
        <w:rPr>
          <w:rFonts w:hint="eastAsia"/>
          <w:sz w:val="24"/>
        </w:rPr>
        <w:t>19.7</w:t>
      </w:r>
      <w:r>
        <w:rPr>
          <w:sz w:val="24"/>
        </w:rPr>
        <w:t xml:space="preserve"> percent year on year</w:t>
      </w:r>
      <w:r>
        <w:rPr>
          <w:rFonts w:hint="eastAsia"/>
          <w:sz w:val="24"/>
        </w:rPr>
        <w:t xml:space="preserve">, but </w:t>
      </w:r>
      <w:r>
        <w:rPr>
          <w:sz w:val="24"/>
        </w:rPr>
        <w:t xml:space="preserve">it </w:t>
      </w:r>
      <w:r>
        <w:rPr>
          <w:rFonts w:hint="eastAsia"/>
          <w:sz w:val="24"/>
        </w:rPr>
        <w:t>dropped 2.9 percent q</w:t>
      </w:r>
      <w:r>
        <w:rPr>
          <w:sz w:val="24"/>
        </w:rPr>
        <w:t xml:space="preserve">uarter on quarter.  Spot aluminum soared by </w:t>
      </w:r>
      <w:r>
        <w:rPr>
          <w:rFonts w:hint="eastAsia"/>
          <w:sz w:val="24"/>
        </w:rPr>
        <w:t>17</w:t>
      </w:r>
      <w:r>
        <w:rPr>
          <w:sz w:val="24"/>
        </w:rPr>
        <w:t>.3 percent year on year</w:t>
      </w:r>
      <w:r>
        <w:rPr>
          <w:rFonts w:hint="eastAsia"/>
          <w:sz w:val="24"/>
        </w:rPr>
        <w:t xml:space="preserve">, but </w:t>
      </w:r>
      <w:r>
        <w:rPr>
          <w:sz w:val="24"/>
        </w:rPr>
        <w:t xml:space="preserve">it </w:t>
      </w:r>
      <w:r>
        <w:rPr>
          <w:rFonts w:hint="eastAsia"/>
          <w:sz w:val="24"/>
        </w:rPr>
        <w:t>dropped 0</w:t>
      </w:r>
      <w:r>
        <w:rPr>
          <w:sz w:val="24"/>
        </w:rPr>
        <w:t>.3 percent quarter on quarter. During</w:t>
      </w:r>
      <w:r>
        <w:rPr>
          <w:rFonts w:hint="eastAsia"/>
          <w:sz w:val="24"/>
        </w:rPr>
        <w:t xml:space="preserve"> the first half of 2017, import and export price</w:t>
      </w:r>
      <w:r>
        <w:rPr>
          <w:sz w:val="24"/>
        </w:rPr>
        <w:t>s</w:t>
      </w:r>
      <w:r>
        <w:rPr>
          <w:rFonts w:hint="eastAsia"/>
          <w:sz w:val="24"/>
        </w:rPr>
        <w:t xml:space="preserve"> went up by 12.6 </w:t>
      </w:r>
      <w:r>
        <w:rPr>
          <w:sz w:val="24"/>
        </w:rPr>
        <w:t xml:space="preserve">percent </w:t>
      </w:r>
      <w:r>
        <w:rPr>
          <w:rFonts w:hint="eastAsia"/>
          <w:sz w:val="24"/>
        </w:rPr>
        <w:t xml:space="preserve">and 5.5 percent respectively. </w:t>
      </w:r>
      <w:r>
        <w:rPr>
          <w:sz w:val="24"/>
        </w:rPr>
        <w:t xml:space="preserve">Monthly year-on-year growth of import prices from </w:t>
      </w:r>
      <w:r>
        <w:rPr>
          <w:rFonts w:hint="eastAsia"/>
          <w:sz w:val="24"/>
        </w:rPr>
        <w:t>April</w:t>
      </w:r>
      <w:r>
        <w:rPr>
          <w:sz w:val="24"/>
        </w:rPr>
        <w:t xml:space="preserve"> through </w:t>
      </w:r>
      <w:r>
        <w:rPr>
          <w:rFonts w:hint="eastAsia"/>
          <w:sz w:val="24"/>
        </w:rPr>
        <w:t>June sto</w:t>
      </w:r>
      <w:r>
        <w:rPr>
          <w:sz w:val="24"/>
        </w:rPr>
        <w:t>od at 1</w:t>
      </w:r>
      <w:r>
        <w:rPr>
          <w:rFonts w:hint="eastAsia"/>
          <w:sz w:val="24"/>
        </w:rPr>
        <w:t>3.5</w:t>
      </w:r>
      <w:r>
        <w:rPr>
          <w:sz w:val="24"/>
        </w:rPr>
        <w:t xml:space="preserve"> percent, 12.4 percent, and </w:t>
      </w:r>
      <w:r>
        <w:rPr>
          <w:rFonts w:hint="eastAsia"/>
          <w:sz w:val="24"/>
        </w:rPr>
        <w:t>9.5</w:t>
      </w:r>
      <w:r>
        <w:rPr>
          <w:sz w:val="24"/>
        </w:rPr>
        <w:t xml:space="preserve"> percent respectively, an average of </w:t>
      </w:r>
      <w:r>
        <w:rPr>
          <w:rFonts w:hint="eastAsia"/>
          <w:sz w:val="24"/>
        </w:rPr>
        <w:t>11.8</w:t>
      </w:r>
      <w:r>
        <w:rPr>
          <w:sz w:val="24"/>
        </w:rPr>
        <w:t xml:space="preserve"> percent, which was </w:t>
      </w:r>
      <w:r>
        <w:rPr>
          <w:rFonts w:hint="eastAsia"/>
          <w:sz w:val="24"/>
        </w:rPr>
        <w:t>1.6</w:t>
      </w:r>
      <w:r>
        <w:rPr>
          <w:sz w:val="24"/>
        </w:rPr>
        <w:t xml:space="preserve"> percentage points </w:t>
      </w:r>
      <w:r>
        <w:rPr>
          <w:rFonts w:hint="eastAsia"/>
          <w:sz w:val="24"/>
        </w:rPr>
        <w:t>lower</w:t>
      </w:r>
      <w:r>
        <w:rPr>
          <w:sz w:val="24"/>
        </w:rPr>
        <w:t xml:space="preserve"> than that in the last quarter. Monthly year-on-year growth of export prices registered </w:t>
      </w:r>
      <w:r>
        <w:rPr>
          <w:rFonts w:hint="eastAsia"/>
          <w:sz w:val="24"/>
        </w:rPr>
        <w:t>6.9</w:t>
      </w:r>
      <w:r>
        <w:rPr>
          <w:sz w:val="24"/>
        </w:rPr>
        <w:t xml:space="preserve"> percent, </w:t>
      </w:r>
      <w:r>
        <w:rPr>
          <w:rFonts w:hint="eastAsia"/>
          <w:sz w:val="24"/>
        </w:rPr>
        <w:t>5.4</w:t>
      </w:r>
      <w:r>
        <w:rPr>
          <w:sz w:val="24"/>
        </w:rPr>
        <w:t xml:space="preserve"> percent, and </w:t>
      </w:r>
      <w:r>
        <w:rPr>
          <w:rFonts w:hint="eastAsia"/>
          <w:sz w:val="24"/>
        </w:rPr>
        <w:t>5.1</w:t>
      </w:r>
      <w:r>
        <w:rPr>
          <w:sz w:val="24"/>
        </w:rPr>
        <w:t xml:space="preserve"> percent respectively, an average of 5.</w:t>
      </w:r>
      <w:r>
        <w:rPr>
          <w:rFonts w:hint="eastAsia"/>
          <w:sz w:val="24"/>
        </w:rPr>
        <w:t>8</w:t>
      </w:r>
      <w:r>
        <w:rPr>
          <w:sz w:val="24"/>
        </w:rPr>
        <w:t xml:space="preserve"> percent and </w:t>
      </w:r>
      <w:r>
        <w:rPr>
          <w:rFonts w:hint="eastAsia"/>
          <w:sz w:val="24"/>
        </w:rPr>
        <w:t>up by 0.7 percentage point over</w:t>
      </w:r>
      <w:r>
        <w:rPr>
          <w:sz w:val="24"/>
        </w:rPr>
        <w:t xml:space="preserve"> the</w:t>
      </w:r>
      <w:r>
        <w:rPr>
          <w:rFonts w:hint="eastAsia"/>
          <w:sz w:val="24"/>
        </w:rPr>
        <w:t xml:space="preserve"> last quarter</w:t>
      </w:r>
      <w:r>
        <w:rPr>
          <w:sz w:val="24"/>
        </w:rPr>
        <w:t xml:space="preserve">. </w:t>
      </w:r>
    </w:p>
    <w:p>
      <w:pPr>
        <w:rPr>
          <w:sz w:val="24"/>
        </w:rPr>
      </w:pPr>
    </w:p>
    <w:p>
      <w:pPr>
        <w:rPr>
          <w:sz w:val="24"/>
        </w:rPr>
      </w:pPr>
      <w:r>
        <w:rPr>
          <w:sz w:val="24"/>
        </w:rPr>
        <w:t xml:space="preserve">Growth of the GDP deflator </w:t>
      </w:r>
      <w:r>
        <w:rPr>
          <w:rFonts w:hint="eastAsia"/>
          <w:sz w:val="24"/>
        </w:rPr>
        <w:t>narrowed</w:t>
      </w:r>
      <w:r>
        <w:rPr>
          <w:sz w:val="24"/>
        </w:rPr>
        <w:t xml:space="preserve">. During </w:t>
      </w:r>
      <w:r>
        <w:rPr>
          <w:rFonts w:hint="eastAsia"/>
          <w:sz w:val="24"/>
        </w:rPr>
        <w:t>the first half of 2017</w:t>
      </w:r>
      <w:r>
        <w:rPr>
          <w:sz w:val="24"/>
        </w:rPr>
        <w:t xml:space="preserve">, the GDP deflator (the ratio of GDP </w:t>
      </w:r>
      <w:r>
        <w:rPr>
          <w:rFonts w:hint="eastAsia"/>
          <w:sz w:val="24"/>
        </w:rPr>
        <w:t xml:space="preserve">in current prices </w:t>
      </w:r>
      <w:r>
        <w:rPr>
          <w:sz w:val="24"/>
        </w:rPr>
        <w:t>to GDP</w:t>
      </w:r>
      <w:r>
        <w:rPr>
          <w:rFonts w:hint="eastAsia"/>
          <w:sz w:val="24"/>
        </w:rPr>
        <w:t xml:space="preserve"> in constant prices</w:t>
      </w:r>
      <w:r>
        <w:rPr>
          <w:sz w:val="24"/>
        </w:rPr>
        <w:t xml:space="preserve">) was up </w:t>
      </w:r>
      <w:r>
        <w:rPr>
          <w:rFonts w:hint="eastAsia"/>
          <w:sz w:val="24"/>
        </w:rPr>
        <w:t xml:space="preserve">by </w:t>
      </w:r>
      <w:r>
        <w:rPr>
          <w:sz w:val="24"/>
        </w:rPr>
        <w:t>4.</w:t>
      </w:r>
      <w:r>
        <w:rPr>
          <w:rFonts w:hint="eastAsia"/>
          <w:sz w:val="24"/>
        </w:rPr>
        <w:t>3</w:t>
      </w:r>
      <w:r>
        <w:rPr>
          <w:sz w:val="24"/>
        </w:rPr>
        <w:t xml:space="preserve"> percent year on year</w:t>
      </w:r>
      <w:r>
        <w:rPr>
          <w:rFonts w:hint="eastAsia"/>
          <w:sz w:val="24"/>
        </w:rPr>
        <w:t xml:space="preserve">. </w:t>
      </w:r>
      <w:r>
        <w:rPr>
          <w:sz w:val="24"/>
        </w:rPr>
        <w:t xml:space="preserve">The </w:t>
      </w:r>
      <w:r>
        <w:rPr>
          <w:rFonts w:hint="eastAsia"/>
          <w:sz w:val="24"/>
        </w:rPr>
        <w:t>GDP deflator in Q2 posted growth of 3.9 percent,</w:t>
      </w:r>
      <w:r>
        <w:rPr>
          <w:sz w:val="24"/>
        </w:rPr>
        <w:t xml:space="preserve"> </w:t>
      </w:r>
      <w:r>
        <w:rPr>
          <w:rFonts w:hint="eastAsia"/>
          <w:sz w:val="24"/>
        </w:rPr>
        <w:t>0</w:t>
      </w:r>
      <w:r>
        <w:rPr>
          <w:sz w:val="24"/>
        </w:rPr>
        <w:t xml:space="preserve">.7 percentage point </w:t>
      </w:r>
      <w:r>
        <w:rPr>
          <w:rFonts w:hint="eastAsia"/>
          <w:sz w:val="24"/>
        </w:rPr>
        <w:t>low</w:t>
      </w:r>
      <w:r>
        <w:rPr>
          <w:sz w:val="24"/>
        </w:rPr>
        <w:t xml:space="preserve">er than that in </w:t>
      </w:r>
      <w:r>
        <w:rPr>
          <w:rFonts w:hint="eastAsia"/>
          <w:sz w:val="24"/>
        </w:rPr>
        <w:t>Q1</w:t>
      </w:r>
      <w:r>
        <w:rPr>
          <w:sz w:val="24"/>
        </w:rPr>
        <w:t>.</w:t>
      </w:r>
    </w:p>
    <w:p>
      <w:pPr>
        <w:rPr>
          <w:sz w:val="24"/>
        </w:rPr>
      </w:pPr>
    </w:p>
    <w:p>
      <w:pPr>
        <w:rPr>
          <w:sz w:val="24"/>
        </w:rPr>
      </w:pPr>
      <w:r>
        <w:rPr>
          <w:sz w:val="24"/>
        </w:rPr>
        <w:t>The price reforms continued</w:t>
      </w:r>
      <w:r>
        <w:rPr>
          <w:rFonts w:hint="eastAsia"/>
          <w:sz w:val="24"/>
        </w:rPr>
        <w:t xml:space="preserve"> steadily</w:t>
      </w:r>
      <w:r>
        <w:rPr>
          <w:sz w:val="24"/>
        </w:rPr>
        <w:t xml:space="preserve">. On </w:t>
      </w:r>
      <w:r>
        <w:rPr>
          <w:rFonts w:hint="eastAsia"/>
          <w:sz w:val="24"/>
        </w:rPr>
        <w:t>June 6</w:t>
      </w:r>
      <w:r>
        <w:rPr>
          <w:sz w:val="24"/>
        </w:rPr>
        <w:t xml:space="preserve">, government agencies, including the NDRC, issued a notice on </w:t>
      </w:r>
      <w:r>
        <w:rPr>
          <w:rFonts w:hint="eastAsia"/>
          <w:sz w:val="24"/>
        </w:rPr>
        <w:t xml:space="preserve">promoting comprehensive water price reform </w:t>
      </w:r>
      <w:r>
        <w:rPr>
          <w:sz w:val="24"/>
        </w:rPr>
        <w:t>for</w:t>
      </w:r>
      <w:r>
        <w:rPr>
          <w:rFonts w:hint="eastAsia"/>
          <w:sz w:val="24"/>
        </w:rPr>
        <w:t xml:space="preserve"> </w:t>
      </w:r>
      <w:r>
        <w:rPr>
          <w:sz w:val="24"/>
        </w:rPr>
        <w:t>agricultural</w:t>
      </w:r>
      <w:r>
        <w:rPr>
          <w:rFonts w:hint="eastAsia"/>
          <w:sz w:val="24"/>
        </w:rPr>
        <w:t xml:space="preserve"> production, which stipulated that all provinces</w:t>
      </w:r>
      <w:r>
        <w:rPr>
          <w:sz w:val="24"/>
        </w:rPr>
        <w:t xml:space="preserve"> </w:t>
      </w:r>
      <w:r>
        <w:rPr>
          <w:rFonts w:hint="eastAsia"/>
          <w:sz w:val="24"/>
        </w:rPr>
        <w:t xml:space="preserve">(autonomous regions and </w:t>
      </w:r>
      <w:r>
        <w:rPr>
          <w:sz w:val="24"/>
        </w:rPr>
        <w:t>municipalities</w:t>
      </w:r>
      <w:r>
        <w:rPr>
          <w:rFonts w:hint="eastAsia"/>
          <w:sz w:val="24"/>
        </w:rPr>
        <w:t xml:space="preserve">) should conduct </w:t>
      </w:r>
      <w:r>
        <w:rPr>
          <w:sz w:val="24"/>
        </w:rPr>
        <w:t>a</w:t>
      </w:r>
      <w:r>
        <w:rPr>
          <w:rFonts w:hint="eastAsia"/>
          <w:sz w:val="24"/>
        </w:rPr>
        <w:t xml:space="preserve"> comprehensive water</w:t>
      </w:r>
      <w:r>
        <w:rPr>
          <w:sz w:val="24"/>
        </w:rPr>
        <w:t xml:space="preserve"> </w:t>
      </w:r>
      <w:r>
        <w:rPr>
          <w:rFonts w:hint="eastAsia"/>
          <w:sz w:val="24"/>
        </w:rPr>
        <w:t xml:space="preserve">price reform </w:t>
      </w:r>
      <w:r>
        <w:rPr>
          <w:sz w:val="24"/>
        </w:rPr>
        <w:t>for</w:t>
      </w:r>
      <w:r>
        <w:rPr>
          <w:rFonts w:hint="eastAsia"/>
          <w:sz w:val="24"/>
        </w:rPr>
        <w:t xml:space="preserve"> </w:t>
      </w:r>
      <w:r>
        <w:rPr>
          <w:sz w:val="24"/>
        </w:rPr>
        <w:t>agricultural</w:t>
      </w:r>
      <w:r>
        <w:rPr>
          <w:rFonts w:hint="eastAsia"/>
          <w:sz w:val="24"/>
        </w:rPr>
        <w:t xml:space="preserve"> production where condition</w:t>
      </w:r>
      <w:r>
        <w:rPr>
          <w:sz w:val="24"/>
        </w:rPr>
        <w:t>s</w:t>
      </w:r>
      <w:r>
        <w:rPr>
          <w:rFonts w:hint="eastAsia"/>
          <w:sz w:val="24"/>
        </w:rPr>
        <w:t xml:space="preserve"> permit so as to provide models for other regions. </w:t>
      </w:r>
      <w:r>
        <w:rPr>
          <w:sz w:val="24"/>
        </w:rPr>
        <w:t>The reform</w:t>
      </w:r>
      <w:r>
        <w:rPr>
          <w:rFonts w:hint="eastAsia"/>
          <w:sz w:val="24"/>
        </w:rPr>
        <w:t xml:space="preserve"> </w:t>
      </w:r>
      <w:r>
        <w:rPr>
          <w:sz w:val="24"/>
        </w:rPr>
        <w:t>aims to</w:t>
      </w:r>
      <w:r>
        <w:rPr>
          <w:rFonts w:hint="eastAsia"/>
          <w:sz w:val="24"/>
        </w:rPr>
        <w:t xml:space="preserve"> coordinat</w:t>
      </w:r>
      <w:r>
        <w:rPr>
          <w:sz w:val="24"/>
        </w:rPr>
        <w:t>e</w:t>
      </w:r>
      <w:r>
        <w:rPr>
          <w:rFonts w:hint="eastAsia"/>
          <w:sz w:val="24"/>
        </w:rPr>
        <w:t xml:space="preserve"> the mechanisms of water price formation, subsidies and water conservation incentives, project construction and </w:t>
      </w:r>
      <w:r>
        <w:rPr>
          <w:sz w:val="24"/>
        </w:rPr>
        <w:t>maintenance,</w:t>
      </w:r>
      <w:r>
        <w:rPr>
          <w:rFonts w:hint="eastAsia"/>
          <w:sz w:val="24"/>
        </w:rPr>
        <w:t xml:space="preserve"> as well water management so as to establish and improve the institutional </w:t>
      </w:r>
      <w:r>
        <w:rPr>
          <w:sz w:val="24"/>
        </w:rPr>
        <w:t>arrangement</w:t>
      </w:r>
      <w:r>
        <w:rPr>
          <w:rFonts w:hint="eastAsia"/>
          <w:sz w:val="24"/>
        </w:rPr>
        <w:t xml:space="preserve"> for water conservation without increasing the burden o</w:t>
      </w:r>
      <w:r>
        <w:rPr>
          <w:sz w:val="24"/>
        </w:rPr>
        <w:t>n</w:t>
      </w:r>
      <w:r>
        <w:rPr>
          <w:rFonts w:hint="eastAsia"/>
          <w:sz w:val="24"/>
        </w:rPr>
        <w:t xml:space="preserve"> farmers.</w:t>
      </w:r>
    </w:p>
    <w:p>
      <w:pPr>
        <w:rPr>
          <w:sz w:val="24"/>
        </w:rPr>
      </w:pPr>
    </w:p>
    <w:p>
      <w:pPr>
        <w:rPr>
          <w:b/>
          <w:bCs/>
          <w:sz w:val="24"/>
        </w:rPr>
      </w:pPr>
      <w:r>
        <w:rPr>
          <w:b/>
          <w:bCs/>
          <w:sz w:val="24"/>
        </w:rPr>
        <w:t>4. Fiscal revenue and expenditures grew quite rapidly</w:t>
      </w:r>
    </w:p>
    <w:p>
      <w:pPr>
        <w:rPr>
          <w:sz w:val="24"/>
        </w:rPr>
      </w:pPr>
      <w:r>
        <w:rPr>
          <w:sz w:val="24"/>
        </w:rPr>
        <w:t>During the first half of 2017, fiscal revenue reached RMB 9</w:t>
      </w:r>
      <w:r>
        <w:rPr>
          <w:rFonts w:hint="eastAsia"/>
          <w:sz w:val="24"/>
        </w:rPr>
        <w:t>,</w:t>
      </w:r>
      <w:r>
        <w:rPr>
          <w:sz w:val="24"/>
        </w:rPr>
        <w:t>430</w:t>
      </w:r>
      <w:r>
        <w:rPr>
          <w:rFonts w:hint="eastAsia"/>
          <w:sz w:val="24"/>
        </w:rPr>
        <w:t>.</w:t>
      </w:r>
      <w:r>
        <w:rPr>
          <w:sz w:val="24"/>
        </w:rPr>
        <w:t xml:space="preserve">595 </w:t>
      </w:r>
      <w:r>
        <w:rPr>
          <w:rFonts w:hint="eastAsia"/>
          <w:sz w:val="24"/>
        </w:rPr>
        <w:t>b</w:t>
      </w:r>
      <w:r>
        <w:rPr>
          <w:sz w:val="24"/>
        </w:rPr>
        <w:t>illion, up by 9.8 percent year on year on a comparable basis,</w:t>
      </w:r>
      <w:r>
        <w:rPr>
          <w:rStyle w:val="19"/>
          <w:sz w:val="24"/>
        </w:rPr>
        <w:footnoteReference w:id="0"/>
      </w:r>
      <w:r>
        <w:rPr>
          <w:rFonts w:hint="eastAsia"/>
          <w:sz w:val="24"/>
        </w:rPr>
        <w:t xml:space="preserve"> </w:t>
      </w:r>
      <w:r>
        <w:rPr>
          <w:sz w:val="24"/>
        </w:rPr>
        <w:t>a year-on-year acceleration of 2.7 percentage points. Fiscal expenditures rose by 15.8 percent year on year on a comparable basis to RMB 10</w:t>
      </w:r>
      <w:r>
        <w:rPr>
          <w:rFonts w:hint="eastAsia"/>
          <w:sz w:val="24"/>
        </w:rPr>
        <w:t>,</w:t>
      </w:r>
      <w:r>
        <w:rPr>
          <w:sz w:val="24"/>
        </w:rPr>
        <w:t>348</w:t>
      </w:r>
      <w:r>
        <w:rPr>
          <w:rFonts w:hint="eastAsia"/>
          <w:sz w:val="24"/>
        </w:rPr>
        <w:t>.</w:t>
      </w:r>
      <w:r>
        <w:rPr>
          <w:sz w:val="24"/>
        </w:rPr>
        <w:t xml:space="preserve">334 </w:t>
      </w:r>
      <w:r>
        <w:rPr>
          <w:rFonts w:hint="eastAsia"/>
          <w:sz w:val="24"/>
        </w:rPr>
        <w:t>b</w:t>
      </w:r>
      <w:r>
        <w:rPr>
          <w:sz w:val="24"/>
        </w:rPr>
        <w:t>illion, a year-on-year acceleration of 0.7 percentage point. The fiscal deficit registered RMB 917.74 billion, as compared to a deficit of RMB 365.12 billion in the first half of 2016.</w:t>
      </w:r>
    </w:p>
    <w:p>
      <w:pPr>
        <w:rPr>
          <w:sz w:val="24"/>
        </w:rPr>
      </w:pPr>
    </w:p>
    <w:p>
      <w:pPr>
        <w:rPr>
          <w:sz w:val="24"/>
        </w:rPr>
      </w:pPr>
      <w:r>
        <w:rPr>
          <w:sz w:val="24"/>
        </w:rPr>
        <w:t>Tax revenue increased rapidly, whereas non-tax revenue grew slowly. During the first half of 2017, tax revenue rose by 10.9 percent year on year to RMB 8.01 trillion, which was 2.3 percentage points higher than that in the first half of 2016. The increase in tax revenue accounted for 92.9 percent of the total increase in fiscal revenue. Non-tax revenue grew by 4.4 percent year on year to RMB 1.4232 trillion. Specifically, the domestic value-added tax and the domestic consumption tax increased by 2.2 percent and 7.1 percent respectively year on year; the corporate income tax and the personal income tax went up by 15.6 percent and 18.6 percent respectively year on year; the value-added tax and the consumption tax on imported goods jumped by 34.0 percent year on year. In terms of the expenditure structure, expenses on energy savings and environmental protection, social security and employment efforts, and science and technology recorded rapid growth at 39.8 percent, 24.6 percent, and 22.7 percent respectively year on year.</w:t>
      </w:r>
    </w:p>
    <w:p>
      <w:pPr>
        <w:rPr>
          <w:sz w:val="24"/>
        </w:rPr>
      </w:pPr>
    </w:p>
    <w:p>
      <w:pPr>
        <w:rPr>
          <w:rFonts w:cstheme="minorBidi"/>
          <w:b/>
          <w:bCs/>
          <w:sz w:val="24"/>
        </w:rPr>
      </w:pPr>
      <w:r>
        <w:rPr>
          <w:b/>
          <w:bCs/>
          <w:sz w:val="24"/>
        </w:rPr>
        <w:t xml:space="preserve">5. Employment was stable and </w:t>
      </w:r>
      <w:r>
        <w:rPr>
          <w:rFonts w:hint="eastAsia"/>
          <w:b/>
          <w:bCs/>
          <w:sz w:val="24"/>
        </w:rPr>
        <w:t>edging up</w:t>
      </w:r>
      <w:r>
        <w:rPr>
          <w:b/>
          <w:bCs/>
          <w:sz w:val="24"/>
        </w:rPr>
        <w:t xml:space="preserve"> </w:t>
      </w:r>
    </w:p>
    <w:p>
      <w:pPr>
        <w:rPr>
          <w:sz w:val="24"/>
        </w:rPr>
      </w:pPr>
      <w:r>
        <w:rPr>
          <w:sz w:val="24"/>
        </w:rPr>
        <w:t xml:space="preserve">According to statistical analyses by the China Human Resources Market Information Monitoring Center on data provided by public employment agencies in 95 cities, labor demand slightly exceeded supply in Q2 and the ratio of job vacancies to job seekers was 1.11, which was 0.05 higher year on year and 0.02 lower quarter on quarter. Compared with the same period of the last year, labor demand and supply increased 256,000 and 10,000 respectively. Compared with the previous quarter, labor demand and supply declined 276,000 and 213,000 respectively. Compared with the same period of the last year and the previous quarter, labor demand increased during Q2 2017 in industries such as the </w:t>
      </w:r>
      <w:r>
        <w:rPr>
          <w:rFonts w:hint="eastAsia"/>
          <w:sz w:val="24"/>
        </w:rPr>
        <w:t>leasing</w:t>
      </w:r>
      <w:r>
        <w:rPr>
          <w:sz w:val="24"/>
        </w:rPr>
        <w:t xml:space="preserve"> and business services sector, the </w:t>
      </w:r>
      <w:r>
        <w:rPr>
          <w:rFonts w:hint="eastAsia"/>
          <w:sz w:val="24"/>
        </w:rPr>
        <w:t>health/</w:t>
      </w:r>
      <w:r>
        <w:rPr>
          <w:sz w:val="24"/>
        </w:rPr>
        <w:t>social security</w:t>
      </w:r>
      <w:r>
        <w:rPr>
          <w:rFonts w:hint="eastAsia"/>
          <w:sz w:val="24"/>
        </w:rPr>
        <w:t>/</w:t>
      </w:r>
      <w:r>
        <w:rPr>
          <w:sz w:val="24"/>
        </w:rPr>
        <w:t>social welfare industry, the information</w:t>
      </w:r>
      <w:r>
        <w:rPr>
          <w:rFonts w:hint="eastAsia"/>
          <w:sz w:val="24"/>
        </w:rPr>
        <w:t xml:space="preserve"> </w:t>
      </w:r>
      <w:r>
        <w:rPr>
          <w:sz w:val="24"/>
        </w:rPr>
        <w:t>transmission</w:t>
      </w:r>
      <w:r>
        <w:rPr>
          <w:rFonts w:hint="eastAsia"/>
          <w:sz w:val="24"/>
        </w:rPr>
        <w:t>/</w:t>
      </w:r>
      <w:r>
        <w:rPr>
          <w:sz w:val="24"/>
        </w:rPr>
        <w:t>computer services</w:t>
      </w:r>
      <w:r>
        <w:rPr>
          <w:rFonts w:hint="eastAsia"/>
          <w:sz w:val="24"/>
        </w:rPr>
        <w:t>/</w:t>
      </w:r>
      <w:r>
        <w:rPr>
          <w:sz w:val="24"/>
        </w:rPr>
        <w:t>software industry, the construction industry, and the research</w:t>
      </w:r>
      <w:r>
        <w:rPr>
          <w:rFonts w:hint="eastAsia"/>
          <w:sz w:val="24"/>
        </w:rPr>
        <w:t>/</w:t>
      </w:r>
      <w:r>
        <w:rPr>
          <w:sz w:val="24"/>
        </w:rPr>
        <w:t>technical services</w:t>
      </w:r>
      <w:r>
        <w:rPr>
          <w:rFonts w:hint="eastAsia"/>
          <w:sz w:val="24"/>
        </w:rPr>
        <w:t>/</w:t>
      </w:r>
      <w:r>
        <w:rPr>
          <w:sz w:val="24"/>
        </w:rPr>
        <w:t>geological prospecting industry; labor demand decreased in industries such as the financial sector, the irrigation</w:t>
      </w:r>
      <w:r>
        <w:rPr>
          <w:rFonts w:hint="eastAsia"/>
          <w:sz w:val="24"/>
        </w:rPr>
        <w:t>/</w:t>
      </w:r>
      <w:r>
        <w:rPr>
          <w:sz w:val="24"/>
        </w:rPr>
        <w:t>environment</w:t>
      </w:r>
      <w:r>
        <w:rPr>
          <w:rFonts w:hint="eastAsia"/>
          <w:sz w:val="24"/>
        </w:rPr>
        <w:t>/</w:t>
      </w:r>
      <w:r>
        <w:rPr>
          <w:sz w:val="24"/>
        </w:rPr>
        <w:t>public facilities industry, the accommodations and catering industry, the power</w:t>
      </w:r>
      <w:r>
        <w:rPr>
          <w:rFonts w:hint="eastAsia"/>
          <w:sz w:val="24"/>
        </w:rPr>
        <w:t>/</w:t>
      </w:r>
      <w:r>
        <w:rPr>
          <w:sz w:val="24"/>
        </w:rPr>
        <w:t>gas</w:t>
      </w:r>
      <w:r>
        <w:rPr>
          <w:rFonts w:hint="eastAsia"/>
          <w:sz w:val="24"/>
        </w:rPr>
        <w:t>/</w:t>
      </w:r>
      <w:r>
        <w:rPr>
          <w:sz w:val="24"/>
        </w:rPr>
        <w:t>water production and supply industry, and the culture</w:t>
      </w:r>
      <w:r>
        <w:rPr>
          <w:rFonts w:hint="eastAsia"/>
          <w:sz w:val="24"/>
        </w:rPr>
        <w:t>/</w:t>
      </w:r>
      <w:r>
        <w:rPr>
          <w:sz w:val="24"/>
        </w:rPr>
        <w:t>sports</w:t>
      </w:r>
      <w:r>
        <w:rPr>
          <w:rFonts w:hint="eastAsia"/>
          <w:sz w:val="24"/>
        </w:rPr>
        <w:t>/</w:t>
      </w:r>
      <w:r>
        <w:rPr>
          <w:sz w:val="24"/>
        </w:rPr>
        <w:t xml:space="preserve">entertainment industry. Demand for labor with technical or professional skills exceeded supply. </w:t>
      </w:r>
      <w:r>
        <w:rPr>
          <w:rFonts w:hint="eastAsia"/>
          <w:sz w:val="24"/>
        </w:rPr>
        <w:t>D</w:t>
      </w:r>
      <w:r>
        <w:rPr>
          <w:sz w:val="24"/>
        </w:rPr>
        <w:t>emand for labor with technical skills above a senior level or professional skills above an intermediate level increased year on year and quarter on quarter</w:t>
      </w:r>
      <w:r>
        <w:rPr>
          <w:rFonts w:hint="eastAsia"/>
          <w:sz w:val="24"/>
        </w:rPr>
        <w:t xml:space="preserve"> </w:t>
      </w:r>
      <w:r>
        <w:rPr>
          <w:sz w:val="24"/>
        </w:rPr>
        <w:t xml:space="preserve">during Q2 of 2017. </w:t>
      </w:r>
    </w:p>
    <w:p>
      <w:pPr>
        <w:rPr>
          <w:sz w:val="24"/>
        </w:rPr>
      </w:pPr>
    </w:p>
    <w:p>
      <w:pPr>
        <w:rPr>
          <w:b/>
          <w:bCs/>
          <w:sz w:val="24"/>
        </w:rPr>
      </w:pPr>
      <w:r>
        <w:rPr>
          <w:b/>
          <w:bCs/>
          <w:sz w:val="24"/>
        </w:rPr>
        <w:t xml:space="preserve">6. The balance of payments registered surpluses in both the current account and the capital </w:t>
      </w:r>
      <w:r>
        <w:rPr>
          <w:rFonts w:hint="eastAsia"/>
          <w:b/>
          <w:bCs/>
          <w:sz w:val="24"/>
        </w:rPr>
        <w:t>account</w:t>
      </w:r>
    </w:p>
    <w:p>
      <w:pPr>
        <w:rPr>
          <w:sz w:val="24"/>
        </w:rPr>
      </w:pPr>
      <w:r>
        <w:rPr>
          <w:sz w:val="24"/>
        </w:rPr>
        <w:t xml:space="preserve">In the first half of 2017, the current account surplus reached USD 71.2 billion, or 1.3 percent of GDP, which was within the internationally acceptable reasonable range. The non-reserve financial account registered a surplus of USD 15.6 billion, compared with a deficit of USD 225.9 billion in the same period of the last year. At end-June, total foreign reserves stood at USD 3.0568 trillion. </w:t>
      </w:r>
    </w:p>
    <w:p>
      <w:pPr>
        <w:rPr>
          <w:sz w:val="24"/>
        </w:rPr>
      </w:pPr>
    </w:p>
    <w:p>
      <w:pPr>
        <w:rPr>
          <w:sz w:val="24"/>
        </w:rPr>
      </w:pPr>
      <w:r>
        <w:rPr>
          <w:sz w:val="24"/>
        </w:rPr>
        <w:t xml:space="preserve">The outstanding external debt continued to grow steadily. At end-March, the total outstanding external debt in </w:t>
      </w:r>
      <w:r>
        <w:rPr>
          <w:rFonts w:hint="eastAsia"/>
          <w:sz w:val="24"/>
        </w:rPr>
        <w:t xml:space="preserve">both </w:t>
      </w:r>
      <w:r>
        <w:rPr>
          <w:sz w:val="24"/>
        </w:rPr>
        <w:t xml:space="preserve">local and foreign currencies posted USD 1.4378 trillion, which was 1.2 percent more than that at the end of 2016. Among this, the outstanding short-term external debt registered USD 916.4 billion, accounting for 64 percent of the total external debt.  </w:t>
      </w:r>
    </w:p>
    <w:p>
      <w:pPr>
        <w:rPr>
          <w:sz w:val="24"/>
        </w:rPr>
      </w:pPr>
    </w:p>
    <w:p>
      <w:pPr>
        <w:rPr>
          <w:rFonts w:eastAsia="Times New Roman" w:cstheme="minorBidi"/>
          <w:b/>
          <w:bCs/>
          <w:sz w:val="24"/>
        </w:rPr>
      </w:pPr>
      <w:r>
        <w:rPr>
          <w:rFonts w:eastAsia="Times New Roman" w:cstheme="minorBidi"/>
          <w:b/>
          <w:bCs/>
          <w:sz w:val="24"/>
        </w:rPr>
        <w:t>7. Sectoral analysis</w:t>
      </w:r>
    </w:p>
    <w:p>
      <w:pPr>
        <w:rPr>
          <w:rFonts w:eastAsia="Times New Roman" w:cstheme="minorBidi"/>
          <w:b/>
          <w:bCs/>
          <w:sz w:val="24"/>
        </w:rPr>
      </w:pPr>
      <w:r>
        <w:rPr>
          <w:rFonts w:eastAsia="Times New Roman" w:cstheme="minorBidi"/>
          <w:b/>
          <w:bCs/>
          <w:sz w:val="24"/>
        </w:rPr>
        <w:t>(1) The real-estate sector</w:t>
      </w:r>
    </w:p>
    <w:p>
      <w:pPr>
        <w:rPr>
          <w:sz w:val="24"/>
        </w:rPr>
      </w:pPr>
      <w:r>
        <w:rPr>
          <w:sz w:val="24"/>
        </w:rPr>
        <w:t xml:space="preserve">During the first half of 2017, </w:t>
      </w:r>
      <w:r>
        <w:rPr>
          <w:rFonts w:hint="eastAsia"/>
          <w:sz w:val="24"/>
        </w:rPr>
        <w:t xml:space="preserve">housing </w:t>
      </w:r>
      <w:r>
        <w:rPr>
          <w:sz w:val="24"/>
        </w:rPr>
        <w:t>sales continued to grow rapidly, albeit at a slower pace. Real-estate investments rebounded</w:t>
      </w:r>
      <w:r>
        <w:rPr>
          <w:rFonts w:hint="eastAsia"/>
          <w:sz w:val="24"/>
        </w:rPr>
        <w:t>,</w:t>
      </w:r>
      <w:r>
        <w:rPr>
          <w:sz w:val="24"/>
        </w:rPr>
        <w:t xml:space="preserve"> but their momentum weakened. Mortgage growth moderated.</w:t>
      </w:r>
    </w:p>
    <w:p>
      <w:pPr>
        <w:rPr>
          <w:sz w:val="24"/>
        </w:rPr>
      </w:pPr>
    </w:p>
    <w:p>
      <w:pPr>
        <w:rPr>
          <w:sz w:val="24"/>
        </w:rPr>
      </w:pPr>
      <w:r>
        <w:rPr>
          <w:sz w:val="24"/>
        </w:rPr>
        <w:t xml:space="preserve">More cities saw </w:t>
      </w:r>
      <w:r>
        <w:rPr>
          <w:rFonts w:hint="eastAsia"/>
          <w:sz w:val="24"/>
        </w:rPr>
        <w:t>rising</w:t>
      </w:r>
      <w:r>
        <w:rPr>
          <w:sz w:val="24"/>
        </w:rPr>
        <w:t xml:space="preserve"> housing prices</w:t>
      </w:r>
      <w:r>
        <w:rPr>
          <w:rFonts w:hint="eastAsia"/>
          <w:sz w:val="24"/>
        </w:rPr>
        <w:t>,</w:t>
      </w:r>
      <w:r>
        <w:rPr>
          <w:sz w:val="24"/>
        </w:rPr>
        <w:t xml:space="preserve"> but the year-on-year increase abated. In June, the prices of newly-built residential housing recorded month-on-month growth in 60 out of 70 large and medium-sized cities, 2 cities less than that in March, and the average growth was basically the same as that in March; the prices of newly-built residential housing rose year on year in 57 cities, 17 cities more than in March, and the average rise was 0.7 percentage point less than that in March. The prices of used residential housing increased month on month in 60 cities, 4 cities less than that in March; and the prices of used residential housing rose year on year in 66 cities, 20 more cities than in March.    </w:t>
      </w:r>
    </w:p>
    <w:p>
      <w:pPr>
        <w:rPr>
          <w:sz w:val="24"/>
        </w:rPr>
      </w:pPr>
    </w:p>
    <w:p>
      <w:pPr>
        <w:rPr>
          <w:sz w:val="24"/>
        </w:rPr>
      </w:pPr>
      <w:r>
        <w:rPr>
          <w:sz w:val="24"/>
        </w:rPr>
        <w:t xml:space="preserve">The volume of housing sales grew rapidly, though at a slower pace. In the first half of 2017, the total floor area of sold units posted 750 million square meters, up by 16.1 percent year on year, which was 3.4 percentage points lower than that in Q1. Housing sales reached RMB 5.9 trillion, increasing by 21.5 percent year on year, which was 3.6 percentage points lower than that in Q1. In particular, the amount of sold floor area and sales of residential housing accounted for 86.8 percent and 83.3 percent of total </w:t>
      </w:r>
      <w:r>
        <w:rPr>
          <w:rFonts w:hint="eastAsia"/>
          <w:sz w:val="24"/>
        </w:rPr>
        <w:t xml:space="preserve">housing sales </w:t>
      </w:r>
      <w:r>
        <w:rPr>
          <w:sz w:val="24"/>
        </w:rPr>
        <w:t>respectively.</w:t>
      </w:r>
    </w:p>
    <w:p>
      <w:pPr>
        <w:rPr>
          <w:sz w:val="24"/>
        </w:rPr>
      </w:pPr>
    </w:p>
    <w:p>
      <w:pPr>
        <w:rPr>
          <w:rFonts w:cstheme="minorBidi"/>
          <w:sz w:val="24"/>
        </w:rPr>
      </w:pPr>
      <w:r>
        <w:rPr>
          <w:sz w:val="24"/>
        </w:rPr>
        <w:t>Real-estate investments rebounded but their momentum weakened. During the first half of 2017, nationwide real-estate investments registered RMB 5.1 trillion, up by 8.5 percent year on year, which was 0.6 percentage point lower than that in Q1. Specifically, investments in residential housing, which accounted for 67.8 percent of total real-estate investments, posted RMB 3.4 trillion, up by 10.2 percent year on year</w:t>
      </w:r>
      <w:r>
        <w:rPr>
          <w:rFonts w:hint="eastAsia"/>
          <w:sz w:val="24"/>
        </w:rPr>
        <w:t>,</w:t>
      </w:r>
      <w:r>
        <w:rPr>
          <w:sz w:val="24"/>
        </w:rPr>
        <w:t xml:space="preserve"> a deceleration of 1 percentage point from Q1. The floor area of newly started real-estate projects gained 10.6 percent year on year to reach 860 million square meters, which was 1 percentage point lower than that in Q1. The floor area of real-estate projects under construction grew 3.4 percent year on year to 6</w:t>
      </w:r>
      <w:r>
        <w:rPr>
          <w:rFonts w:hint="eastAsia"/>
          <w:sz w:val="24"/>
        </w:rPr>
        <w:t>.</w:t>
      </w:r>
      <w:r>
        <w:rPr>
          <w:sz w:val="24"/>
        </w:rPr>
        <w:t xml:space="preserve">92 </w:t>
      </w:r>
      <w:r>
        <w:rPr>
          <w:rFonts w:hint="eastAsia"/>
          <w:sz w:val="24"/>
        </w:rPr>
        <w:t>b</w:t>
      </w:r>
      <w:r>
        <w:rPr>
          <w:sz w:val="24"/>
        </w:rPr>
        <w:t xml:space="preserve">illion square meters, 0.3 percentage point higher than that in Q1. The floor area of completed real-estate projects posted 420 million square meters, a year-on-year increase of 5 percent and a deceleration of 10.1 percentage points from Q1.  </w:t>
      </w:r>
    </w:p>
    <w:p>
      <w:pPr>
        <w:rPr>
          <w:sz w:val="24"/>
        </w:rPr>
      </w:pPr>
    </w:p>
    <w:p>
      <w:pPr>
        <w:rPr>
          <w:sz w:val="24"/>
        </w:rPr>
      </w:pPr>
      <w:r>
        <w:rPr>
          <w:sz w:val="24"/>
        </w:rPr>
        <w:t xml:space="preserve">The growth of real-estate </w:t>
      </w:r>
      <w:r>
        <w:rPr>
          <w:rFonts w:hint="eastAsia"/>
          <w:sz w:val="24"/>
        </w:rPr>
        <w:t>loans</w:t>
      </w:r>
      <w:r>
        <w:rPr>
          <w:sz w:val="24"/>
        </w:rPr>
        <w:t xml:space="preserve"> slowed down. At end-June, outstanding real-estate lending by major financial institutions (including foreign financial institutions) stood at RMB 29.7 trillion, up by 24.2 percent year on year, which was 2.0 percentage points lower than that at end-March. Outstanding real-estate loans accounted for 25.9 percent of total lending, up by 0.3 percentage point from end-March. Among this, outstanding personal mortgages rose by 30.8 percent year on year to RMB 20.1 trillion, which was 4.8 percentage points lower than that at end-March; outstanding housing development loans grew by 20.2 percent to RMB 5 trillion, an acceleration of 0.5 percentage point from end-March; outstanding land development loans declined to RMB 1.4 trillion</w:t>
      </w:r>
      <w:r>
        <w:rPr>
          <w:rFonts w:hint="eastAsia"/>
          <w:sz w:val="24"/>
        </w:rPr>
        <w:t xml:space="preserve">, </w:t>
      </w:r>
      <w:r>
        <w:rPr>
          <w:sz w:val="24"/>
        </w:rPr>
        <w:t xml:space="preserve">a </w:t>
      </w:r>
      <w:r>
        <w:rPr>
          <w:rFonts w:hint="eastAsia"/>
          <w:sz w:val="24"/>
        </w:rPr>
        <w:t>decline of</w:t>
      </w:r>
      <w:r>
        <w:rPr>
          <w:sz w:val="24"/>
        </w:rPr>
        <w:t xml:space="preserve"> 17.9 percent year on year, which was 3.6 percentage points </w:t>
      </w:r>
      <w:r>
        <w:rPr>
          <w:rFonts w:hint="eastAsia"/>
          <w:sz w:val="24"/>
        </w:rPr>
        <w:t>narr</w:t>
      </w:r>
      <w:r>
        <w:rPr>
          <w:sz w:val="24"/>
        </w:rPr>
        <w:t xml:space="preserve">ower than that at end-March. During the first half of 2017, new real-estate loans </w:t>
      </w:r>
      <w:r>
        <w:rPr>
          <w:rFonts w:hint="eastAsia"/>
          <w:sz w:val="24"/>
        </w:rPr>
        <w:t>grew by</w:t>
      </w:r>
      <w:r>
        <w:rPr>
          <w:sz w:val="24"/>
        </w:rPr>
        <w:t xml:space="preserve"> RMB 100 billion year on year</w:t>
      </w:r>
      <w:r>
        <w:rPr>
          <w:rFonts w:hint="eastAsia"/>
          <w:sz w:val="24"/>
        </w:rPr>
        <w:t xml:space="preserve"> </w:t>
      </w:r>
      <w:r>
        <w:rPr>
          <w:sz w:val="24"/>
        </w:rPr>
        <w:t xml:space="preserve">to RMB 3.0 trillion, accounting for 38.1 percent of all new loans, which was 2.2 percentage points lower than that in Q1. </w:t>
      </w:r>
    </w:p>
    <w:p>
      <w:pPr>
        <w:rPr>
          <w:sz w:val="24"/>
        </w:rPr>
      </w:pPr>
    </w:p>
    <w:p>
      <w:pPr>
        <w:rPr>
          <w:sz w:val="24"/>
        </w:rPr>
      </w:pPr>
      <w:r>
        <w:rPr>
          <w:sz w:val="24"/>
        </w:rPr>
        <w:t xml:space="preserve">Credit support for welfare housing remained strong. At end-March, outstanding loans for welfare housing development stood at RMB 3.0 trillion, up by 36.2 percent year on year, 11.5 percentage points lower than that at end-March. During the first half of 2017, loans for welfare housing development </w:t>
      </w:r>
      <w:r>
        <w:rPr>
          <w:rFonts w:hint="eastAsia"/>
          <w:sz w:val="24"/>
        </w:rPr>
        <w:t>grew by</w:t>
      </w:r>
      <w:r>
        <w:rPr>
          <w:sz w:val="24"/>
        </w:rPr>
        <w:t xml:space="preserve"> RMB 451.47 billion, accounting for 60.4 percent of all new real-estate development loans,</w:t>
      </w:r>
      <w:r>
        <w:rPr>
          <w:rStyle w:val="19"/>
          <w:sz w:val="24"/>
        </w:rPr>
        <w:footnoteReference w:id="1"/>
      </w:r>
      <w:r>
        <w:rPr>
          <w:sz w:val="24"/>
        </w:rPr>
        <w:t xml:space="preserve"> 11.7 percentage points higher than that in Q1. In addition, the pilot </w:t>
      </w:r>
      <w:r>
        <w:rPr>
          <w:rFonts w:hint="eastAsia"/>
          <w:sz w:val="24"/>
        </w:rPr>
        <w:t xml:space="preserve">lending </w:t>
      </w:r>
      <w:r>
        <w:rPr>
          <w:sz w:val="24"/>
        </w:rPr>
        <w:t xml:space="preserve">program </w:t>
      </w:r>
      <w:r>
        <w:rPr>
          <w:rFonts w:hint="eastAsia"/>
          <w:sz w:val="24"/>
        </w:rPr>
        <w:t xml:space="preserve">financed by </w:t>
      </w:r>
      <w:r>
        <w:rPr>
          <w:sz w:val="24"/>
        </w:rPr>
        <w:t>housing provident fund</w:t>
      </w:r>
      <w:r>
        <w:rPr>
          <w:rFonts w:hint="eastAsia"/>
          <w:sz w:val="24"/>
        </w:rPr>
        <w:t>s</w:t>
      </w:r>
      <w:r>
        <w:rPr>
          <w:sz w:val="24"/>
        </w:rPr>
        <w:t xml:space="preserve"> to support the construction of welfare housing proceeded steadily. By the end of June, loans for 373 welfare housing projects in 85 cities had been approved, a total of RMB 87.12 billion had been disbursed </w:t>
      </w:r>
      <w:r>
        <w:rPr>
          <w:rFonts w:hint="eastAsia"/>
          <w:sz w:val="24"/>
        </w:rPr>
        <w:t>in accordance with</w:t>
      </w:r>
      <w:r>
        <w:rPr>
          <w:sz w:val="24"/>
        </w:rPr>
        <w:t xml:space="preserve"> the construction progress, and RMB 76.38 billion of the principal payments had been repaid.</w:t>
      </w:r>
    </w:p>
    <w:p>
      <w:pPr>
        <w:rPr>
          <w:sz w:val="24"/>
        </w:rPr>
      </w:pPr>
    </w:p>
    <w:p>
      <w:pPr>
        <w:rPr>
          <w:rFonts w:eastAsia="Times New Roman" w:cstheme="minorBidi"/>
          <w:b/>
          <w:bCs/>
          <w:sz w:val="24"/>
        </w:rPr>
      </w:pPr>
      <w:r>
        <w:rPr>
          <w:rFonts w:eastAsia="Times New Roman" w:cstheme="minorBidi"/>
          <w:b/>
          <w:bCs/>
          <w:sz w:val="24"/>
        </w:rPr>
        <w:t xml:space="preserve">(2) </w:t>
      </w:r>
      <w:r>
        <w:rPr>
          <w:rFonts w:eastAsiaTheme="minorEastAsia" w:cstheme="minorBidi"/>
          <w:b/>
          <w:bCs/>
          <w:sz w:val="24"/>
        </w:rPr>
        <w:t>The commercial pension insurance</w:t>
      </w:r>
      <w:r>
        <w:rPr>
          <w:rFonts w:eastAsia="Times New Roman" w:cstheme="minorBidi"/>
          <w:b/>
          <w:bCs/>
          <w:sz w:val="24"/>
        </w:rPr>
        <w:t xml:space="preserve"> industry</w:t>
      </w:r>
    </w:p>
    <w:p>
      <w:pPr>
        <w:rPr>
          <w:sz w:val="24"/>
        </w:rPr>
      </w:pPr>
      <w:r>
        <w:rPr>
          <w:sz w:val="24"/>
        </w:rPr>
        <w:t xml:space="preserve">Commercial pension insurance is a category of insurance products and services provided by commercial </w:t>
      </w:r>
      <w:r>
        <w:rPr>
          <w:rFonts w:hint="eastAsia"/>
          <w:sz w:val="24"/>
        </w:rPr>
        <w:t>insurance agencies</w:t>
      </w:r>
      <w:r>
        <w:rPr>
          <w:sz w:val="24"/>
        </w:rPr>
        <w:t xml:space="preserve"> that focuses on aging security and pension fund management. As an important part of a </w:t>
      </w:r>
      <w:r>
        <w:rPr>
          <w:rFonts w:hint="eastAsia"/>
          <w:sz w:val="24"/>
        </w:rPr>
        <w:t>pension system</w:t>
      </w:r>
      <w:r>
        <w:rPr>
          <w:sz w:val="24"/>
        </w:rPr>
        <w:t xml:space="preserve">, the accelerated development of commercial pension insurance is crucial to improving the </w:t>
      </w:r>
      <w:r>
        <w:rPr>
          <w:rFonts w:hint="eastAsia"/>
          <w:sz w:val="24"/>
        </w:rPr>
        <w:t>pension system</w:t>
      </w:r>
      <w:r>
        <w:rPr>
          <w:sz w:val="24"/>
        </w:rPr>
        <w:t>, promoting the development of an elderly-care service industry, and enhancing the quality and efficiency of the economy.</w:t>
      </w:r>
    </w:p>
    <w:p>
      <w:pPr>
        <w:rPr>
          <w:sz w:val="24"/>
        </w:rPr>
      </w:pPr>
    </w:p>
    <w:p>
      <w:pPr>
        <w:rPr>
          <w:sz w:val="24"/>
        </w:rPr>
      </w:pPr>
      <w:r>
        <w:rPr>
          <w:rFonts w:hint="eastAsia"/>
          <w:sz w:val="24"/>
        </w:rPr>
        <w:t>Thanks to over two decades</w:t>
      </w:r>
      <w:r>
        <w:rPr>
          <w:sz w:val="24"/>
        </w:rPr>
        <w:t>’</w:t>
      </w:r>
      <w:r>
        <w:rPr>
          <w:rFonts w:hint="eastAsia"/>
          <w:sz w:val="24"/>
        </w:rPr>
        <w:t xml:space="preserve"> development</w:t>
      </w:r>
      <w:r>
        <w:rPr>
          <w:sz w:val="24"/>
        </w:rPr>
        <w:t xml:space="preserve">, China’s </w:t>
      </w:r>
      <w:r>
        <w:rPr>
          <w:rFonts w:hint="eastAsia"/>
          <w:sz w:val="24"/>
        </w:rPr>
        <w:t>pension system</w:t>
      </w:r>
      <w:r>
        <w:rPr>
          <w:sz w:val="24"/>
        </w:rPr>
        <w:t>, which mainly rests on three pillars</w:t>
      </w:r>
      <w:r>
        <w:t>—</w:t>
      </w:r>
      <w:r>
        <w:rPr>
          <w:sz w:val="24"/>
        </w:rPr>
        <w:t>basic pension insurance, supplementary pension insurance provided by employers, and personal commercial pension insurance</w:t>
      </w:r>
      <w:r>
        <w:t>—</w:t>
      </w:r>
      <w:r>
        <w:rPr>
          <w:sz w:val="24"/>
        </w:rPr>
        <w:t>has</w:t>
      </w:r>
      <w:r>
        <w:rPr>
          <w:rFonts w:hint="eastAsia"/>
          <w:sz w:val="24"/>
        </w:rPr>
        <w:t xml:space="preserve"> taken</w:t>
      </w:r>
      <w:r>
        <w:rPr>
          <w:sz w:val="24"/>
        </w:rPr>
        <w:t xml:space="preserve"> shape. The </w:t>
      </w:r>
      <w:r>
        <w:rPr>
          <w:rFonts w:hint="eastAsia"/>
          <w:sz w:val="24"/>
        </w:rPr>
        <w:t>pension system</w:t>
      </w:r>
      <w:r>
        <w:rPr>
          <w:sz w:val="24"/>
        </w:rPr>
        <w:t xml:space="preserve"> has played an important role in supporting the basic living conditions of retirees, boosting economic development, and safeguarding social stability. However, in recent years as the population is aging </w:t>
      </w:r>
      <w:r>
        <w:rPr>
          <w:rFonts w:hint="eastAsia"/>
          <w:sz w:val="24"/>
        </w:rPr>
        <w:t>against the background of</w:t>
      </w:r>
      <w:r>
        <w:rPr>
          <w:sz w:val="24"/>
        </w:rPr>
        <w:t xml:space="preserve"> the new normal in the econom</w:t>
      </w:r>
      <w:r>
        <w:rPr>
          <w:rFonts w:hint="eastAsia"/>
          <w:sz w:val="24"/>
        </w:rPr>
        <w:t>y</w:t>
      </w:r>
      <w:r>
        <w:rPr>
          <w:sz w:val="24"/>
        </w:rPr>
        <w:t xml:space="preserve"> and the social transition, the current pension system in China is facing many new challenges. In particular, while it is common that commercial pension insurance plays a leading role in </w:t>
      </w:r>
      <w:r>
        <w:rPr>
          <w:rFonts w:hint="eastAsia"/>
          <w:sz w:val="24"/>
        </w:rPr>
        <w:t>overseas</w:t>
      </w:r>
      <w:r>
        <w:rPr>
          <w:sz w:val="24"/>
        </w:rPr>
        <w:t xml:space="preserve"> </w:t>
      </w:r>
      <w:r>
        <w:rPr>
          <w:rFonts w:hint="eastAsia"/>
          <w:sz w:val="24"/>
        </w:rPr>
        <w:t>pension system</w:t>
      </w:r>
      <w:r>
        <w:rPr>
          <w:sz w:val="24"/>
        </w:rPr>
        <w:t>s, the development of commercial pension insurance has been sluggish in China, and there is still some way to go before a multi-level and sustainabl</w:t>
      </w:r>
      <w:r>
        <w:rPr>
          <w:rFonts w:hint="eastAsia"/>
          <w:sz w:val="24"/>
        </w:rPr>
        <w:t xml:space="preserve">e </w:t>
      </w:r>
      <w:r>
        <w:rPr>
          <w:sz w:val="24"/>
        </w:rPr>
        <w:t>commercial pension insurance system is established. As a result, the current commercial pension insurance cannot serve as an efficient supplement to the first pillar</w:t>
      </w:r>
      <w:r>
        <w:t>—</w:t>
      </w:r>
      <w:r>
        <w:rPr>
          <w:sz w:val="24"/>
        </w:rPr>
        <w:t xml:space="preserve">basic pension insurance. </w:t>
      </w:r>
    </w:p>
    <w:p>
      <w:pPr>
        <w:rPr>
          <w:sz w:val="24"/>
        </w:rPr>
      </w:pPr>
    </w:p>
    <w:p>
      <w:pPr>
        <w:rPr>
          <w:sz w:val="24"/>
        </w:rPr>
      </w:pPr>
      <w:r>
        <w:rPr>
          <w:sz w:val="24"/>
        </w:rPr>
        <w:t>Above all, the development of commercial pension insurance in China has lagged behind its international counterparts</w:t>
      </w:r>
      <w:r>
        <w:rPr>
          <w:rFonts w:hint="eastAsia"/>
          <w:sz w:val="24"/>
        </w:rPr>
        <w:t xml:space="preserve">, as </w:t>
      </w:r>
      <w:r>
        <w:rPr>
          <w:sz w:val="24"/>
        </w:rPr>
        <w:t>indicated by</w:t>
      </w:r>
      <w:r>
        <w:rPr>
          <w:rFonts w:hint="eastAsia"/>
          <w:sz w:val="24"/>
        </w:rPr>
        <w:t xml:space="preserve"> the following facts</w:t>
      </w:r>
      <w:r>
        <w:rPr>
          <w:sz w:val="24"/>
        </w:rPr>
        <w:t xml:space="preserve">. </w:t>
      </w:r>
      <w:r>
        <w:rPr>
          <w:rFonts w:hint="eastAsia"/>
          <w:sz w:val="24"/>
        </w:rPr>
        <w:t>I</w:t>
      </w:r>
      <w:r>
        <w:rPr>
          <w:sz w:val="24"/>
        </w:rPr>
        <w:t xml:space="preserve">n 2016 the </w:t>
      </w:r>
      <w:r>
        <w:rPr>
          <w:rFonts w:hint="eastAsia"/>
          <w:sz w:val="24"/>
        </w:rPr>
        <w:t>premium revenue</w:t>
      </w:r>
      <w:r>
        <w:rPr>
          <w:sz w:val="24"/>
        </w:rPr>
        <w:t xml:space="preserve"> of China’s personal insurance (mainly annuities) that could support old age stood at RMB 860 billion, accounting for 25 percent of the total </w:t>
      </w:r>
      <w:r>
        <w:rPr>
          <w:rFonts w:hint="eastAsia"/>
          <w:sz w:val="24"/>
        </w:rPr>
        <w:t>premium revenue</w:t>
      </w:r>
      <w:r>
        <w:rPr>
          <w:sz w:val="24"/>
        </w:rPr>
        <w:t xml:space="preserve"> of personal insurance. In contrast, the </w:t>
      </w:r>
      <w:r>
        <w:rPr>
          <w:rFonts w:hint="eastAsia"/>
          <w:sz w:val="24"/>
        </w:rPr>
        <w:t>premium revenue</w:t>
      </w:r>
      <w:r>
        <w:rPr>
          <w:sz w:val="24"/>
        </w:rPr>
        <w:t xml:space="preserve"> of commercial pension insurance, where insure</w:t>
      </w:r>
      <w:r>
        <w:rPr>
          <w:rFonts w:hint="eastAsia"/>
          <w:sz w:val="24"/>
        </w:rPr>
        <w:t>e</w:t>
      </w:r>
      <w:r>
        <w:rPr>
          <w:sz w:val="24"/>
        </w:rPr>
        <w:t>s take pensions in installments after retirement, registered RMB 150 billion, accounting for only 4.4 percent</w:t>
      </w:r>
      <w:r>
        <w:rPr>
          <w:rFonts w:hint="eastAsia"/>
          <w:sz w:val="24"/>
        </w:rPr>
        <w:t xml:space="preserve"> of the total</w:t>
      </w:r>
      <w:r>
        <w:rPr>
          <w:sz w:val="24"/>
        </w:rPr>
        <w:t>, as opposed to the ratio</w:t>
      </w:r>
      <w:r>
        <w:rPr>
          <w:rFonts w:hint="eastAsia"/>
          <w:sz w:val="24"/>
        </w:rPr>
        <w:t>s</w:t>
      </w:r>
      <w:r>
        <w:rPr>
          <w:sz w:val="24"/>
        </w:rPr>
        <w:t xml:space="preserve"> in the US, the UK, and Canada where they all exceeded 35 percent. Second, the risk and insurance awareness of Chinese citizens is weak so they are not </w:t>
      </w:r>
      <w:r>
        <w:rPr>
          <w:rFonts w:hint="eastAsia"/>
          <w:sz w:val="24"/>
        </w:rPr>
        <w:t xml:space="preserve">keen to </w:t>
      </w:r>
      <w:r>
        <w:rPr>
          <w:sz w:val="24"/>
        </w:rPr>
        <w:t>purchas</w:t>
      </w:r>
      <w:r>
        <w:rPr>
          <w:rFonts w:hint="eastAsia"/>
          <w:sz w:val="24"/>
        </w:rPr>
        <w:t>e</w:t>
      </w:r>
      <w:r>
        <w:rPr>
          <w:sz w:val="24"/>
        </w:rPr>
        <w:t xml:space="preserve"> commercial pension insurance. Due to the </w:t>
      </w:r>
      <w:r>
        <w:rPr>
          <w:rFonts w:hint="eastAsia"/>
          <w:sz w:val="24"/>
        </w:rPr>
        <w:t>underdeveloped</w:t>
      </w:r>
      <w:r>
        <w:rPr>
          <w:sz w:val="24"/>
        </w:rPr>
        <w:t xml:space="preserve"> insurance market and the weak insurance</w:t>
      </w:r>
      <w:r>
        <w:rPr>
          <w:rFonts w:hint="eastAsia"/>
          <w:sz w:val="24"/>
        </w:rPr>
        <w:t xml:space="preserve"> willingness</w:t>
      </w:r>
      <w:r>
        <w:rPr>
          <w:sz w:val="24"/>
        </w:rPr>
        <w:t xml:space="preserve">, the participation rate of Chinese citizens in commercial pension insurance is low. The </w:t>
      </w:r>
      <w:r>
        <w:rPr>
          <w:rFonts w:hint="eastAsia"/>
          <w:sz w:val="24"/>
        </w:rPr>
        <w:t xml:space="preserve">number of </w:t>
      </w:r>
      <w:r>
        <w:rPr>
          <w:sz w:val="24"/>
        </w:rPr>
        <w:t xml:space="preserve">long-term </w:t>
      </w:r>
      <w:r>
        <w:rPr>
          <w:rFonts w:hint="eastAsia"/>
          <w:sz w:val="24"/>
        </w:rPr>
        <w:t xml:space="preserve">life </w:t>
      </w:r>
      <w:r>
        <w:rPr>
          <w:sz w:val="24"/>
        </w:rPr>
        <w:t xml:space="preserve">insurance policies per capita in China averages 0.1, which is far below the average of 1.5 in the developed countries. Third, the professional standards and service capacity of commercial </w:t>
      </w:r>
      <w:r>
        <w:rPr>
          <w:rFonts w:hint="eastAsia"/>
          <w:sz w:val="24"/>
        </w:rPr>
        <w:t>insurance agencies</w:t>
      </w:r>
      <w:r>
        <w:rPr>
          <w:sz w:val="24"/>
        </w:rPr>
        <w:t xml:space="preserve"> still need to be improved. Personalized and differentiated products are rare and product homogeneity is serious, which leads to inadequate and narrow coverage of products and services. In addition, policy support is insufficient and there is much room for improvement. For example, preferential tax policies for commercial pension insurance should be further improved so as to provide strong incentives for the development of the third pillar of aging security.  </w:t>
      </w:r>
    </w:p>
    <w:p>
      <w:pPr>
        <w:rPr>
          <w:sz w:val="24"/>
        </w:rPr>
      </w:pPr>
    </w:p>
    <w:p>
      <w:pPr>
        <w:rPr>
          <w:sz w:val="24"/>
        </w:rPr>
      </w:pPr>
      <w:r>
        <w:rPr>
          <w:sz w:val="24"/>
        </w:rPr>
        <w:t xml:space="preserve">In order to cope with the aging population and to </w:t>
      </w:r>
      <w:r>
        <w:rPr>
          <w:rFonts w:hint="eastAsia"/>
          <w:sz w:val="24"/>
        </w:rPr>
        <w:t>meet</w:t>
      </w:r>
      <w:r>
        <w:rPr>
          <w:sz w:val="24"/>
        </w:rPr>
        <w:t xml:space="preserve"> the increasing demand for </w:t>
      </w:r>
      <w:r>
        <w:rPr>
          <w:rFonts w:hint="eastAsia"/>
          <w:sz w:val="24"/>
        </w:rPr>
        <w:t>pension</w:t>
      </w:r>
      <w:r>
        <w:rPr>
          <w:sz w:val="24"/>
        </w:rPr>
        <w:t xml:space="preserve"> security, efforts should be made to fully tap the role of commercial pension insurance to strengthen the </w:t>
      </w:r>
      <w:r>
        <w:rPr>
          <w:rFonts w:hint="eastAsia"/>
          <w:sz w:val="24"/>
        </w:rPr>
        <w:t>pension system</w:t>
      </w:r>
      <w:r>
        <w:rPr>
          <w:sz w:val="24"/>
        </w:rPr>
        <w:t xml:space="preserve">. The State Council recently issued the </w:t>
      </w:r>
      <w:r>
        <w:rPr>
          <w:i/>
          <w:sz w:val="24"/>
        </w:rPr>
        <w:t xml:space="preserve">Guiding </w:t>
      </w:r>
      <w:r>
        <w:rPr>
          <w:i/>
          <w:iCs/>
          <w:sz w:val="24"/>
        </w:rPr>
        <w:t>Opinions on Accelerating the Development of Commercial Pension Insurance</w:t>
      </w:r>
      <w:r>
        <w:rPr>
          <w:sz w:val="24"/>
        </w:rPr>
        <w:t xml:space="preserve">, setting the goals for the development of commercial pension insurance by 2020 and making arrangements </w:t>
      </w:r>
      <w:r>
        <w:rPr>
          <w:rFonts w:hint="eastAsia"/>
          <w:sz w:val="24"/>
        </w:rPr>
        <w:t>to promote</w:t>
      </w:r>
      <w:r>
        <w:rPr>
          <w:sz w:val="24"/>
        </w:rPr>
        <w:t xml:space="preserve"> the development of commercial pension insurance. During next stage, efforts should be made to accelerate the development of commercial pension insurance in the following respects. </w:t>
      </w:r>
    </w:p>
    <w:p>
      <w:pPr>
        <w:rPr>
          <w:sz w:val="24"/>
        </w:rPr>
      </w:pPr>
    </w:p>
    <w:p>
      <w:pPr>
        <w:rPr>
          <w:sz w:val="24"/>
        </w:rPr>
      </w:pPr>
      <w:r>
        <w:rPr>
          <w:sz w:val="24"/>
        </w:rPr>
        <w:t xml:space="preserve">First, innovations of products and services in commercial pension insurance will be promoted. Support will be provided for commercial </w:t>
      </w:r>
      <w:r>
        <w:rPr>
          <w:rFonts w:hint="eastAsia"/>
          <w:sz w:val="24"/>
        </w:rPr>
        <w:t>insurance agencies</w:t>
      </w:r>
      <w:r>
        <w:rPr>
          <w:sz w:val="24"/>
        </w:rPr>
        <w:t xml:space="preserve"> to develop diverse commercial pension insurance products, to foster commercial pension annuities that are sound and well-warranted and that cater to the demand for long-term or life-long claims, and to actively participate in the pilot program of income tax deferred commercial pension insurance. Meanwhile, commercial </w:t>
      </w:r>
      <w:r>
        <w:rPr>
          <w:rFonts w:hint="eastAsia"/>
          <w:sz w:val="24"/>
        </w:rPr>
        <w:t>insurance agencies</w:t>
      </w:r>
      <w:r>
        <w:rPr>
          <w:sz w:val="24"/>
        </w:rPr>
        <w:t xml:space="preserve"> will be encouraged to provide products and services such as corporate (vocational) annuity plans, to deliver a variety of aging security options for employees in innovative enterprises and start-ups, and to duly participate in the investment and management of basic pension funds and the national social security fund according to the laws and regulations. </w:t>
      </w:r>
    </w:p>
    <w:p>
      <w:pPr>
        <w:rPr>
          <w:sz w:val="24"/>
        </w:rPr>
      </w:pPr>
    </w:p>
    <w:p>
      <w:pPr>
        <w:rPr>
          <w:sz w:val="24"/>
        </w:rPr>
      </w:pPr>
      <w:r>
        <w:rPr>
          <w:sz w:val="24"/>
        </w:rPr>
        <w:t xml:space="preserve">Second, steps will be taken to promote the healthy development of the elderly-care service industry. Commercial </w:t>
      </w:r>
      <w:r>
        <w:rPr>
          <w:rFonts w:hint="eastAsia"/>
          <w:sz w:val="24"/>
        </w:rPr>
        <w:t>insurance agencies</w:t>
      </w:r>
      <w:r>
        <w:rPr>
          <w:sz w:val="24"/>
        </w:rPr>
        <w:t xml:space="preserve"> will be encouraged to invest in the elderly care service industry, to provide risk prevention services for elderly-care institutions, and to formulate and improve comprehensive aging security plans for the elderly. </w:t>
      </w:r>
    </w:p>
    <w:p>
      <w:pPr>
        <w:rPr>
          <w:sz w:val="24"/>
        </w:rPr>
      </w:pPr>
    </w:p>
    <w:p>
      <w:pPr>
        <w:rPr>
          <w:sz w:val="24"/>
        </w:rPr>
      </w:pPr>
      <w:r>
        <w:rPr>
          <w:sz w:val="24"/>
        </w:rPr>
        <w:t xml:space="preserve">Third, work will be done to ensure safe and sound operations of commercial pension insurance funds. In line with the principle of risk controllability and business sustainability, the advantages of commercial pension insurance funds as long-term investors will be tapped so that they can participate in the implementation of major national strategies in a steady and orderly manner. Furthermore, coordinated development between commercial pension funds and the capital market will be enhanced and commercial pension funds will be allowed to make overseas investments in a prudent manner. </w:t>
      </w:r>
    </w:p>
    <w:p>
      <w:pPr>
        <w:rPr>
          <w:sz w:val="24"/>
        </w:rPr>
      </w:pPr>
    </w:p>
    <w:p>
      <w:pPr>
        <w:rPr>
          <w:sz w:val="24"/>
        </w:rPr>
      </w:pPr>
      <w:r>
        <w:rPr>
          <w:sz w:val="24"/>
        </w:rPr>
        <w:t xml:space="preserve">Fourth, </w:t>
      </w:r>
      <w:r>
        <w:rPr>
          <w:rFonts w:hint="eastAsia"/>
          <w:sz w:val="24"/>
        </w:rPr>
        <w:t>capacity</w:t>
      </w:r>
      <w:r>
        <w:rPr>
          <w:sz w:val="24"/>
        </w:rPr>
        <w:t xml:space="preserve"> building will be strengthened, service quality will be upgraded, professional institutions will be cultivated, and supervision and management will be stepped up so as to maintain the value of the commercial pension insurance funds, to realize reasonable returns, and to reinforce security provided by the insurance.</w:t>
      </w:r>
    </w:p>
    <w:p/>
    <w:p>
      <w:pPr>
        <w:keepNext/>
        <w:keepLines/>
        <w:spacing w:beforeLines="200" w:afterLines="100"/>
        <w:jc w:val="center"/>
        <w:outlineLvl w:val="0"/>
        <w:rPr>
          <w:rFonts w:eastAsia="黑体"/>
          <w:b/>
          <w:kern w:val="0"/>
          <w:sz w:val="36"/>
          <w:szCs w:val="44"/>
        </w:rPr>
      </w:pPr>
      <w:bookmarkStart w:id="155" w:name="_Toc492904389"/>
      <w:bookmarkStart w:id="156" w:name="_Toc476916153"/>
      <w:bookmarkStart w:id="157" w:name="_Toc472330081"/>
      <w:bookmarkStart w:id="158" w:name="_Toc484425042"/>
      <w:bookmarkStart w:id="159" w:name="_Toc484425044"/>
      <w:bookmarkStart w:id="160" w:name="_Toc477186137"/>
      <w:r>
        <w:rPr>
          <w:rFonts w:eastAsia="黑体"/>
          <w:b/>
          <w:kern w:val="0"/>
          <w:sz w:val="36"/>
          <w:szCs w:val="44"/>
        </w:rPr>
        <w:t>Part 5 Monetary Policy Stance to be Adopted during the Next Stage</w:t>
      </w:r>
      <w:bookmarkEnd w:id="155"/>
      <w:bookmarkEnd w:id="156"/>
      <w:bookmarkEnd w:id="157"/>
      <w:bookmarkEnd w:id="158"/>
      <w:bookmarkStart w:id="161" w:name="_Toc484425043"/>
      <w:bookmarkStart w:id="162" w:name="_Toc476916154"/>
    </w:p>
    <w:p>
      <w:pPr>
        <w:keepNext/>
        <w:keepLines/>
        <w:adjustRightInd w:val="0"/>
        <w:spacing w:before="20" w:after="20"/>
        <w:outlineLvl w:val="1"/>
        <w:rPr>
          <w:rFonts w:eastAsia="楷体_GB2312"/>
          <w:b/>
          <w:sz w:val="24"/>
        </w:rPr>
      </w:pPr>
      <w:bookmarkStart w:id="163" w:name="_Toc492904390"/>
      <w:r>
        <w:rPr>
          <w:rFonts w:eastAsia="楷体_GB2312"/>
          <w:b/>
          <w:sz w:val="24"/>
        </w:rPr>
        <w:t>I.  Outlook for the Chinese Economy</w:t>
      </w:r>
      <w:bookmarkEnd w:id="161"/>
      <w:bookmarkEnd w:id="162"/>
      <w:bookmarkEnd w:id="163"/>
    </w:p>
    <w:p/>
    <w:p>
      <w:pPr>
        <w:rPr>
          <w:rFonts w:eastAsiaTheme="minorEastAsia"/>
          <w:sz w:val="24"/>
        </w:rPr>
      </w:pPr>
      <w:r>
        <w:rPr>
          <w:rFonts w:eastAsia="Times New Roman"/>
          <w:sz w:val="24"/>
        </w:rPr>
        <w:t>Looking</w:t>
      </w:r>
      <w:r>
        <w:rPr>
          <w:rFonts w:hint="eastAsia" w:eastAsia="Times New Roman"/>
          <w:sz w:val="24"/>
        </w:rPr>
        <w:t xml:space="preserve"> </w:t>
      </w:r>
      <w:r>
        <w:rPr>
          <w:rFonts w:eastAsia="Times New Roman"/>
          <w:sz w:val="24"/>
        </w:rPr>
        <w:t>forward</w:t>
      </w:r>
      <w:r>
        <w:rPr>
          <w:rFonts w:hint="eastAsia" w:eastAsia="Times New Roman"/>
          <w:sz w:val="24"/>
        </w:rPr>
        <w:t xml:space="preserve">, </w:t>
      </w:r>
      <w:r>
        <w:rPr>
          <w:rFonts w:eastAsia="Times New Roman"/>
          <w:sz w:val="24"/>
        </w:rPr>
        <w:t>there</w:t>
      </w:r>
      <w:r>
        <w:rPr>
          <w:rFonts w:hint="eastAsia" w:eastAsia="Times New Roman"/>
          <w:sz w:val="24"/>
        </w:rPr>
        <w:t xml:space="preserve"> </w:t>
      </w:r>
      <w:r>
        <w:rPr>
          <w:rFonts w:eastAsia="Times New Roman"/>
          <w:sz w:val="24"/>
        </w:rPr>
        <w:t>are</w:t>
      </w:r>
      <w:r>
        <w:rPr>
          <w:rFonts w:hint="eastAsia" w:eastAsia="Times New Roman"/>
          <w:sz w:val="24"/>
        </w:rPr>
        <w:t xml:space="preserve"> </w:t>
      </w:r>
      <w:r>
        <w:rPr>
          <w:rFonts w:eastAsia="Times New Roman"/>
          <w:sz w:val="24"/>
        </w:rPr>
        <w:t>many</w:t>
      </w:r>
      <w:r>
        <w:rPr>
          <w:rFonts w:hint="eastAsia" w:eastAsia="Times New Roman"/>
          <w:sz w:val="24"/>
        </w:rPr>
        <w:t xml:space="preserve"> </w:t>
      </w:r>
      <w:r>
        <w:rPr>
          <w:rFonts w:eastAsia="Times New Roman"/>
          <w:sz w:val="24"/>
        </w:rPr>
        <w:t>favorable</w:t>
      </w:r>
      <w:r>
        <w:rPr>
          <w:rFonts w:hint="eastAsia" w:eastAsia="Times New Roman"/>
          <w:sz w:val="24"/>
        </w:rPr>
        <w:t xml:space="preserve"> </w:t>
      </w:r>
      <w:r>
        <w:rPr>
          <w:rFonts w:eastAsia="Times New Roman"/>
          <w:sz w:val="24"/>
        </w:rPr>
        <w:t>factors to support</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steady</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Chinese</w:t>
      </w:r>
      <w:r>
        <w:rPr>
          <w:rFonts w:hint="eastAsia" w:eastAsia="Times New Roman"/>
          <w:sz w:val="24"/>
        </w:rPr>
        <w:t xml:space="preserve"> </w:t>
      </w:r>
      <w:r>
        <w:rPr>
          <w:rFonts w:eastAsia="Times New Roman"/>
          <w:sz w:val="24"/>
        </w:rPr>
        <w:t>economy</w:t>
      </w:r>
      <w:r>
        <w:rPr>
          <w:rFonts w:hint="eastAsia" w:eastAsia="Times New Roman"/>
          <w:sz w:val="24"/>
        </w:rPr>
        <w:t xml:space="preserve">. </w:t>
      </w:r>
      <w:r>
        <w:rPr>
          <w:rFonts w:eastAsiaTheme="minorEastAsia"/>
          <w:sz w:val="24"/>
        </w:rPr>
        <w:t>G</w:t>
      </w:r>
      <w:r>
        <w:rPr>
          <w:rFonts w:hint="eastAsia" w:eastAsiaTheme="minorEastAsia"/>
          <w:sz w:val="24"/>
        </w:rPr>
        <w:t xml:space="preserve">lobal economic performance </w:t>
      </w:r>
      <w:r>
        <w:rPr>
          <w:rFonts w:eastAsiaTheme="minorEastAsia"/>
          <w:sz w:val="24"/>
        </w:rPr>
        <w:t>is generally</w:t>
      </w:r>
      <w:r>
        <w:rPr>
          <w:rFonts w:hint="eastAsia" w:eastAsiaTheme="minorEastAsia"/>
          <w:sz w:val="24"/>
        </w:rPr>
        <w:t xml:space="preserve"> solid. </w:t>
      </w:r>
      <w:r>
        <w:rPr>
          <w:rFonts w:eastAsiaTheme="minorEastAsia"/>
          <w:sz w:val="24"/>
        </w:rPr>
        <w:t>In their latest projections, t</w:t>
      </w:r>
      <w:r>
        <w:rPr>
          <w:rFonts w:eastAsia="Times New Roman"/>
          <w:sz w:val="24"/>
        </w:rPr>
        <w:t>he</w:t>
      </w:r>
      <w:r>
        <w:rPr>
          <w:rFonts w:hint="eastAsia" w:eastAsia="Times New Roman"/>
          <w:sz w:val="24"/>
        </w:rPr>
        <w:t xml:space="preserve"> </w:t>
      </w:r>
      <w:r>
        <w:rPr>
          <w:rFonts w:eastAsia="Times New Roman"/>
          <w:sz w:val="24"/>
        </w:rPr>
        <w:t>International</w:t>
      </w:r>
      <w:r>
        <w:rPr>
          <w:rFonts w:hint="eastAsia" w:eastAsia="Times New Roman"/>
          <w:sz w:val="24"/>
        </w:rPr>
        <w:t xml:space="preserve"> </w:t>
      </w:r>
      <w:r>
        <w:rPr>
          <w:rFonts w:eastAsia="Times New Roman"/>
          <w:sz w:val="24"/>
        </w:rPr>
        <w:t>Monetary</w:t>
      </w:r>
      <w:r>
        <w:rPr>
          <w:rFonts w:hint="eastAsia" w:eastAsia="Times New Roman"/>
          <w:sz w:val="24"/>
        </w:rPr>
        <w:t xml:space="preserve"> </w:t>
      </w:r>
      <w:r>
        <w:rPr>
          <w:rFonts w:eastAsia="Times New Roman"/>
          <w:sz w:val="24"/>
        </w:rPr>
        <w:t>Fund</w:t>
      </w:r>
      <w:r>
        <w:rPr>
          <w:rFonts w:hint="eastAsia" w:eastAsia="Times New Roman"/>
          <w:sz w:val="24"/>
        </w:rPr>
        <w:t xml:space="preserve"> (</w:t>
      </w:r>
      <w:r>
        <w:rPr>
          <w:rFonts w:eastAsia="Times New Roman"/>
          <w:sz w:val="24"/>
        </w:rPr>
        <w:t>IMF</w:t>
      </w:r>
      <w:r>
        <w:rPr>
          <w:rFonts w:hint="eastAsia" w:eastAsia="Times New Roman"/>
          <w:sz w:val="24"/>
        </w:rPr>
        <w:t xml:space="preserve">) </w:t>
      </w:r>
      <w:r>
        <w:rPr>
          <w:rFonts w:hint="eastAsia" w:eastAsiaTheme="minorEastAsia"/>
          <w:sz w:val="24"/>
        </w:rPr>
        <w:t xml:space="preserve">and the </w:t>
      </w:r>
      <w:r>
        <w:rPr>
          <w:rFonts w:eastAsiaTheme="minorEastAsia"/>
          <w:sz w:val="24"/>
        </w:rPr>
        <w:t>Organization</w:t>
      </w:r>
      <w:r>
        <w:rPr>
          <w:rFonts w:hint="eastAsia" w:eastAsiaTheme="minorEastAsia"/>
          <w:sz w:val="24"/>
        </w:rPr>
        <w:t xml:space="preserve"> for Economic Co</w:t>
      </w:r>
      <w:r>
        <w:rPr>
          <w:rFonts w:eastAsiaTheme="minorEastAsia"/>
          <w:sz w:val="24"/>
        </w:rPr>
        <w:t>-</w:t>
      </w:r>
      <w:r>
        <w:rPr>
          <w:rFonts w:hint="eastAsia" w:eastAsiaTheme="minorEastAsia"/>
          <w:sz w:val="24"/>
        </w:rPr>
        <w:t xml:space="preserve">operation and Development (OECD) have </w:t>
      </w:r>
      <w:r>
        <w:rPr>
          <w:rFonts w:eastAsia="Times New Roman"/>
          <w:sz w:val="24"/>
        </w:rPr>
        <w:t>predict</w:t>
      </w:r>
      <w:r>
        <w:rPr>
          <w:rFonts w:hint="eastAsia" w:eastAsiaTheme="minorEastAsia"/>
          <w:sz w:val="24"/>
        </w:rPr>
        <w:t>ed</w:t>
      </w:r>
      <w:r>
        <w:rPr>
          <w:rFonts w:eastAsiaTheme="minorEastAsia"/>
          <w:sz w:val="24"/>
        </w:rPr>
        <w:t xml:space="preserve"> </w:t>
      </w:r>
      <w:r>
        <w:rPr>
          <w:rFonts w:eastAsia="Times New Roman"/>
          <w:sz w:val="24"/>
        </w:rPr>
        <w:t>a</w:t>
      </w:r>
      <w:r>
        <w:rPr>
          <w:rFonts w:hint="eastAsia" w:eastAsia="Times New Roman"/>
          <w:sz w:val="24"/>
        </w:rPr>
        <w:t xml:space="preserve"> </w:t>
      </w:r>
      <w:r>
        <w:rPr>
          <w:rFonts w:eastAsia="Times New Roman"/>
          <w:sz w:val="24"/>
        </w:rPr>
        <w:t>higher</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rate</w:t>
      </w:r>
      <w:r>
        <w:rPr>
          <w:rFonts w:hint="eastAsia" w:eastAsia="Times New Roman"/>
          <w:sz w:val="24"/>
        </w:rPr>
        <w:t xml:space="preserve"> </w:t>
      </w:r>
      <w:r>
        <w:rPr>
          <w:rFonts w:eastAsia="Times New Roman"/>
          <w:sz w:val="24"/>
        </w:rPr>
        <w:t>for</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global</w:t>
      </w:r>
      <w:r>
        <w:rPr>
          <w:rFonts w:hint="eastAsia" w:eastAsia="Times New Roman"/>
          <w:sz w:val="24"/>
        </w:rPr>
        <w:t xml:space="preserve"> </w:t>
      </w:r>
      <w:r>
        <w:rPr>
          <w:rFonts w:eastAsia="Times New Roman"/>
          <w:sz w:val="24"/>
        </w:rPr>
        <w:t>economy</w:t>
      </w:r>
      <w:r>
        <w:rPr>
          <w:rFonts w:hint="eastAsia" w:eastAsia="Times New Roman"/>
          <w:sz w:val="24"/>
        </w:rPr>
        <w:t xml:space="preserve"> </w:t>
      </w:r>
      <w:r>
        <w:rPr>
          <w:rFonts w:eastAsia="Times New Roman"/>
          <w:sz w:val="24"/>
        </w:rPr>
        <w:t>in</w:t>
      </w:r>
      <w:r>
        <w:rPr>
          <w:rFonts w:hint="eastAsia" w:eastAsia="Times New Roman"/>
          <w:sz w:val="24"/>
        </w:rPr>
        <w:t xml:space="preserve"> 2017. </w:t>
      </w:r>
      <w:r>
        <w:rPr>
          <w:rFonts w:hint="eastAsia"/>
          <w:sz w:val="24"/>
        </w:rPr>
        <w:t>A</w:t>
      </w:r>
      <w:r>
        <w:rPr>
          <w:rFonts w:eastAsia="Times New Roman"/>
          <w:sz w:val="24"/>
        </w:rPr>
        <w:t>s</w:t>
      </w:r>
      <w:r>
        <w:rPr>
          <w:rFonts w:hint="eastAsia" w:eastAsia="Times New Roman"/>
          <w:sz w:val="24"/>
        </w:rPr>
        <w:t xml:space="preserve"> </w:t>
      </w:r>
      <w:r>
        <w:rPr>
          <w:rFonts w:eastAsia="Times New Roman"/>
          <w:sz w:val="24"/>
        </w:rPr>
        <w:t>a</w:t>
      </w:r>
      <w:r>
        <w:rPr>
          <w:rFonts w:hint="eastAsia" w:eastAsia="Times New Roman"/>
          <w:sz w:val="24"/>
        </w:rPr>
        <w:t xml:space="preserve"> </w:t>
      </w:r>
      <w:r>
        <w:rPr>
          <w:rFonts w:eastAsia="Times New Roman"/>
          <w:sz w:val="24"/>
        </w:rPr>
        <w:t>big</w:t>
      </w:r>
      <w:r>
        <w:rPr>
          <w:rFonts w:hint="eastAsia" w:eastAsia="Times New Roman"/>
          <w:sz w:val="24"/>
        </w:rPr>
        <w:t xml:space="preserve"> </w:t>
      </w:r>
      <w:r>
        <w:rPr>
          <w:rFonts w:eastAsia="Times New Roman"/>
          <w:sz w:val="24"/>
        </w:rPr>
        <w:t>developing</w:t>
      </w:r>
      <w:r>
        <w:rPr>
          <w:rFonts w:hint="eastAsia" w:eastAsia="Times New Roman"/>
          <w:sz w:val="24"/>
        </w:rPr>
        <w:t xml:space="preserve"> </w:t>
      </w:r>
      <w:r>
        <w:rPr>
          <w:rFonts w:eastAsia="Times New Roman"/>
          <w:sz w:val="24"/>
        </w:rPr>
        <w:t>country</w:t>
      </w:r>
      <w:r>
        <w:rPr>
          <w:rFonts w:hint="eastAsia" w:eastAsia="Times New Roman"/>
          <w:sz w:val="24"/>
        </w:rPr>
        <w:t xml:space="preserve">, </w:t>
      </w:r>
      <w:r>
        <w:rPr>
          <w:rFonts w:eastAsia="Times New Roman"/>
          <w:sz w:val="24"/>
        </w:rPr>
        <w:t>China</w:t>
      </w:r>
      <w:r>
        <w:rPr>
          <w:rFonts w:hint="eastAsia" w:eastAsia="Times New Roman"/>
          <w:sz w:val="24"/>
        </w:rPr>
        <w:t xml:space="preserve"> </w:t>
      </w:r>
      <w:r>
        <w:rPr>
          <w:rFonts w:eastAsia="Times New Roman"/>
          <w:sz w:val="24"/>
        </w:rPr>
        <w:t>still</w:t>
      </w:r>
      <w:r>
        <w:rPr>
          <w:rFonts w:hint="eastAsia" w:eastAsia="Times New Roman"/>
          <w:sz w:val="24"/>
        </w:rPr>
        <w:t xml:space="preserve"> </w:t>
      </w:r>
      <w:r>
        <w:rPr>
          <w:rFonts w:eastAsia="Times New Roman"/>
          <w:sz w:val="24"/>
        </w:rPr>
        <w:t>has</w:t>
      </w:r>
      <w:r>
        <w:rPr>
          <w:rFonts w:hint="eastAsia" w:eastAsia="Times New Roman"/>
          <w:sz w:val="24"/>
        </w:rPr>
        <w:t xml:space="preserve"> </w:t>
      </w:r>
      <w:r>
        <w:rPr>
          <w:rFonts w:eastAsia="Times New Roman"/>
          <w:sz w:val="24"/>
        </w:rPr>
        <w:t>a huge</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potential</w:t>
      </w:r>
      <w:r>
        <w:rPr>
          <w:rFonts w:hint="eastAsia" w:eastAsia="Times New Roman"/>
          <w:sz w:val="24"/>
        </w:rPr>
        <w:t xml:space="preserve">, </w:t>
      </w:r>
      <w:r>
        <w:rPr>
          <w:rFonts w:eastAsia="Times New Roman"/>
          <w:sz w:val="24"/>
        </w:rPr>
        <w:t>with</w:t>
      </w:r>
      <w:r>
        <w:rPr>
          <w:rFonts w:hint="eastAsia" w:eastAsia="Times New Roman"/>
          <w:sz w:val="24"/>
        </w:rPr>
        <w:t xml:space="preserve"> </w:t>
      </w:r>
      <w:r>
        <w:rPr>
          <w:rFonts w:eastAsia="Times New Roman"/>
          <w:sz w:val="24"/>
        </w:rPr>
        <w:t>much</w:t>
      </w:r>
      <w:r>
        <w:rPr>
          <w:rFonts w:hint="eastAsia" w:eastAsia="Times New Roman"/>
          <w:sz w:val="24"/>
        </w:rPr>
        <w:t xml:space="preserve"> </w:t>
      </w:r>
      <w:r>
        <w:rPr>
          <w:rFonts w:eastAsia="Times New Roman"/>
          <w:sz w:val="24"/>
        </w:rPr>
        <w:t>room</w:t>
      </w:r>
      <w:r>
        <w:rPr>
          <w:rFonts w:hint="eastAsia" w:eastAsia="Times New Roman"/>
          <w:sz w:val="24"/>
        </w:rPr>
        <w:t xml:space="preserve"> </w:t>
      </w:r>
      <w:r>
        <w:rPr>
          <w:rFonts w:eastAsia="Times New Roman"/>
          <w:sz w:val="24"/>
        </w:rPr>
        <w:t>for</w:t>
      </w:r>
      <w:r>
        <w:rPr>
          <w:rFonts w:hint="eastAsia" w:eastAsia="Times New Roman"/>
          <w:sz w:val="24"/>
        </w:rPr>
        <w:t xml:space="preserve"> </w:t>
      </w:r>
      <w:r>
        <w:rPr>
          <w:rFonts w:eastAsia="Times New Roman"/>
          <w:sz w:val="24"/>
        </w:rPr>
        <w:t>development</w:t>
      </w:r>
      <w:r>
        <w:rPr>
          <w:rFonts w:hint="eastAsia" w:eastAsia="Times New Roman"/>
          <w:sz w:val="24"/>
        </w:rPr>
        <w:t xml:space="preserve"> </w:t>
      </w:r>
      <w:r>
        <w:rPr>
          <w:rFonts w:eastAsia="Times New Roman"/>
          <w:sz w:val="24"/>
        </w:rPr>
        <w:t>in</w:t>
      </w:r>
      <w:r>
        <w:rPr>
          <w:rFonts w:hint="eastAsia" w:eastAsia="Times New Roman"/>
          <w:sz w:val="24"/>
        </w:rPr>
        <w:t xml:space="preserve"> </w:t>
      </w:r>
      <w:r>
        <w:rPr>
          <w:rFonts w:eastAsia="Times New Roman"/>
          <w:sz w:val="24"/>
        </w:rPr>
        <w:t>terms</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new</w:t>
      </w:r>
      <w:r>
        <w:rPr>
          <w:rFonts w:hint="eastAsia" w:eastAsia="Times New Roman"/>
          <w:sz w:val="24"/>
        </w:rPr>
        <w:t xml:space="preserve"> </w:t>
      </w:r>
      <w:r>
        <w:rPr>
          <w:rFonts w:eastAsia="Times New Roman"/>
          <w:sz w:val="24"/>
        </w:rPr>
        <w:t>urbanization</w:t>
      </w:r>
      <w:r>
        <w:rPr>
          <w:rFonts w:hint="eastAsia" w:eastAsia="Times New Roman"/>
          <w:sz w:val="24"/>
        </w:rPr>
        <w:t xml:space="preserve">, </w:t>
      </w:r>
      <w:r>
        <w:rPr>
          <w:rFonts w:eastAsia="Times New Roman"/>
          <w:sz w:val="24"/>
        </w:rPr>
        <w:t>services</w:t>
      </w:r>
      <w:r>
        <w:rPr>
          <w:rFonts w:hint="eastAsia" w:eastAsia="Times New Roman"/>
          <w:sz w:val="24"/>
        </w:rPr>
        <w:t xml:space="preserve">, </w:t>
      </w:r>
      <w:r>
        <w:rPr>
          <w:rFonts w:eastAsia="Times New Roman"/>
          <w:sz w:val="24"/>
        </w:rPr>
        <w:t>high</w:t>
      </w:r>
      <w:r>
        <w:rPr>
          <w:rFonts w:hint="eastAsia" w:eastAsia="Times New Roman"/>
          <w:sz w:val="24"/>
        </w:rPr>
        <w:t>-</w:t>
      </w:r>
      <w:r>
        <w:rPr>
          <w:rFonts w:eastAsia="Times New Roman"/>
          <w:sz w:val="24"/>
        </w:rPr>
        <w:t>end</w:t>
      </w:r>
      <w:r>
        <w:rPr>
          <w:rFonts w:hint="eastAsia" w:eastAsia="Times New Roman"/>
          <w:sz w:val="24"/>
        </w:rPr>
        <w:t xml:space="preserve"> </w:t>
      </w:r>
      <w:r>
        <w:rPr>
          <w:rFonts w:eastAsia="Times New Roman"/>
          <w:sz w:val="24"/>
        </w:rPr>
        <w:t>manufacturing,</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consumption</w:t>
      </w:r>
      <w:r>
        <w:rPr>
          <w:rFonts w:hint="eastAsia" w:eastAsia="Times New Roman"/>
          <w:sz w:val="24"/>
        </w:rPr>
        <w:t xml:space="preserve"> </w:t>
      </w:r>
      <w:r>
        <w:rPr>
          <w:rFonts w:eastAsia="Times New Roman"/>
          <w:sz w:val="24"/>
        </w:rPr>
        <w:t>upgrading</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economy</w:t>
      </w:r>
      <w:r>
        <w:rPr>
          <w:rFonts w:hint="eastAsia" w:eastAsia="Times New Roman"/>
          <w:sz w:val="24"/>
        </w:rPr>
        <w:t xml:space="preserve"> </w:t>
      </w:r>
      <w:r>
        <w:rPr>
          <w:rFonts w:eastAsia="Times New Roman"/>
          <w:sz w:val="24"/>
        </w:rPr>
        <w:t>remains</w:t>
      </w:r>
      <w:r>
        <w:rPr>
          <w:rFonts w:hint="eastAsia" w:eastAsia="Times New Roman"/>
          <w:sz w:val="24"/>
        </w:rPr>
        <w:t xml:space="preserve"> </w:t>
      </w:r>
      <w:r>
        <w:rPr>
          <w:rFonts w:eastAsia="Times New Roman"/>
          <w:sz w:val="24"/>
        </w:rPr>
        <w:t>resilient,</w:t>
      </w:r>
      <w:r>
        <w:rPr>
          <w:rFonts w:hint="eastAsia" w:eastAsia="Times New Roman"/>
          <w:sz w:val="24"/>
        </w:rPr>
        <w:t xml:space="preserve"> </w:t>
      </w:r>
      <w:r>
        <w:rPr>
          <w:rFonts w:eastAsia="Times New Roman"/>
          <w:sz w:val="24"/>
        </w:rPr>
        <w:t>with</w:t>
      </w:r>
      <w:r>
        <w:rPr>
          <w:rFonts w:hint="eastAsia" w:eastAsia="Times New Roman"/>
          <w:sz w:val="24"/>
        </w:rPr>
        <w:t xml:space="preserve"> </w:t>
      </w:r>
      <w:r>
        <w:rPr>
          <w:rFonts w:eastAsia="Times New Roman"/>
          <w:sz w:val="24"/>
        </w:rPr>
        <w:t>a great</w:t>
      </w:r>
      <w:r>
        <w:rPr>
          <w:rFonts w:hint="eastAsia" w:eastAsia="Times New Roman"/>
          <w:sz w:val="24"/>
        </w:rPr>
        <w:t xml:space="preserve"> </w:t>
      </w:r>
      <w:r>
        <w:rPr>
          <w:rFonts w:eastAsia="Times New Roman"/>
          <w:sz w:val="24"/>
        </w:rPr>
        <w:t>potential</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fairly</w:t>
      </w:r>
      <w:r>
        <w:rPr>
          <w:rFonts w:hint="eastAsia" w:eastAsia="Times New Roman"/>
          <w:sz w:val="24"/>
        </w:rPr>
        <w:t xml:space="preserve"> </w:t>
      </w:r>
      <w:r>
        <w:rPr>
          <w:rFonts w:eastAsia="Times New Roman"/>
          <w:sz w:val="24"/>
        </w:rPr>
        <w:t>large</w:t>
      </w:r>
      <w:r>
        <w:rPr>
          <w:rFonts w:hint="eastAsia" w:eastAsia="Times New Roman"/>
          <w:sz w:val="24"/>
        </w:rPr>
        <w:t xml:space="preserve"> </w:t>
      </w:r>
      <w:r>
        <w:rPr>
          <w:rFonts w:eastAsia="Times New Roman"/>
          <w:sz w:val="24"/>
        </w:rPr>
        <w:t>room</w:t>
      </w:r>
      <w:r>
        <w:rPr>
          <w:rFonts w:hint="eastAsia" w:eastAsia="Times New Roman"/>
          <w:sz w:val="24"/>
        </w:rPr>
        <w:t xml:space="preserve"> </w:t>
      </w:r>
      <w:r>
        <w:rPr>
          <w:rFonts w:eastAsia="Times New Roman"/>
          <w:sz w:val="24"/>
        </w:rPr>
        <w:t>for</w:t>
      </w:r>
      <w:r>
        <w:rPr>
          <w:rFonts w:hint="eastAsia" w:eastAsia="Times New Roman"/>
          <w:sz w:val="24"/>
        </w:rPr>
        <w:t xml:space="preserve"> </w:t>
      </w:r>
      <w:r>
        <w:rPr>
          <w:rFonts w:eastAsia="Times New Roman"/>
          <w:sz w:val="24"/>
        </w:rPr>
        <w:t>policy</w:t>
      </w:r>
      <w:r>
        <w:rPr>
          <w:rFonts w:hint="eastAsia" w:eastAsia="Times New Roman"/>
          <w:sz w:val="24"/>
        </w:rPr>
        <w:t xml:space="preserve"> </w:t>
      </w:r>
      <w:r>
        <w:rPr>
          <w:rFonts w:eastAsia="Times New Roman"/>
          <w:sz w:val="24"/>
        </w:rPr>
        <w:t>maneuvers</w:t>
      </w:r>
      <w:r>
        <w:rPr>
          <w:rFonts w:hint="eastAsia" w:eastAsia="Times New Roman"/>
          <w:sz w:val="24"/>
        </w:rPr>
        <w:t xml:space="preserve">. </w:t>
      </w:r>
      <w:r>
        <w:rPr>
          <w:rFonts w:eastAsia="Times New Roman"/>
          <w:sz w:val="24"/>
        </w:rPr>
        <w:t>In</w:t>
      </w:r>
      <w:r>
        <w:rPr>
          <w:rFonts w:hint="eastAsia" w:eastAsia="Times New Roman"/>
          <w:sz w:val="24"/>
        </w:rPr>
        <w:t xml:space="preserve"> </w:t>
      </w:r>
      <w:r>
        <w:rPr>
          <w:rFonts w:eastAsia="Times New Roman"/>
          <w:sz w:val="24"/>
        </w:rPr>
        <w:t>particular</w:t>
      </w:r>
      <w:r>
        <w:rPr>
          <w:rFonts w:hint="eastAsia" w:eastAsia="Times New Roman"/>
          <w:sz w:val="24"/>
        </w:rPr>
        <w:t xml:space="preserve">, </w:t>
      </w:r>
      <w:r>
        <w:rPr>
          <w:rFonts w:eastAsia="Times New Roman"/>
          <w:sz w:val="24"/>
        </w:rPr>
        <w:t>with</w:t>
      </w:r>
      <w:r>
        <w:rPr>
          <w:rFonts w:hint="eastAsia" w:eastAsia="Times New Roman"/>
          <w:sz w:val="24"/>
        </w:rPr>
        <w:t xml:space="preserve"> </w:t>
      </w:r>
      <w:r>
        <w:rPr>
          <w:rFonts w:eastAsia="Times New Roman"/>
          <w:sz w:val="24"/>
        </w:rPr>
        <w:t>advances</w:t>
      </w:r>
      <w:r>
        <w:rPr>
          <w:rFonts w:hint="eastAsia" w:eastAsia="Times New Roman"/>
          <w:sz w:val="24"/>
        </w:rPr>
        <w:t xml:space="preserve"> </w:t>
      </w:r>
      <w:r>
        <w:rPr>
          <w:rFonts w:eastAsia="Times New Roman"/>
          <w:sz w:val="24"/>
        </w:rPr>
        <w:t>in</w:t>
      </w:r>
      <w:r>
        <w:rPr>
          <w:rFonts w:hint="eastAsia" w:eastAsia="Times New Roman"/>
          <w:sz w:val="24"/>
        </w:rPr>
        <w:t xml:space="preserve"> </w:t>
      </w:r>
      <w:r>
        <w:rPr>
          <w:rFonts w:eastAsia="Times New Roman"/>
          <w:sz w:val="24"/>
        </w:rPr>
        <w:t>supply</w:t>
      </w:r>
      <w:r>
        <w:rPr>
          <w:rFonts w:hint="eastAsia" w:eastAsia="Times New Roman"/>
          <w:sz w:val="24"/>
        </w:rPr>
        <w:t>-</w:t>
      </w:r>
      <w:r>
        <w:rPr>
          <w:rFonts w:eastAsia="Times New Roman"/>
          <w:sz w:val="24"/>
        </w:rPr>
        <w:t>side</w:t>
      </w:r>
      <w:r>
        <w:rPr>
          <w:rFonts w:hint="eastAsia" w:eastAsia="Times New Roman"/>
          <w:sz w:val="24"/>
        </w:rPr>
        <w:t xml:space="preserve"> </w:t>
      </w:r>
      <w:r>
        <w:rPr>
          <w:rFonts w:eastAsia="Times New Roman"/>
          <w:sz w:val="24"/>
        </w:rPr>
        <w:t>structural</w:t>
      </w:r>
      <w:r>
        <w:rPr>
          <w:rFonts w:hint="eastAsia" w:eastAsia="Times New Roman"/>
          <w:sz w:val="24"/>
        </w:rPr>
        <w:t xml:space="preserve"> </w:t>
      </w:r>
      <w:r>
        <w:rPr>
          <w:rFonts w:eastAsia="Times New Roman"/>
          <w:sz w:val="24"/>
        </w:rPr>
        <w:t>reforms</w:t>
      </w:r>
      <w:r>
        <w:rPr>
          <w:rFonts w:hint="eastAsia" w:eastAsia="Times New Roman"/>
          <w:sz w:val="24"/>
        </w:rPr>
        <w:t xml:space="preserve">, </w:t>
      </w:r>
      <w:r>
        <w:rPr>
          <w:rFonts w:eastAsia="Times New Roman"/>
          <w:sz w:val="24"/>
        </w:rPr>
        <w:t>efforts</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streamline government administration and to delegate powers</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an</w:t>
      </w:r>
      <w:r>
        <w:rPr>
          <w:rFonts w:hint="eastAsia" w:eastAsia="Times New Roman"/>
          <w:sz w:val="24"/>
        </w:rPr>
        <w:t xml:space="preserve"> </w:t>
      </w:r>
      <w:r>
        <w:rPr>
          <w:rFonts w:eastAsia="Times New Roman"/>
          <w:sz w:val="24"/>
        </w:rPr>
        <w:t>innovation</w:t>
      </w:r>
      <w:r>
        <w:rPr>
          <w:rFonts w:hint="eastAsia" w:eastAsia="Times New Roman"/>
          <w:sz w:val="24"/>
        </w:rPr>
        <w:t>-</w:t>
      </w:r>
      <w:r>
        <w:rPr>
          <w:rFonts w:eastAsia="Times New Roman"/>
          <w:sz w:val="24"/>
        </w:rPr>
        <w:t>driven</w:t>
      </w:r>
      <w:r>
        <w:rPr>
          <w:rFonts w:hint="eastAsia" w:eastAsia="Times New Roman"/>
          <w:sz w:val="24"/>
        </w:rPr>
        <w:t xml:space="preserve"> </w:t>
      </w:r>
      <w:r>
        <w:rPr>
          <w:rFonts w:eastAsia="Times New Roman"/>
          <w:sz w:val="24"/>
        </w:rPr>
        <w:t>development</w:t>
      </w:r>
      <w:r>
        <w:rPr>
          <w:rFonts w:hint="eastAsia" w:eastAsia="Times New Roman"/>
          <w:sz w:val="24"/>
        </w:rPr>
        <w:t xml:space="preserve"> </w:t>
      </w:r>
      <w:r>
        <w:rPr>
          <w:rFonts w:eastAsia="Times New Roman"/>
          <w:sz w:val="24"/>
        </w:rPr>
        <w:t>strategy</w:t>
      </w:r>
      <w:r>
        <w:rPr>
          <w:rFonts w:hint="eastAsia" w:eastAsia="Times New Roman"/>
          <w:sz w:val="24"/>
        </w:rPr>
        <w:t xml:space="preserve">, </w:t>
      </w:r>
      <w:r>
        <w:rPr>
          <w:rFonts w:eastAsia="Times New Roman"/>
          <w:sz w:val="24"/>
        </w:rPr>
        <w:t>new</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drivers</w:t>
      </w:r>
      <w:r>
        <w:rPr>
          <w:rFonts w:hint="eastAsia" w:eastAsia="Times New Roman"/>
          <w:sz w:val="24"/>
        </w:rPr>
        <w:t xml:space="preserve"> </w:t>
      </w:r>
      <w:r>
        <w:rPr>
          <w:rFonts w:hint="eastAsia" w:eastAsiaTheme="minorEastAsia"/>
          <w:sz w:val="24"/>
        </w:rPr>
        <w:t>have been</w:t>
      </w:r>
      <w:r>
        <w:rPr>
          <w:rFonts w:eastAsiaTheme="minorEastAsia"/>
          <w:sz w:val="24"/>
        </w:rPr>
        <w:t xml:space="preserve"> gaining momentum</w:t>
      </w:r>
      <w:r>
        <w:rPr>
          <w:rFonts w:hint="eastAsia" w:eastAsiaTheme="minorEastAsia"/>
          <w:sz w:val="24"/>
        </w:rPr>
        <w:t xml:space="preserve">, and domestic demand has remained a robust driver </w:t>
      </w:r>
      <w:r>
        <w:rPr>
          <w:rFonts w:eastAsiaTheme="minorEastAsia"/>
          <w:sz w:val="24"/>
        </w:rPr>
        <w:t>behind</w:t>
      </w:r>
      <w:r>
        <w:rPr>
          <w:rFonts w:hint="eastAsia" w:eastAsiaTheme="minorEastAsia"/>
          <w:sz w:val="24"/>
        </w:rPr>
        <w:t xml:space="preserve"> economic growth. Adjustment of </w:t>
      </w:r>
      <w:r>
        <w:rPr>
          <w:rFonts w:eastAsiaTheme="minorEastAsia"/>
          <w:sz w:val="24"/>
        </w:rPr>
        <w:t xml:space="preserve">the </w:t>
      </w:r>
      <w:r>
        <w:rPr>
          <w:rFonts w:hint="eastAsia" w:eastAsiaTheme="minorEastAsia"/>
          <w:sz w:val="24"/>
        </w:rPr>
        <w:t>industrial structure has accelerated and p</w:t>
      </w:r>
      <w:r>
        <w:rPr>
          <w:rFonts w:eastAsia="Times New Roman"/>
          <w:sz w:val="24"/>
        </w:rPr>
        <w:t>rogress</w:t>
      </w:r>
      <w:r>
        <w:rPr>
          <w:rFonts w:hint="eastAsia" w:eastAsia="Times New Roman"/>
          <w:sz w:val="24"/>
        </w:rPr>
        <w:t xml:space="preserve"> </w:t>
      </w:r>
      <w:r>
        <w:rPr>
          <w:rFonts w:eastAsia="Times New Roman"/>
          <w:sz w:val="24"/>
        </w:rPr>
        <w:t>has</w:t>
      </w:r>
      <w:r>
        <w:rPr>
          <w:rFonts w:hint="eastAsia" w:eastAsia="Times New Roman"/>
          <w:sz w:val="24"/>
        </w:rPr>
        <w:t xml:space="preserve"> </w:t>
      </w:r>
      <w:r>
        <w:rPr>
          <w:rFonts w:eastAsia="Times New Roman"/>
          <w:sz w:val="24"/>
        </w:rPr>
        <w:t>been</w:t>
      </w:r>
      <w:r>
        <w:rPr>
          <w:rFonts w:hint="eastAsia" w:eastAsia="Times New Roman"/>
          <w:sz w:val="24"/>
        </w:rPr>
        <w:t xml:space="preserve"> </w:t>
      </w:r>
      <w:r>
        <w:rPr>
          <w:rFonts w:eastAsia="Times New Roman"/>
          <w:sz w:val="24"/>
        </w:rPr>
        <w:t>made</w:t>
      </w:r>
      <w:r>
        <w:rPr>
          <w:rFonts w:hint="eastAsia" w:eastAsia="Times New Roman"/>
          <w:sz w:val="24"/>
        </w:rPr>
        <w:t xml:space="preserve"> </w:t>
      </w:r>
      <w:r>
        <w:rPr>
          <w:rFonts w:hint="eastAsia" w:eastAsiaTheme="minorEastAsia"/>
          <w:sz w:val="24"/>
        </w:rPr>
        <w:t>in removing</w:t>
      </w:r>
      <w:r>
        <w:rPr>
          <w:rFonts w:eastAsia="Times New Roman"/>
          <w:sz w:val="24"/>
        </w:rPr>
        <w:t xml:space="preserve"> excess</w:t>
      </w:r>
      <w:r>
        <w:rPr>
          <w:rFonts w:hint="eastAsia" w:eastAsia="Times New Roman"/>
          <w:sz w:val="24"/>
        </w:rPr>
        <w:t xml:space="preserve"> </w:t>
      </w:r>
      <w:r>
        <w:rPr>
          <w:rFonts w:eastAsia="Times New Roman"/>
          <w:sz w:val="24"/>
        </w:rPr>
        <w:t>capacity</w:t>
      </w:r>
      <w:r>
        <w:rPr>
          <w:rFonts w:hint="eastAsia" w:eastAsiaTheme="minorEastAsia"/>
          <w:sz w:val="24"/>
        </w:rPr>
        <w:t xml:space="preserve">. </w:t>
      </w:r>
      <w:r>
        <w:rPr>
          <w:rFonts w:eastAsiaTheme="minorEastAsia"/>
          <w:sz w:val="24"/>
        </w:rPr>
        <w:t>I</w:t>
      </w:r>
      <w:r>
        <w:rPr>
          <w:rFonts w:hint="eastAsia" w:eastAsiaTheme="minorEastAsia"/>
          <w:sz w:val="24"/>
        </w:rPr>
        <w:t xml:space="preserve">ndustries well-adapted to consumption upgrading and emerging strategic industries have developed rapidly, and </w:t>
      </w:r>
      <w:r>
        <w:rPr>
          <w:rFonts w:eastAsiaTheme="minorEastAsia"/>
          <w:sz w:val="24"/>
        </w:rPr>
        <w:t xml:space="preserve">the </w:t>
      </w:r>
      <w:r>
        <w:rPr>
          <w:rFonts w:hint="eastAsia" w:eastAsiaTheme="minorEastAsia"/>
          <w:sz w:val="24"/>
        </w:rPr>
        <w:t xml:space="preserve">organizational structures of industries have improved. Deleveraging has made headway, and the </w:t>
      </w:r>
      <w:r>
        <w:rPr>
          <w:rFonts w:eastAsia="Times New Roman"/>
          <w:sz w:val="24"/>
        </w:rPr>
        <w:t>all</w:t>
      </w:r>
      <w:r>
        <w:rPr>
          <w:rFonts w:hint="eastAsia" w:eastAsia="Times New Roman"/>
          <w:sz w:val="24"/>
        </w:rPr>
        <w:t>-</w:t>
      </w:r>
      <w:r>
        <w:rPr>
          <w:rFonts w:eastAsia="Times New Roman"/>
          <w:sz w:val="24"/>
        </w:rPr>
        <w:t>system</w:t>
      </w:r>
      <w:r>
        <w:rPr>
          <w:rFonts w:hint="eastAsia" w:eastAsia="Times New Roman"/>
          <w:sz w:val="24"/>
        </w:rPr>
        <w:t xml:space="preserve"> </w:t>
      </w:r>
      <w:r>
        <w:rPr>
          <w:rFonts w:eastAsia="Times New Roman"/>
          <w:sz w:val="24"/>
        </w:rPr>
        <w:t>leveraging</w:t>
      </w:r>
      <w:r>
        <w:rPr>
          <w:rFonts w:hint="eastAsia" w:eastAsia="Times New Roman"/>
          <w:sz w:val="24"/>
        </w:rPr>
        <w:t xml:space="preserve"> </w:t>
      </w:r>
      <w:r>
        <w:rPr>
          <w:rFonts w:eastAsia="Times New Roman"/>
          <w:sz w:val="24"/>
        </w:rPr>
        <w:t>ratio</w:t>
      </w:r>
      <w:r>
        <w:rPr>
          <w:rFonts w:hint="eastAsia" w:eastAsia="Times New Roman"/>
          <w:sz w:val="24"/>
        </w:rPr>
        <w:t xml:space="preserve"> </w:t>
      </w:r>
      <w:r>
        <w:rPr>
          <w:rFonts w:eastAsia="Times New Roman"/>
          <w:sz w:val="24"/>
        </w:rPr>
        <w:t>has</w:t>
      </w:r>
      <w:r>
        <w:rPr>
          <w:rFonts w:hint="eastAsia" w:eastAsia="Times New Roman"/>
          <w:sz w:val="24"/>
        </w:rPr>
        <w:t xml:space="preserve"> </w:t>
      </w:r>
      <w:r>
        <w:rPr>
          <w:rFonts w:eastAsia="Times New Roman"/>
          <w:sz w:val="24"/>
        </w:rPr>
        <w:t>stabilized,</w:t>
      </w:r>
      <w:r>
        <w:rPr>
          <w:rFonts w:hint="eastAsia" w:eastAsia="Times New Roman"/>
          <w:sz w:val="24"/>
        </w:rPr>
        <w:t xml:space="preserve"> </w:t>
      </w:r>
      <w:r>
        <w:rPr>
          <w:rFonts w:hint="eastAsia" w:eastAsiaTheme="minorEastAsia"/>
          <w:sz w:val="24"/>
        </w:rPr>
        <w:t xml:space="preserve">albeit </w:t>
      </w:r>
      <w:r>
        <w:rPr>
          <w:rFonts w:eastAsia="Times New Roman"/>
          <w:sz w:val="24"/>
        </w:rPr>
        <w:t>at</w:t>
      </w:r>
      <w:r>
        <w:rPr>
          <w:rFonts w:hint="eastAsia" w:eastAsia="Times New Roman"/>
          <w:sz w:val="24"/>
        </w:rPr>
        <w:t xml:space="preserve"> </w:t>
      </w:r>
      <w:r>
        <w:rPr>
          <w:rFonts w:eastAsia="Times New Roman"/>
          <w:sz w:val="24"/>
        </w:rPr>
        <w:t>a</w:t>
      </w:r>
      <w:r>
        <w:rPr>
          <w:rFonts w:hint="eastAsia" w:eastAsia="Times New Roman"/>
          <w:sz w:val="24"/>
        </w:rPr>
        <w:t xml:space="preserve"> </w:t>
      </w:r>
      <w:r>
        <w:rPr>
          <w:rFonts w:eastAsia="Times New Roman"/>
          <w:sz w:val="24"/>
        </w:rPr>
        <w:t>high</w:t>
      </w:r>
      <w:r>
        <w:rPr>
          <w:rFonts w:hint="eastAsia" w:eastAsia="Times New Roman"/>
          <w:sz w:val="24"/>
        </w:rPr>
        <w:t xml:space="preserve"> </w:t>
      </w:r>
      <w:r>
        <w:rPr>
          <w:rFonts w:eastAsia="Times New Roman"/>
          <w:sz w:val="24"/>
        </w:rPr>
        <w:t>level</w:t>
      </w:r>
      <w:r>
        <w:rPr>
          <w:rFonts w:hint="eastAsia" w:eastAsia="Times New Roman"/>
          <w:sz w:val="24"/>
        </w:rPr>
        <w:t xml:space="preserve">. </w:t>
      </w:r>
      <w:r>
        <w:rPr>
          <w:rFonts w:hint="eastAsia" w:eastAsiaTheme="minorEastAsia"/>
          <w:sz w:val="24"/>
        </w:rPr>
        <w:t xml:space="preserve">Progress has also been made </w:t>
      </w:r>
      <w:r>
        <w:rPr>
          <w:rFonts w:eastAsiaTheme="minorEastAsia"/>
          <w:sz w:val="24"/>
        </w:rPr>
        <w:t>to curb</w:t>
      </w:r>
      <w:r>
        <w:rPr>
          <w:rFonts w:hint="eastAsia" w:eastAsiaTheme="minorEastAsia"/>
          <w:sz w:val="24"/>
        </w:rPr>
        <w:t xml:space="preserve"> the leverage of the financial system. </w:t>
      </w:r>
      <w:r>
        <w:rPr>
          <w:rFonts w:eastAsiaTheme="minorEastAsia"/>
          <w:sz w:val="24"/>
        </w:rPr>
        <w:t>A</w:t>
      </w:r>
      <w:r>
        <w:rPr>
          <w:rFonts w:hint="eastAsia" w:eastAsiaTheme="minorEastAsia"/>
          <w:sz w:val="24"/>
        </w:rPr>
        <w:t xml:space="preserve"> series of macro</w:t>
      </w:r>
      <w:r>
        <w:rPr>
          <w:rFonts w:eastAsiaTheme="minorEastAsia"/>
          <w:sz w:val="24"/>
        </w:rPr>
        <w:t>-</w:t>
      </w:r>
      <w:r>
        <w:rPr>
          <w:rFonts w:hint="eastAsia" w:eastAsiaTheme="minorEastAsia"/>
          <w:sz w:val="24"/>
        </w:rPr>
        <w:t xml:space="preserve">economic management measures have played an important role in moderately expanding aggregate demand. </w:t>
      </w:r>
      <w:r>
        <w:rPr>
          <w:rFonts w:eastAsiaTheme="minorEastAsia"/>
          <w:sz w:val="24"/>
        </w:rPr>
        <w:t>G</w:t>
      </w:r>
      <w:r>
        <w:rPr>
          <w:rFonts w:hint="eastAsia" w:eastAsiaTheme="minorEastAsia"/>
          <w:sz w:val="24"/>
        </w:rPr>
        <w:t>rowth of money, credit</w:t>
      </w:r>
      <w:r>
        <w:rPr>
          <w:rFonts w:eastAsiaTheme="minorEastAsia"/>
          <w:sz w:val="24"/>
        </w:rPr>
        <w:t>,</w:t>
      </w:r>
      <w:r>
        <w:rPr>
          <w:rFonts w:hint="eastAsia" w:eastAsiaTheme="minorEastAsia"/>
          <w:sz w:val="24"/>
        </w:rPr>
        <w:t xml:space="preserve"> and all-system financing aggregates has been </w:t>
      </w:r>
      <w:r>
        <w:rPr>
          <w:rFonts w:eastAsiaTheme="minorEastAsia"/>
          <w:sz w:val="24"/>
        </w:rPr>
        <w:t>moderate</w:t>
      </w:r>
      <w:r>
        <w:rPr>
          <w:rFonts w:hint="eastAsia" w:eastAsiaTheme="minorEastAsia"/>
          <w:sz w:val="24"/>
        </w:rPr>
        <w:t>, which is conducive to achiev</w:t>
      </w:r>
      <w:r>
        <w:rPr>
          <w:rFonts w:eastAsiaTheme="minorEastAsia"/>
          <w:sz w:val="24"/>
        </w:rPr>
        <w:t>ing</w:t>
      </w:r>
      <w:r>
        <w:rPr>
          <w:rFonts w:hint="eastAsia" w:eastAsiaTheme="minorEastAsia"/>
          <w:sz w:val="24"/>
        </w:rPr>
        <w:t xml:space="preserve"> medium- and high-level growth. </w:t>
      </w:r>
      <w:r>
        <w:rPr>
          <w:rFonts w:eastAsiaTheme="minorEastAsia"/>
          <w:sz w:val="24"/>
        </w:rPr>
        <w:t>D</w:t>
      </w:r>
      <w:r>
        <w:rPr>
          <w:rFonts w:hint="eastAsia" w:eastAsiaTheme="minorEastAsia"/>
          <w:sz w:val="24"/>
        </w:rPr>
        <w:t>riven by multiple factors, the Chinese economy has exhibited positive signs amidst stabilization</w:t>
      </w:r>
      <w:r>
        <w:rPr>
          <w:rFonts w:eastAsiaTheme="minorEastAsia"/>
          <w:sz w:val="24"/>
        </w:rPr>
        <w:t>,</w:t>
      </w:r>
      <w:r>
        <w:rPr>
          <w:rFonts w:hint="eastAsia" w:eastAsiaTheme="minorEastAsia"/>
          <w:sz w:val="24"/>
        </w:rPr>
        <w:t xml:space="preserve"> and </w:t>
      </w:r>
      <w:r>
        <w:rPr>
          <w:rFonts w:eastAsiaTheme="minorEastAsia"/>
          <w:sz w:val="24"/>
        </w:rPr>
        <w:t xml:space="preserve">the </w:t>
      </w:r>
      <w:r>
        <w:rPr>
          <w:rFonts w:hint="eastAsia" w:eastAsiaTheme="minorEastAsia"/>
          <w:sz w:val="24"/>
        </w:rPr>
        <w:t xml:space="preserve">performance of key economic indicators </w:t>
      </w:r>
      <w:r>
        <w:rPr>
          <w:rFonts w:eastAsiaTheme="minorEastAsia"/>
          <w:sz w:val="24"/>
        </w:rPr>
        <w:t xml:space="preserve">has </w:t>
      </w:r>
      <w:r>
        <w:rPr>
          <w:rFonts w:hint="eastAsia" w:eastAsiaTheme="minorEastAsia"/>
          <w:sz w:val="24"/>
        </w:rPr>
        <w:t>exceeded expectation</w:t>
      </w:r>
      <w:r>
        <w:rPr>
          <w:rFonts w:eastAsiaTheme="minorEastAsia"/>
          <w:sz w:val="24"/>
        </w:rPr>
        <w:t>s</w:t>
      </w:r>
      <w:r>
        <w:rPr>
          <w:rFonts w:hint="eastAsia" w:eastAsiaTheme="minorEastAsia"/>
          <w:sz w:val="24"/>
        </w:rPr>
        <w:t xml:space="preserve">. Aggregate supply and demand </w:t>
      </w:r>
      <w:r>
        <w:rPr>
          <w:rFonts w:eastAsiaTheme="minorEastAsia"/>
          <w:sz w:val="24"/>
        </w:rPr>
        <w:t>have been</w:t>
      </w:r>
      <w:r>
        <w:rPr>
          <w:rFonts w:hint="eastAsia" w:eastAsiaTheme="minorEastAsia"/>
          <w:sz w:val="24"/>
        </w:rPr>
        <w:t xml:space="preserve"> better balanced with an </w:t>
      </w:r>
      <w:r>
        <w:rPr>
          <w:rFonts w:eastAsiaTheme="minorEastAsia"/>
          <w:sz w:val="24"/>
        </w:rPr>
        <w:t>improved</w:t>
      </w:r>
      <w:r>
        <w:rPr>
          <w:rFonts w:hint="eastAsia" w:eastAsiaTheme="minorEastAsia"/>
          <w:sz w:val="24"/>
        </w:rPr>
        <w:t xml:space="preserve"> structure. </w:t>
      </w:r>
      <w:r>
        <w:rPr>
          <w:rFonts w:eastAsiaTheme="minorEastAsia"/>
          <w:sz w:val="24"/>
        </w:rPr>
        <w:t>G</w:t>
      </w:r>
      <w:r>
        <w:rPr>
          <w:rFonts w:hint="eastAsia" w:eastAsiaTheme="minorEastAsia"/>
          <w:sz w:val="24"/>
        </w:rPr>
        <w:t>rowth of investment in manufacturing and private investment has rebounded, with relatively rapid growth of corporate profits and resident income. Employment has remained stable and the economy has been developing in a more stable, better-coordinated</w:t>
      </w:r>
      <w:r>
        <w:rPr>
          <w:rFonts w:eastAsiaTheme="minorEastAsia"/>
          <w:sz w:val="24"/>
        </w:rPr>
        <w:t>,</w:t>
      </w:r>
      <w:r>
        <w:rPr>
          <w:rFonts w:hint="eastAsia" w:eastAsiaTheme="minorEastAsia"/>
          <w:sz w:val="24"/>
        </w:rPr>
        <w:t xml:space="preserve"> and inclusive manner. </w:t>
      </w:r>
      <w:r>
        <w:rPr>
          <w:rFonts w:eastAsia="Times New Roman"/>
          <w:sz w:val="24"/>
        </w:rPr>
        <w:t>The</w:t>
      </w:r>
      <w:r>
        <w:rPr>
          <w:rFonts w:hint="eastAsia" w:eastAsia="Times New Roman"/>
          <w:sz w:val="24"/>
        </w:rPr>
        <w:t xml:space="preserve"> </w:t>
      </w:r>
      <w:r>
        <w:rPr>
          <w:rFonts w:eastAsia="Times New Roman"/>
          <w:sz w:val="24"/>
        </w:rPr>
        <w:t>PBC</w:t>
      </w:r>
      <w:r>
        <w:rPr>
          <w:rFonts w:hint="eastAsia" w:eastAsia="Times New Roman"/>
          <w:sz w:val="24"/>
        </w:rPr>
        <w:t>’</w:t>
      </w:r>
      <w:r>
        <w:rPr>
          <w:rFonts w:eastAsia="Times New Roman"/>
          <w:sz w:val="24"/>
        </w:rPr>
        <w:t>s</w:t>
      </w:r>
      <w:r>
        <w:rPr>
          <w:rFonts w:hint="eastAsia" w:eastAsia="Times New Roman"/>
          <w:sz w:val="24"/>
        </w:rPr>
        <w:t xml:space="preserve"> </w:t>
      </w:r>
      <w:r>
        <w:rPr>
          <w:rFonts w:eastAsiaTheme="minorEastAsia"/>
          <w:i/>
          <w:sz w:val="24"/>
        </w:rPr>
        <w:t xml:space="preserve">Quarterly </w:t>
      </w:r>
      <w:r>
        <w:rPr>
          <w:rFonts w:eastAsia="Times New Roman"/>
          <w:i/>
          <w:iCs/>
          <w:sz w:val="24"/>
        </w:rPr>
        <w:t>Survey</w:t>
      </w:r>
      <w:r>
        <w:rPr>
          <w:rFonts w:hint="eastAsia" w:eastAsia="Times New Roman"/>
          <w:i/>
          <w:iCs/>
          <w:sz w:val="24"/>
        </w:rPr>
        <w:t xml:space="preserve"> </w:t>
      </w:r>
      <w:r>
        <w:rPr>
          <w:rFonts w:eastAsia="Times New Roman"/>
          <w:i/>
          <w:iCs/>
          <w:sz w:val="24"/>
        </w:rPr>
        <w:t>of</w:t>
      </w:r>
      <w:r>
        <w:rPr>
          <w:rFonts w:hint="eastAsia" w:eastAsia="Times New Roman"/>
          <w:i/>
          <w:iCs/>
          <w:sz w:val="24"/>
        </w:rPr>
        <w:t xml:space="preserve"> </w:t>
      </w:r>
      <w:r>
        <w:rPr>
          <w:rFonts w:eastAsia="Times New Roman"/>
          <w:i/>
          <w:iCs/>
          <w:sz w:val="24"/>
        </w:rPr>
        <w:t>Entrepreneurs</w:t>
      </w:r>
      <w:r>
        <w:rPr>
          <w:rFonts w:hint="eastAsia" w:eastAsia="Times New Roman"/>
          <w:i/>
          <w:iCs/>
          <w:sz w:val="24"/>
        </w:rPr>
        <w:t xml:space="preserve"> </w:t>
      </w:r>
      <w:r>
        <w:rPr>
          <w:rFonts w:eastAsia="Times New Roman"/>
          <w:i/>
          <w:iCs/>
          <w:sz w:val="24"/>
        </w:rPr>
        <w:t>and</w:t>
      </w:r>
      <w:r>
        <w:rPr>
          <w:rFonts w:hint="eastAsia" w:eastAsia="Times New Roman"/>
          <w:i/>
          <w:iCs/>
          <w:sz w:val="24"/>
        </w:rPr>
        <w:t xml:space="preserve"> </w:t>
      </w:r>
      <w:r>
        <w:rPr>
          <w:rFonts w:eastAsia="Times New Roman"/>
          <w:i/>
          <w:iCs/>
          <w:sz w:val="24"/>
        </w:rPr>
        <w:t>Bankers</w:t>
      </w:r>
      <w:r>
        <w:rPr>
          <w:rFonts w:hint="eastAsia" w:eastAsia="Times New Roman"/>
          <w:sz w:val="24"/>
        </w:rPr>
        <w:t xml:space="preserve"> </w:t>
      </w:r>
      <w:r>
        <w:rPr>
          <w:rFonts w:eastAsia="Times New Roman"/>
          <w:sz w:val="24"/>
        </w:rPr>
        <w:t>during</w:t>
      </w:r>
      <w:r>
        <w:rPr>
          <w:rFonts w:hint="eastAsia" w:eastAsia="Times New Roman"/>
          <w:sz w:val="24"/>
        </w:rPr>
        <w:t xml:space="preserve"> </w:t>
      </w:r>
      <w:r>
        <w:rPr>
          <w:rFonts w:hint="eastAsia"/>
          <w:sz w:val="24"/>
        </w:rPr>
        <w:t>the second quarter of</w:t>
      </w:r>
      <w:r>
        <w:rPr>
          <w:rFonts w:hint="eastAsia" w:eastAsia="Times New Roman"/>
          <w:sz w:val="24"/>
        </w:rPr>
        <w:t xml:space="preserve"> 201</w:t>
      </w:r>
      <w:r>
        <w:rPr>
          <w:rFonts w:hint="eastAsia" w:eastAsiaTheme="minorEastAsia"/>
          <w:sz w:val="24"/>
        </w:rPr>
        <w:t>7</w:t>
      </w:r>
      <w:r>
        <w:rPr>
          <w:rFonts w:hint="eastAsia" w:eastAsia="Times New Roman"/>
          <w:sz w:val="24"/>
        </w:rPr>
        <w:t xml:space="preserve"> </w:t>
      </w:r>
      <w:r>
        <w:rPr>
          <w:rFonts w:eastAsia="Times New Roman"/>
          <w:sz w:val="24"/>
        </w:rPr>
        <w:t>reveals</w:t>
      </w:r>
      <w:r>
        <w:rPr>
          <w:rFonts w:hint="eastAsia" w:eastAsia="Times New Roman"/>
          <w:sz w:val="24"/>
        </w:rPr>
        <w:t xml:space="preserve"> </w:t>
      </w:r>
      <w:r>
        <w:rPr>
          <w:rFonts w:eastAsia="Times New Roman"/>
          <w:sz w:val="24"/>
        </w:rPr>
        <w:t>that</w:t>
      </w:r>
      <w:r>
        <w:rPr>
          <w:rFonts w:hint="eastAsia" w:eastAsia="Times New Roman"/>
          <w:sz w:val="24"/>
        </w:rPr>
        <w:t xml:space="preserve"> </w:t>
      </w:r>
      <w:r>
        <w:rPr>
          <w:rFonts w:eastAsia="Times New Roman"/>
          <w:sz w:val="24"/>
        </w:rPr>
        <w:t>macro-economic</w:t>
      </w:r>
      <w:r>
        <w:rPr>
          <w:rFonts w:hint="eastAsia" w:eastAsia="Times New Roman"/>
          <w:sz w:val="24"/>
        </w:rPr>
        <w:t xml:space="preserve"> </w:t>
      </w:r>
      <w:r>
        <w:rPr>
          <w:rFonts w:eastAsia="Times New Roman"/>
          <w:sz w:val="24"/>
        </w:rPr>
        <w:t>indicators</w:t>
      </w:r>
      <w:r>
        <w:rPr>
          <w:rFonts w:hint="eastAsia" w:eastAsia="Times New Roman"/>
          <w:sz w:val="24"/>
        </w:rPr>
        <w:t xml:space="preserve">, </w:t>
      </w:r>
      <w:r>
        <w:rPr>
          <w:rFonts w:eastAsia="Times New Roman"/>
          <w:sz w:val="24"/>
        </w:rPr>
        <w:t>confidence</w:t>
      </w:r>
      <w:r>
        <w:rPr>
          <w:rFonts w:hint="eastAsia" w:eastAsia="Times New Roman"/>
          <w:sz w:val="24"/>
        </w:rPr>
        <w:t xml:space="preserve"> </w:t>
      </w:r>
      <w:r>
        <w:rPr>
          <w:rFonts w:eastAsia="Times New Roman"/>
          <w:sz w:val="24"/>
        </w:rPr>
        <w:t>indicators,</w:t>
      </w:r>
      <w:r>
        <w:rPr>
          <w:rFonts w:hint="eastAsia" w:eastAsiaTheme="minorEastAsia"/>
          <w:sz w:val="24"/>
        </w:rPr>
        <w:t xml:space="preserve"> and other</w:t>
      </w:r>
      <w:r>
        <w:rPr>
          <w:rFonts w:hint="eastAsia" w:eastAsia="Times New Roman"/>
          <w:sz w:val="24"/>
        </w:rPr>
        <w:t xml:space="preserve"> </w:t>
      </w:r>
      <w:r>
        <w:rPr>
          <w:rFonts w:eastAsia="Times New Roman"/>
          <w:sz w:val="24"/>
        </w:rPr>
        <w:t>indicators</w:t>
      </w:r>
      <w:r>
        <w:rPr>
          <w:rFonts w:hint="eastAsia" w:eastAsia="Times New Roman"/>
          <w:sz w:val="24"/>
        </w:rPr>
        <w:t xml:space="preserve"> </w:t>
      </w:r>
      <w:r>
        <w:rPr>
          <w:rFonts w:eastAsia="Times New Roman"/>
          <w:sz w:val="24"/>
        </w:rPr>
        <w:t>have continued</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rise</w:t>
      </w:r>
      <w:r>
        <w:rPr>
          <w:rFonts w:hint="eastAsia" w:eastAsia="Times New Roman"/>
          <w:sz w:val="24"/>
        </w:rPr>
        <w:t xml:space="preserve"> </w:t>
      </w:r>
      <w:r>
        <w:rPr>
          <w:rFonts w:eastAsia="Times New Roman"/>
          <w:sz w:val="24"/>
        </w:rPr>
        <w:t>quarter</w:t>
      </w:r>
      <w:r>
        <w:rPr>
          <w:rFonts w:hint="eastAsia" w:eastAsia="Times New Roman"/>
          <w:sz w:val="24"/>
        </w:rPr>
        <w:t xml:space="preserve"> </w:t>
      </w:r>
      <w:r>
        <w:rPr>
          <w:rFonts w:eastAsia="Times New Roman"/>
          <w:sz w:val="24"/>
        </w:rPr>
        <w:t>on</w:t>
      </w:r>
      <w:r>
        <w:rPr>
          <w:rFonts w:hint="eastAsia" w:eastAsia="Times New Roman"/>
          <w:sz w:val="24"/>
        </w:rPr>
        <w:t xml:space="preserve"> </w:t>
      </w:r>
      <w:r>
        <w:rPr>
          <w:rFonts w:eastAsia="Times New Roman"/>
          <w:sz w:val="24"/>
        </w:rPr>
        <w:t>quarter since 2016</w:t>
      </w:r>
      <w:r>
        <w:rPr>
          <w:rFonts w:hint="eastAsia" w:eastAsia="Times New Roman"/>
          <w:sz w:val="24"/>
        </w:rPr>
        <w:t xml:space="preserve">. </w:t>
      </w:r>
      <w:r>
        <w:rPr>
          <w:rFonts w:eastAsia="Times New Roman"/>
          <w:sz w:val="24"/>
        </w:rPr>
        <w:t>The</w:t>
      </w:r>
      <w:r>
        <w:rPr>
          <w:rFonts w:hint="eastAsia" w:eastAsia="Times New Roman"/>
          <w:i/>
          <w:iCs/>
          <w:sz w:val="24"/>
        </w:rPr>
        <w:t xml:space="preserve"> </w:t>
      </w:r>
      <w:r>
        <w:rPr>
          <w:rFonts w:eastAsia="Times New Roman"/>
          <w:i/>
          <w:iCs/>
          <w:sz w:val="24"/>
        </w:rPr>
        <w:t>Survey</w:t>
      </w:r>
      <w:r>
        <w:rPr>
          <w:rFonts w:hint="eastAsia" w:eastAsia="Times New Roman"/>
          <w:i/>
          <w:iCs/>
          <w:sz w:val="24"/>
        </w:rPr>
        <w:t xml:space="preserve"> </w:t>
      </w:r>
      <w:r>
        <w:rPr>
          <w:rFonts w:eastAsia="Times New Roman"/>
          <w:i/>
          <w:iCs/>
          <w:sz w:val="24"/>
        </w:rPr>
        <w:t>of</w:t>
      </w:r>
      <w:r>
        <w:rPr>
          <w:rFonts w:hint="eastAsia" w:eastAsia="Times New Roman"/>
          <w:i/>
          <w:iCs/>
          <w:sz w:val="24"/>
        </w:rPr>
        <w:t xml:space="preserve"> </w:t>
      </w:r>
      <w:r>
        <w:rPr>
          <w:rFonts w:eastAsia="Times New Roman"/>
          <w:i/>
          <w:iCs/>
          <w:sz w:val="24"/>
        </w:rPr>
        <w:t>Urban</w:t>
      </w:r>
      <w:r>
        <w:rPr>
          <w:rFonts w:hint="eastAsia" w:eastAsia="Times New Roman"/>
          <w:i/>
          <w:iCs/>
          <w:sz w:val="24"/>
        </w:rPr>
        <w:t xml:space="preserve"> </w:t>
      </w:r>
      <w:r>
        <w:rPr>
          <w:rFonts w:eastAsia="Times New Roman"/>
          <w:i/>
          <w:iCs/>
          <w:sz w:val="24"/>
        </w:rPr>
        <w:t>Depositors</w:t>
      </w:r>
      <w:r>
        <w:rPr>
          <w:rFonts w:hint="eastAsia" w:eastAsia="Times New Roman"/>
          <w:sz w:val="24"/>
        </w:rPr>
        <w:t xml:space="preserve"> </w:t>
      </w:r>
      <w:r>
        <w:rPr>
          <w:rFonts w:eastAsia="Times New Roman"/>
          <w:sz w:val="24"/>
        </w:rPr>
        <w:t>shows</w:t>
      </w:r>
      <w:r>
        <w:rPr>
          <w:rFonts w:hint="eastAsia" w:eastAsia="Times New Roman"/>
          <w:sz w:val="24"/>
        </w:rPr>
        <w:t xml:space="preserve"> </w:t>
      </w:r>
      <w:r>
        <w:rPr>
          <w:rFonts w:eastAsia="Times New Roman"/>
          <w:sz w:val="24"/>
        </w:rPr>
        <w:t>that</w:t>
      </w:r>
      <w:r>
        <w:rPr>
          <w:rFonts w:hint="eastAsia" w:eastAsiaTheme="minorEastAsia"/>
          <w:sz w:val="24"/>
        </w:rPr>
        <w:t xml:space="preserve"> </w:t>
      </w:r>
      <w:r>
        <w:rPr>
          <w:rFonts w:eastAsia="Times New Roman"/>
          <w:sz w:val="24"/>
        </w:rPr>
        <w:t>employment</w:t>
      </w:r>
      <w:r>
        <w:rPr>
          <w:rFonts w:hint="eastAsia" w:eastAsia="Times New Roman"/>
          <w:sz w:val="24"/>
        </w:rPr>
        <w:t xml:space="preserve"> </w:t>
      </w:r>
      <w:r>
        <w:rPr>
          <w:rFonts w:eastAsia="Times New Roman"/>
          <w:sz w:val="24"/>
        </w:rPr>
        <w:t>expectations of households</w:t>
      </w:r>
      <w:r>
        <w:rPr>
          <w:rFonts w:hint="eastAsia" w:eastAsia="Times New Roman"/>
          <w:sz w:val="24"/>
        </w:rPr>
        <w:t xml:space="preserve"> </w:t>
      </w:r>
      <w:r>
        <w:rPr>
          <w:rFonts w:eastAsiaTheme="minorEastAsia"/>
          <w:sz w:val="24"/>
        </w:rPr>
        <w:t xml:space="preserve">have </w:t>
      </w:r>
      <w:r>
        <w:rPr>
          <w:rFonts w:hint="eastAsia" w:eastAsiaTheme="minorEastAsia"/>
          <w:sz w:val="24"/>
        </w:rPr>
        <w:t>remained generally stable</w:t>
      </w:r>
      <w:r>
        <w:rPr>
          <w:rFonts w:hint="eastAsia" w:eastAsia="Times New Roman"/>
          <w:sz w:val="24"/>
        </w:rPr>
        <w:t>.</w:t>
      </w:r>
      <w:r>
        <w:rPr>
          <w:rFonts w:hint="eastAsia" w:eastAsiaTheme="minorEastAsia"/>
          <w:sz w:val="24"/>
        </w:rPr>
        <w:t xml:space="preserve"> </w:t>
      </w:r>
    </w:p>
    <w:p>
      <w:pPr>
        <w:rPr>
          <w:rFonts w:eastAsia="Times New Roman"/>
          <w:sz w:val="24"/>
        </w:rPr>
      </w:pPr>
    </w:p>
    <w:p>
      <w:pPr>
        <w:rPr>
          <w:rFonts w:eastAsia="Times New Roman"/>
          <w:sz w:val="24"/>
        </w:rPr>
      </w:pPr>
      <w:r>
        <w:rPr>
          <w:rFonts w:eastAsia="Times New Roman"/>
          <w:sz w:val="24"/>
        </w:rPr>
        <w:t>Nevertheless</w:t>
      </w:r>
      <w:r>
        <w:rPr>
          <w:rFonts w:hint="eastAsia" w:eastAsia="Times New Roman"/>
          <w:sz w:val="24"/>
        </w:rPr>
        <w:t xml:space="preserve">, </w:t>
      </w:r>
      <w:r>
        <w:rPr>
          <w:rFonts w:hint="eastAsia" w:eastAsiaTheme="minorEastAsia"/>
          <w:sz w:val="24"/>
        </w:rPr>
        <w:t xml:space="preserve">notwithstanding </w:t>
      </w:r>
      <w:r>
        <w:rPr>
          <w:rFonts w:eastAsiaTheme="minorEastAsia"/>
          <w:sz w:val="24"/>
        </w:rPr>
        <w:t xml:space="preserve">the </w:t>
      </w:r>
      <w:r>
        <w:rPr>
          <w:rFonts w:hint="eastAsia" w:eastAsiaTheme="minorEastAsia"/>
          <w:sz w:val="24"/>
        </w:rPr>
        <w:t xml:space="preserve">positive changes in structural </w:t>
      </w:r>
      <w:r>
        <w:rPr>
          <w:rFonts w:eastAsiaTheme="minorEastAsia"/>
          <w:sz w:val="24"/>
        </w:rPr>
        <w:t>adjustments</w:t>
      </w:r>
      <w:r>
        <w:rPr>
          <w:rFonts w:hint="eastAsia" w:eastAsiaTheme="minorEastAsia"/>
          <w:sz w:val="24"/>
        </w:rPr>
        <w:t xml:space="preserve"> taking place in the economic and </w:t>
      </w:r>
      <w:r>
        <w:rPr>
          <w:rFonts w:eastAsiaTheme="minorEastAsia"/>
          <w:sz w:val="24"/>
        </w:rPr>
        <w:t>financial</w:t>
      </w:r>
      <w:r>
        <w:rPr>
          <w:rFonts w:hint="eastAsia" w:eastAsiaTheme="minorEastAsia"/>
          <w:sz w:val="24"/>
        </w:rPr>
        <w:t xml:space="preserve"> arena</w:t>
      </w:r>
      <w:r>
        <w:rPr>
          <w:rFonts w:eastAsiaTheme="minorEastAsia"/>
          <w:sz w:val="24"/>
        </w:rPr>
        <w:t>s</w:t>
      </w:r>
      <w:r>
        <w:rPr>
          <w:rFonts w:hint="eastAsia" w:eastAsiaTheme="minorEastAsia"/>
          <w:sz w:val="24"/>
        </w:rPr>
        <w:t xml:space="preserve">, some chronic problems persist and structural mismatches still stand out. </w:t>
      </w:r>
      <w:r>
        <w:rPr>
          <w:rFonts w:eastAsia="Times New Roman"/>
          <w:sz w:val="24"/>
        </w:rPr>
        <w:t>The</w:t>
      </w:r>
      <w:r>
        <w:rPr>
          <w:rFonts w:hint="eastAsia" w:eastAsia="Times New Roman"/>
          <w:sz w:val="24"/>
        </w:rPr>
        <w:t xml:space="preserve"> </w:t>
      </w:r>
      <w:r>
        <w:rPr>
          <w:rFonts w:eastAsia="Times New Roman"/>
          <w:sz w:val="24"/>
        </w:rPr>
        <w:t>global</w:t>
      </w:r>
      <w:r>
        <w:rPr>
          <w:rFonts w:hint="eastAsia" w:eastAsia="Times New Roman"/>
          <w:sz w:val="24"/>
        </w:rPr>
        <w:t xml:space="preserve"> </w:t>
      </w:r>
      <w:r>
        <w:rPr>
          <w:rFonts w:eastAsia="Times New Roman"/>
          <w:sz w:val="24"/>
        </w:rPr>
        <w:t>economy</w:t>
      </w:r>
      <w:r>
        <w:rPr>
          <w:rFonts w:hint="eastAsia" w:eastAsia="Times New Roman"/>
          <w:sz w:val="24"/>
        </w:rPr>
        <w:t xml:space="preserve"> r</w:t>
      </w:r>
      <w:r>
        <w:rPr>
          <w:rFonts w:eastAsia="Times New Roman"/>
          <w:sz w:val="24"/>
        </w:rPr>
        <w:t>emains</w:t>
      </w:r>
      <w:r>
        <w:rPr>
          <w:rFonts w:hint="eastAsia" w:eastAsia="Times New Roman"/>
          <w:sz w:val="24"/>
        </w:rPr>
        <w:t xml:space="preserve"> </w:t>
      </w:r>
      <w:r>
        <w:rPr>
          <w:rFonts w:eastAsia="Times New Roman"/>
          <w:sz w:val="24"/>
        </w:rPr>
        <w:t>mired</w:t>
      </w:r>
      <w:r>
        <w:rPr>
          <w:rFonts w:hint="eastAsia" w:eastAsia="Times New Roman"/>
          <w:sz w:val="24"/>
        </w:rPr>
        <w:t xml:space="preserve"> </w:t>
      </w:r>
      <w:r>
        <w:rPr>
          <w:rFonts w:eastAsia="Times New Roman"/>
          <w:sz w:val="24"/>
        </w:rPr>
        <w:t>in</w:t>
      </w:r>
      <w:r>
        <w:rPr>
          <w:rFonts w:hint="eastAsia" w:eastAsia="Times New Roman"/>
          <w:sz w:val="24"/>
        </w:rPr>
        <w:t xml:space="preserve"> </w:t>
      </w:r>
      <w:r>
        <w:rPr>
          <w:rFonts w:eastAsia="Times New Roman"/>
          <w:sz w:val="24"/>
        </w:rPr>
        <w:t>substantial</w:t>
      </w:r>
      <w:r>
        <w:rPr>
          <w:rFonts w:hint="eastAsia" w:eastAsia="Times New Roman"/>
          <w:sz w:val="24"/>
        </w:rPr>
        <w:t xml:space="preserve"> </w:t>
      </w:r>
      <w:r>
        <w:rPr>
          <w:rFonts w:eastAsia="Times New Roman"/>
          <w:sz w:val="24"/>
        </w:rPr>
        <w:t>adjustments</w:t>
      </w:r>
      <w:r>
        <w:rPr>
          <w:rFonts w:hint="eastAsia" w:eastAsia="Times New Roman"/>
          <w:sz w:val="24"/>
        </w:rPr>
        <w:t xml:space="preserve">. </w:t>
      </w:r>
      <w:r>
        <w:rPr>
          <w:rFonts w:eastAsiaTheme="minorEastAsia"/>
          <w:sz w:val="24"/>
        </w:rPr>
        <w:t>S</w:t>
      </w:r>
      <w:r>
        <w:rPr>
          <w:rFonts w:hint="eastAsia" w:eastAsiaTheme="minorEastAsia"/>
          <w:sz w:val="24"/>
        </w:rPr>
        <w:t xml:space="preserve">ome deeply-rooted problems </w:t>
      </w:r>
      <w:r>
        <w:rPr>
          <w:rFonts w:eastAsiaTheme="minorEastAsia"/>
          <w:sz w:val="24"/>
        </w:rPr>
        <w:t>are still</w:t>
      </w:r>
      <w:r>
        <w:rPr>
          <w:rFonts w:hint="eastAsia" w:eastAsiaTheme="minorEastAsia"/>
          <w:sz w:val="24"/>
        </w:rPr>
        <w:t xml:space="preserve"> un</w:t>
      </w:r>
      <w:r>
        <w:rPr>
          <w:rFonts w:eastAsiaTheme="minorEastAsia"/>
          <w:sz w:val="24"/>
        </w:rPr>
        <w:t>re</w:t>
      </w:r>
      <w:r>
        <w:rPr>
          <w:rFonts w:hint="eastAsia" w:eastAsiaTheme="minorEastAsia"/>
          <w:sz w:val="24"/>
        </w:rPr>
        <w:t>solved, and t</w:t>
      </w:r>
      <w:r>
        <w:rPr>
          <w:rFonts w:eastAsia="Times New Roman"/>
          <w:sz w:val="24"/>
        </w:rPr>
        <w:t>he</w:t>
      </w:r>
      <w:r>
        <w:rPr>
          <w:rFonts w:hint="eastAsia" w:eastAsia="Times New Roman"/>
          <w:sz w:val="24"/>
        </w:rPr>
        <w:t xml:space="preserve"> </w:t>
      </w:r>
      <w:r>
        <w:rPr>
          <w:rFonts w:eastAsia="Times New Roman"/>
          <w:sz w:val="24"/>
        </w:rPr>
        <w:t>impetus</w:t>
      </w:r>
      <w:r>
        <w:rPr>
          <w:rFonts w:hint="eastAsia" w:eastAsia="Times New Roman"/>
          <w:sz w:val="24"/>
        </w:rPr>
        <w:t xml:space="preserve"> </w:t>
      </w:r>
      <w:r>
        <w:rPr>
          <w:rFonts w:eastAsia="Times New Roman"/>
          <w:sz w:val="24"/>
        </w:rPr>
        <w:t>for</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is</w:t>
      </w:r>
      <w:r>
        <w:rPr>
          <w:rFonts w:hint="eastAsia" w:eastAsia="Times New Roman"/>
          <w:sz w:val="24"/>
        </w:rPr>
        <w:t xml:space="preserve"> </w:t>
      </w:r>
      <w:r>
        <w:rPr>
          <w:rFonts w:eastAsia="Times New Roman"/>
          <w:sz w:val="24"/>
        </w:rPr>
        <w:t>not sufficiently</w:t>
      </w:r>
      <w:r>
        <w:rPr>
          <w:rFonts w:hint="eastAsia" w:eastAsia="Times New Roman"/>
          <w:sz w:val="24"/>
        </w:rPr>
        <w:t xml:space="preserve"> </w:t>
      </w:r>
      <w:r>
        <w:rPr>
          <w:rFonts w:eastAsia="Times New Roman"/>
          <w:sz w:val="24"/>
        </w:rPr>
        <w:t>strong</w:t>
      </w:r>
      <w:r>
        <w:rPr>
          <w:rFonts w:hint="eastAsia" w:eastAsiaTheme="minorEastAsia"/>
          <w:sz w:val="24"/>
        </w:rPr>
        <w:t xml:space="preserve">. The potential correction of </w:t>
      </w:r>
      <w:r>
        <w:rPr>
          <w:rFonts w:eastAsiaTheme="minorEastAsia"/>
          <w:sz w:val="24"/>
        </w:rPr>
        <w:t xml:space="preserve">the </w:t>
      </w:r>
      <w:r>
        <w:rPr>
          <w:rFonts w:hint="eastAsia" w:eastAsiaTheme="minorEastAsia"/>
          <w:sz w:val="24"/>
        </w:rPr>
        <w:t xml:space="preserve">global asset bubble built up in the extremely </w:t>
      </w:r>
      <w:r>
        <w:rPr>
          <w:rFonts w:eastAsiaTheme="minorEastAsia"/>
          <w:sz w:val="24"/>
        </w:rPr>
        <w:t>accommodative</w:t>
      </w:r>
      <w:r>
        <w:rPr>
          <w:rFonts w:hint="eastAsia" w:eastAsiaTheme="minorEastAsia"/>
          <w:sz w:val="24"/>
        </w:rPr>
        <w:t xml:space="preserve"> monetary policy environment </w:t>
      </w:r>
      <w:r>
        <w:rPr>
          <w:rFonts w:eastAsiaTheme="minorEastAsia"/>
          <w:sz w:val="24"/>
        </w:rPr>
        <w:t>during</w:t>
      </w:r>
      <w:r>
        <w:rPr>
          <w:rFonts w:hint="eastAsia" w:eastAsiaTheme="minorEastAsia"/>
          <w:sz w:val="24"/>
        </w:rPr>
        <w:t xml:space="preserve"> the past few years, </w:t>
      </w:r>
      <w:r>
        <w:rPr>
          <w:rFonts w:eastAsiaTheme="minorEastAsia"/>
          <w:sz w:val="24"/>
        </w:rPr>
        <w:t>the</w:t>
      </w:r>
      <w:r>
        <w:rPr>
          <w:rFonts w:hint="eastAsia" w:eastAsiaTheme="minorEastAsia"/>
          <w:sz w:val="24"/>
        </w:rPr>
        <w:t xml:space="preserve"> rate hike and balance sheet normalization of </w:t>
      </w:r>
      <w:r>
        <w:rPr>
          <w:rFonts w:eastAsiaTheme="minorEastAsia"/>
          <w:sz w:val="24"/>
        </w:rPr>
        <w:t xml:space="preserve">the </w:t>
      </w:r>
      <w:r>
        <w:rPr>
          <w:rFonts w:hint="eastAsia" w:eastAsiaTheme="minorEastAsia"/>
          <w:sz w:val="24"/>
        </w:rPr>
        <w:t xml:space="preserve">Fed, </w:t>
      </w:r>
      <w:r>
        <w:rPr>
          <w:rFonts w:eastAsiaTheme="minorEastAsia"/>
          <w:sz w:val="24"/>
        </w:rPr>
        <w:t xml:space="preserve">the </w:t>
      </w:r>
      <w:r>
        <w:rPr>
          <w:rFonts w:hint="eastAsia" w:eastAsiaTheme="minorEastAsia"/>
          <w:sz w:val="24"/>
        </w:rPr>
        <w:t xml:space="preserve">potential exit from quantitative easing by </w:t>
      </w:r>
      <w:r>
        <w:rPr>
          <w:rFonts w:eastAsiaTheme="minorEastAsia"/>
          <w:sz w:val="24"/>
        </w:rPr>
        <w:t xml:space="preserve">the </w:t>
      </w:r>
      <w:r>
        <w:rPr>
          <w:rFonts w:hint="eastAsia" w:eastAsiaTheme="minorEastAsia"/>
          <w:sz w:val="24"/>
        </w:rPr>
        <w:t xml:space="preserve">ECB and </w:t>
      </w:r>
      <w:r>
        <w:rPr>
          <w:rFonts w:eastAsiaTheme="minorEastAsia"/>
          <w:sz w:val="24"/>
        </w:rPr>
        <w:t xml:space="preserve">the </w:t>
      </w:r>
      <w:r>
        <w:rPr>
          <w:rFonts w:hint="eastAsia" w:eastAsiaTheme="minorEastAsia"/>
          <w:sz w:val="24"/>
        </w:rPr>
        <w:t xml:space="preserve">BOJ, and </w:t>
      </w:r>
      <w:r>
        <w:rPr>
          <w:rFonts w:eastAsiaTheme="minorEastAsia"/>
          <w:sz w:val="24"/>
        </w:rPr>
        <w:t xml:space="preserve">the </w:t>
      </w:r>
      <w:r>
        <w:rPr>
          <w:rFonts w:hint="eastAsia" w:eastAsiaTheme="minorEastAsia"/>
          <w:sz w:val="24"/>
        </w:rPr>
        <w:t>possibility of higher geopolitical risk</w:t>
      </w:r>
      <w:r>
        <w:rPr>
          <w:rFonts w:eastAsiaTheme="minorEastAsia"/>
          <w:sz w:val="24"/>
        </w:rPr>
        <w:t>s</w:t>
      </w:r>
      <w:r>
        <w:rPr>
          <w:rFonts w:hint="eastAsia" w:eastAsiaTheme="minorEastAsia"/>
          <w:sz w:val="24"/>
        </w:rPr>
        <w:t xml:space="preserve"> and uncertaint</w:t>
      </w:r>
      <w:r>
        <w:rPr>
          <w:rFonts w:eastAsiaTheme="minorEastAsia"/>
          <w:sz w:val="24"/>
        </w:rPr>
        <w:t>ies</w:t>
      </w:r>
      <w:r>
        <w:rPr>
          <w:rFonts w:hint="eastAsia" w:eastAsiaTheme="minorEastAsia"/>
          <w:sz w:val="24"/>
        </w:rPr>
        <w:t xml:space="preserve"> have </w:t>
      </w:r>
      <w:r>
        <w:rPr>
          <w:rFonts w:eastAsiaTheme="minorEastAsia"/>
          <w:sz w:val="24"/>
        </w:rPr>
        <w:t>all con</w:t>
      </w:r>
      <w:r>
        <w:rPr>
          <w:rFonts w:hint="eastAsia" w:eastAsiaTheme="minorEastAsia"/>
          <w:sz w:val="24"/>
        </w:rPr>
        <w:t xml:space="preserve">tributed to a highly complicated and changeable international environment. </w:t>
      </w:r>
      <w:r>
        <w:rPr>
          <w:rFonts w:eastAsia="Times New Roman"/>
          <w:sz w:val="24"/>
        </w:rPr>
        <w:t>On</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domestic</w:t>
      </w:r>
      <w:r>
        <w:rPr>
          <w:rFonts w:hint="eastAsia" w:eastAsia="Times New Roman"/>
          <w:sz w:val="24"/>
        </w:rPr>
        <w:t xml:space="preserve"> </w:t>
      </w:r>
      <w:r>
        <w:rPr>
          <w:rFonts w:eastAsia="Times New Roman"/>
          <w:sz w:val="24"/>
        </w:rPr>
        <w:t>front</w:t>
      </w:r>
      <w:r>
        <w:rPr>
          <w:rFonts w:hint="eastAsia" w:eastAsia="Times New Roman"/>
          <w:sz w:val="24"/>
        </w:rPr>
        <w:t xml:space="preserve">, </w:t>
      </w:r>
      <w:r>
        <w:rPr>
          <w:rFonts w:eastAsia="Times New Roman"/>
          <w:sz w:val="24"/>
        </w:rPr>
        <w:t>to a large extent econom</w:t>
      </w:r>
      <w:r>
        <w:rPr>
          <w:rFonts w:hint="eastAsia" w:eastAsiaTheme="minorEastAsia"/>
          <w:sz w:val="24"/>
        </w:rPr>
        <w:t xml:space="preserve">ic growth is driven by </w:t>
      </w:r>
      <w:r>
        <w:rPr>
          <w:rFonts w:eastAsiaTheme="minorEastAsia"/>
          <w:sz w:val="24"/>
        </w:rPr>
        <w:t xml:space="preserve">a </w:t>
      </w:r>
      <w:r>
        <w:rPr>
          <w:rFonts w:hint="eastAsia" w:eastAsiaTheme="minorEastAsia"/>
          <w:sz w:val="24"/>
        </w:rPr>
        <w:t xml:space="preserve">rebound in external demand as a result of </w:t>
      </w:r>
      <w:r>
        <w:rPr>
          <w:rFonts w:eastAsiaTheme="minorEastAsia"/>
          <w:sz w:val="24"/>
        </w:rPr>
        <w:t xml:space="preserve">the </w:t>
      </w:r>
      <w:r>
        <w:rPr>
          <w:rFonts w:hint="eastAsia" w:eastAsiaTheme="minorEastAsia"/>
          <w:sz w:val="24"/>
        </w:rPr>
        <w:t>global recovery</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recent</w:t>
      </w:r>
      <w:r>
        <w:rPr>
          <w:rFonts w:hint="eastAsia" w:eastAsia="Times New Roman"/>
          <w:sz w:val="24"/>
        </w:rPr>
        <w:t xml:space="preserve"> </w:t>
      </w:r>
      <w:r>
        <w:rPr>
          <w:rFonts w:eastAsia="Times New Roman"/>
          <w:sz w:val="24"/>
        </w:rPr>
        <w:t>improvement</w:t>
      </w:r>
      <w:r>
        <w:rPr>
          <w:rFonts w:hint="eastAsia" w:eastAsia="Times New Roman"/>
          <w:sz w:val="24"/>
        </w:rPr>
        <w:t xml:space="preserve"> </w:t>
      </w:r>
      <w:r>
        <w:rPr>
          <w:rFonts w:eastAsia="Times New Roman"/>
          <w:sz w:val="24"/>
        </w:rPr>
        <w:t>in</w:t>
      </w:r>
      <w:r>
        <w:rPr>
          <w:rFonts w:hint="eastAsia" w:eastAsia="Times New Roman"/>
          <w:sz w:val="24"/>
        </w:rPr>
        <w:t xml:space="preserve"> </w:t>
      </w:r>
      <w:r>
        <w:rPr>
          <w:rFonts w:hint="eastAsia" w:eastAsiaTheme="minorEastAsia"/>
          <w:sz w:val="24"/>
        </w:rPr>
        <w:t xml:space="preserve">corporate </w:t>
      </w:r>
      <w:r>
        <w:rPr>
          <w:rFonts w:eastAsia="Times New Roman"/>
          <w:sz w:val="24"/>
        </w:rPr>
        <w:t>performance</w:t>
      </w:r>
      <w:r>
        <w:rPr>
          <w:rFonts w:hint="eastAsia" w:eastAsia="Times New Roman"/>
          <w:sz w:val="24"/>
        </w:rPr>
        <w:t xml:space="preserve"> </w:t>
      </w:r>
      <w:r>
        <w:rPr>
          <w:rFonts w:eastAsia="Times New Roman"/>
          <w:sz w:val="24"/>
        </w:rPr>
        <w:t>is mainly</w:t>
      </w:r>
      <w:r>
        <w:rPr>
          <w:rFonts w:hint="eastAsia" w:eastAsia="Times New Roman"/>
          <w:sz w:val="24"/>
        </w:rPr>
        <w:t xml:space="preserve"> </w:t>
      </w:r>
      <w:r>
        <w:rPr>
          <w:rFonts w:eastAsia="Times New Roman"/>
          <w:sz w:val="24"/>
        </w:rPr>
        <w:t>due to upstream</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midstream</w:t>
      </w:r>
      <w:r>
        <w:rPr>
          <w:rFonts w:hint="eastAsia" w:eastAsia="Times New Roman"/>
          <w:sz w:val="24"/>
        </w:rPr>
        <w:t xml:space="preserve"> </w:t>
      </w:r>
      <w:r>
        <w:rPr>
          <w:rFonts w:eastAsia="Times New Roman"/>
          <w:sz w:val="24"/>
        </w:rPr>
        <w:t>industries,</w:t>
      </w:r>
      <w:r>
        <w:rPr>
          <w:rFonts w:hint="eastAsia" w:eastAsia="Times New Roman"/>
          <w:sz w:val="24"/>
        </w:rPr>
        <w:t xml:space="preserve"> </w:t>
      </w:r>
      <w:r>
        <w:rPr>
          <w:rFonts w:eastAsia="Times New Roman"/>
          <w:sz w:val="24"/>
        </w:rPr>
        <w:t>such</w:t>
      </w:r>
      <w:r>
        <w:rPr>
          <w:rFonts w:hint="eastAsia" w:eastAsia="Times New Roman"/>
          <w:sz w:val="24"/>
        </w:rPr>
        <w:t xml:space="preserve"> </w:t>
      </w:r>
      <w:r>
        <w:rPr>
          <w:rFonts w:eastAsia="Times New Roman"/>
          <w:sz w:val="24"/>
        </w:rPr>
        <w:t>as</w:t>
      </w:r>
      <w:r>
        <w:rPr>
          <w:rFonts w:hint="eastAsia" w:eastAsia="Times New Roman"/>
          <w:sz w:val="24"/>
        </w:rPr>
        <w:t xml:space="preserve"> </w:t>
      </w:r>
      <w:r>
        <w:rPr>
          <w:rFonts w:eastAsia="Times New Roman"/>
          <w:sz w:val="24"/>
        </w:rPr>
        <w:t>the coal</w:t>
      </w:r>
      <w:r>
        <w:rPr>
          <w:rFonts w:hint="eastAsia" w:eastAsia="Times New Roman"/>
          <w:sz w:val="24"/>
        </w:rPr>
        <w:t xml:space="preserve">, </w:t>
      </w:r>
      <w:r>
        <w:rPr>
          <w:rFonts w:eastAsia="Times New Roman"/>
          <w:sz w:val="24"/>
        </w:rPr>
        <w:t>steel,</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hint="eastAsia" w:eastAsiaTheme="minorEastAsia"/>
          <w:sz w:val="24"/>
        </w:rPr>
        <w:t>non-ferrous metal</w:t>
      </w:r>
      <w:r>
        <w:rPr>
          <w:rFonts w:hint="eastAsia" w:eastAsia="Times New Roman"/>
          <w:sz w:val="24"/>
        </w:rPr>
        <w:t xml:space="preserve"> </w:t>
      </w:r>
      <w:r>
        <w:rPr>
          <w:rFonts w:eastAsia="Times New Roman"/>
          <w:sz w:val="24"/>
        </w:rPr>
        <w:t>industr</w:t>
      </w:r>
      <w:r>
        <w:rPr>
          <w:rFonts w:hint="eastAsia"/>
          <w:sz w:val="24"/>
        </w:rPr>
        <w:t>ies</w:t>
      </w:r>
      <w:r>
        <w:rPr>
          <w:rFonts w:hint="eastAsia" w:eastAsiaTheme="minorEastAsia"/>
          <w:sz w:val="24"/>
        </w:rPr>
        <w:t xml:space="preserve">, whereas bottlenecks in some weak-link fields </w:t>
      </w:r>
      <w:r>
        <w:rPr>
          <w:rFonts w:eastAsiaTheme="minorEastAsia"/>
          <w:sz w:val="24"/>
        </w:rPr>
        <w:t>have</w:t>
      </w:r>
      <w:r>
        <w:rPr>
          <w:rFonts w:hint="eastAsia" w:eastAsiaTheme="minorEastAsia"/>
          <w:sz w:val="24"/>
        </w:rPr>
        <w:t xml:space="preserve"> yet to be broken and the aggregate leverage remains elevated. E</w:t>
      </w:r>
      <w:r>
        <w:rPr>
          <w:rFonts w:eastAsia="Times New Roman"/>
          <w:sz w:val="24"/>
        </w:rPr>
        <w:t>ndogenous</w:t>
      </w:r>
      <w:r>
        <w:rPr>
          <w:rFonts w:hint="eastAsia" w:eastAsia="Times New Roman"/>
          <w:sz w:val="24"/>
        </w:rPr>
        <w:t xml:space="preserve"> </w:t>
      </w:r>
      <w:r>
        <w:rPr>
          <w:rFonts w:eastAsia="Times New Roman"/>
          <w:sz w:val="24"/>
        </w:rPr>
        <w:t>drivers</w:t>
      </w:r>
      <w:r>
        <w:rPr>
          <w:rFonts w:hint="eastAsia" w:eastAsia="Times New Roman"/>
          <w:sz w:val="24"/>
        </w:rPr>
        <w:t xml:space="preserve"> </w:t>
      </w:r>
      <w:r>
        <w:rPr>
          <w:rFonts w:eastAsia="Times New Roman"/>
          <w:sz w:val="24"/>
        </w:rPr>
        <w:t>for</w:t>
      </w:r>
      <w:r>
        <w:rPr>
          <w:rFonts w:hint="eastAsia" w:eastAsia="Times New Roman"/>
          <w:sz w:val="24"/>
        </w:rPr>
        <w:t xml:space="preserve"> </w:t>
      </w:r>
      <w:r>
        <w:rPr>
          <w:rFonts w:eastAsia="Times New Roman"/>
          <w:sz w:val="24"/>
        </w:rPr>
        <w:t>economic</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still need to</w:t>
      </w:r>
      <w:r>
        <w:rPr>
          <w:rFonts w:hint="eastAsia" w:eastAsia="Times New Roman"/>
          <w:sz w:val="24"/>
        </w:rPr>
        <w:t xml:space="preserve"> </w:t>
      </w:r>
      <w:r>
        <w:rPr>
          <w:rFonts w:eastAsia="Times New Roman"/>
          <w:sz w:val="24"/>
        </w:rPr>
        <w:t>be</w:t>
      </w:r>
      <w:r>
        <w:rPr>
          <w:rFonts w:hint="eastAsia" w:eastAsia="Times New Roman"/>
          <w:sz w:val="24"/>
        </w:rPr>
        <w:t xml:space="preserve"> </w:t>
      </w:r>
      <w:r>
        <w:rPr>
          <w:rFonts w:eastAsia="Times New Roman"/>
          <w:sz w:val="24"/>
        </w:rPr>
        <w:t>strengthened</w:t>
      </w:r>
      <w:r>
        <w:rPr>
          <w:rFonts w:hint="eastAsia"/>
          <w:sz w:val="24"/>
        </w:rPr>
        <w:t xml:space="preserve"> and s</w:t>
      </w:r>
      <w:r>
        <w:rPr>
          <w:rFonts w:eastAsia="Times New Roman"/>
          <w:sz w:val="24"/>
        </w:rPr>
        <w:t>tructural</w:t>
      </w:r>
      <w:r>
        <w:rPr>
          <w:rFonts w:hint="eastAsia" w:eastAsia="Times New Roman"/>
          <w:sz w:val="24"/>
        </w:rPr>
        <w:t xml:space="preserve"> </w:t>
      </w:r>
      <w:r>
        <w:rPr>
          <w:rFonts w:eastAsia="Times New Roman"/>
          <w:sz w:val="24"/>
        </w:rPr>
        <w:t xml:space="preserve">problems </w:t>
      </w:r>
      <w:r>
        <w:rPr>
          <w:rFonts w:hint="eastAsia"/>
          <w:sz w:val="24"/>
        </w:rPr>
        <w:t xml:space="preserve">are still </w:t>
      </w:r>
      <w:r>
        <w:rPr>
          <w:rFonts w:eastAsia="Times New Roman"/>
          <w:sz w:val="24"/>
        </w:rPr>
        <w:t>prominent</w:t>
      </w:r>
      <w:r>
        <w:rPr>
          <w:rFonts w:hint="eastAsia" w:eastAsia="Times New Roman"/>
          <w:sz w:val="24"/>
        </w:rPr>
        <w:t xml:space="preserve">. </w:t>
      </w:r>
      <w:r>
        <w:rPr>
          <w:rFonts w:eastAsiaTheme="minorEastAsia"/>
          <w:sz w:val="24"/>
        </w:rPr>
        <w:t>F</w:t>
      </w:r>
      <w:r>
        <w:rPr>
          <w:rFonts w:hint="eastAsia" w:eastAsiaTheme="minorEastAsia"/>
          <w:sz w:val="24"/>
        </w:rPr>
        <w:t xml:space="preserve">rom the long-term perspective of the economic cycle and </w:t>
      </w:r>
      <w:r>
        <w:rPr>
          <w:rFonts w:eastAsiaTheme="minorEastAsia"/>
          <w:sz w:val="24"/>
        </w:rPr>
        <w:t xml:space="preserve">the </w:t>
      </w:r>
      <w:r>
        <w:rPr>
          <w:rFonts w:hint="eastAsia" w:eastAsiaTheme="minorEastAsia"/>
          <w:sz w:val="24"/>
        </w:rPr>
        <w:t xml:space="preserve">structural adjustment and upgrading, efforts will be made to capture </w:t>
      </w:r>
      <w:r>
        <w:rPr>
          <w:rFonts w:eastAsiaTheme="minorEastAsia"/>
          <w:sz w:val="24"/>
        </w:rPr>
        <w:t xml:space="preserve">the </w:t>
      </w:r>
      <w:r>
        <w:rPr>
          <w:rFonts w:hint="eastAsia" w:eastAsiaTheme="minorEastAsia"/>
          <w:sz w:val="24"/>
        </w:rPr>
        <w:t xml:space="preserve">characteristics of the current development stage, emphasize supply-side reforms as </w:t>
      </w:r>
      <w:r>
        <w:rPr>
          <w:rFonts w:eastAsiaTheme="minorEastAsia"/>
          <w:sz w:val="24"/>
        </w:rPr>
        <w:t>a</w:t>
      </w:r>
      <w:r>
        <w:rPr>
          <w:rFonts w:hint="eastAsia" w:eastAsiaTheme="minorEastAsia"/>
          <w:sz w:val="24"/>
        </w:rPr>
        <w:t xml:space="preserve"> main theme</w:t>
      </w:r>
      <w:r>
        <w:rPr>
          <w:rFonts w:eastAsiaTheme="minorEastAsia"/>
          <w:sz w:val="24"/>
        </w:rPr>
        <w:t>,</w:t>
      </w:r>
      <w:r>
        <w:rPr>
          <w:rFonts w:hint="eastAsia" w:eastAsiaTheme="minorEastAsia"/>
          <w:sz w:val="24"/>
        </w:rPr>
        <w:t xml:space="preserve"> and moderately expand domestic demand. </w:t>
      </w:r>
      <w:r>
        <w:rPr>
          <w:rFonts w:eastAsia="Times New Roman"/>
          <w:sz w:val="24"/>
        </w:rPr>
        <w:t>Along</w:t>
      </w:r>
      <w:r>
        <w:rPr>
          <w:rFonts w:hint="eastAsia" w:eastAsia="Times New Roman"/>
          <w:sz w:val="24"/>
        </w:rPr>
        <w:t xml:space="preserve"> </w:t>
      </w:r>
      <w:r>
        <w:rPr>
          <w:rFonts w:eastAsia="Times New Roman"/>
          <w:sz w:val="24"/>
        </w:rPr>
        <w:t>with</w:t>
      </w:r>
      <w:r>
        <w:rPr>
          <w:rFonts w:hint="eastAsia" w:eastAsia="Times New Roman"/>
          <w:sz w:val="24"/>
        </w:rPr>
        <w:t xml:space="preserve"> </w:t>
      </w:r>
      <w:r>
        <w:rPr>
          <w:rFonts w:eastAsia="Times New Roman"/>
          <w:sz w:val="24"/>
        </w:rPr>
        <w:t>accelerating</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hint="eastAsia"/>
          <w:sz w:val="24"/>
        </w:rPr>
        <w:t>development</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new</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drivers</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upgrading</w:t>
      </w:r>
      <w:r>
        <w:rPr>
          <w:rFonts w:hint="eastAsia" w:eastAsia="Times New Roman"/>
          <w:sz w:val="24"/>
        </w:rPr>
        <w:t xml:space="preserve"> </w:t>
      </w:r>
      <w:r>
        <w:rPr>
          <w:rFonts w:eastAsia="Times New Roman"/>
          <w:sz w:val="24"/>
        </w:rPr>
        <w:t>traditional</w:t>
      </w:r>
      <w:r>
        <w:rPr>
          <w:rFonts w:hint="eastAsia" w:eastAsia="Times New Roman"/>
          <w:sz w:val="24"/>
        </w:rPr>
        <w:t xml:space="preserve"> </w:t>
      </w:r>
      <w:r>
        <w:rPr>
          <w:rFonts w:eastAsia="Times New Roman"/>
          <w:sz w:val="24"/>
        </w:rPr>
        <w:t>comparative</w:t>
      </w:r>
      <w:r>
        <w:rPr>
          <w:rFonts w:hint="eastAsia" w:eastAsia="Times New Roman"/>
          <w:sz w:val="24"/>
        </w:rPr>
        <w:t xml:space="preserve"> </w:t>
      </w:r>
      <w:r>
        <w:rPr>
          <w:rFonts w:eastAsia="Times New Roman"/>
          <w:sz w:val="24"/>
        </w:rPr>
        <w:t>advantages</w:t>
      </w:r>
      <w:r>
        <w:rPr>
          <w:rFonts w:hint="eastAsia" w:eastAsia="Times New Roman"/>
          <w:sz w:val="24"/>
        </w:rPr>
        <w:t xml:space="preserve">, </w:t>
      </w:r>
      <w:r>
        <w:rPr>
          <w:rFonts w:eastAsia="Times New Roman"/>
          <w:sz w:val="24"/>
        </w:rPr>
        <w:t>priority</w:t>
      </w:r>
      <w:r>
        <w:rPr>
          <w:rFonts w:hint="eastAsia" w:eastAsia="Times New Roman"/>
          <w:sz w:val="24"/>
        </w:rPr>
        <w:t xml:space="preserve"> </w:t>
      </w:r>
      <w:r>
        <w:rPr>
          <w:rFonts w:eastAsia="Times New Roman"/>
          <w:sz w:val="24"/>
        </w:rPr>
        <w:t>reform</w:t>
      </w:r>
      <w:r>
        <w:rPr>
          <w:rFonts w:hint="eastAsia" w:eastAsia="Times New Roman"/>
          <w:sz w:val="24"/>
        </w:rPr>
        <w:t xml:space="preserve"> </w:t>
      </w:r>
      <w:r>
        <w:rPr>
          <w:rFonts w:eastAsia="Times New Roman"/>
          <w:sz w:val="24"/>
        </w:rPr>
        <w:t>items, such</w:t>
      </w:r>
      <w:r>
        <w:rPr>
          <w:rFonts w:hint="eastAsia" w:eastAsia="Times New Roman"/>
          <w:sz w:val="24"/>
        </w:rPr>
        <w:t xml:space="preserve"> </w:t>
      </w:r>
      <w:r>
        <w:rPr>
          <w:rFonts w:eastAsia="Times New Roman"/>
          <w:sz w:val="24"/>
        </w:rPr>
        <w:t>as</w:t>
      </w:r>
      <w:r>
        <w:rPr>
          <w:rFonts w:hint="eastAsia" w:eastAsia="Times New Roman"/>
          <w:sz w:val="24"/>
        </w:rPr>
        <w:t xml:space="preserve"> </w:t>
      </w:r>
      <w:r>
        <w:rPr>
          <w:rFonts w:eastAsia="Times New Roman"/>
          <w:sz w:val="24"/>
        </w:rPr>
        <w:t>streamlining</w:t>
      </w:r>
      <w:r>
        <w:rPr>
          <w:rFonts w:hint="eastAsia" w:eastAsia="Times New Roman"/>
          <w:sz w:val="24"/>
        </w:rPr>
        <w:t xml:space="preserve"> </w:t>
      </w:r>
      <w:r>
        <w:rPr>
          <w:rFonts w:eastAsia="Times New Roman"/>
          <w:sz w:val="24"/>
        </w:rPr>
        <w:t>administrative</w:t>
      </w:r>
      <w:r>
        <w:rPr>
          <w:rFonts w:hint="eastAsia" w:eastAsia="Times New Roman"/>
          <w:sz w:val="24"/>
        </w:rPr>
        <w:t xml:space="preserve"> </w:t>
      </w:r>
      <w:r>
        <w:rPr>
          <w:rFonts w:eastAsia="Times New Roman"/>
          <w:sz w:val="24"/>
        </w:rPr>
        <w:t>procedures</w:t>
      </w:r>
      <w:r>
        <w:rPr>
          <w:rFonts w:hint="eastAsia" w:eastAsia="Times New Roman"/>
          <w:sz w:val="24"/>
        </w:rPr>
        <w:t xml:space="preserve">, </w:t>
      </w:r>
      <w:r>
        <w:rPr>
          <w:rFonts w:eastAsia="Times New Roman"/>
          <w:sz w:val="24"/>
        </w:rPr>
        <w:t>delegation</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powers</w:t>
      </w:r>
      <w:r>
        <w:rPr>
          <w:rFonts w:hint="eastAsia" w:eastAsia="Times New Roman"/>
          <w:sz w:val="24"/>
        </w:rPr>
        <w:t xml:space="preserve">, </w:t>
      </w:r>
      <w:r>
        <w:rPr>
          <w:rFonts w:eastAsia="Times New Roman"/>
          <w:sz w:val="24"/>
        </w:rPr>
        <w:t>strengthening</w:t>
      </w:r>
      <w:r>
        <w:rPr>
          <w:rFonts w:hint="eastAsia" w:eastAsia="Times New Roman"/>
          <w:sz w:val="24"/>
        </w:rPr>
        <w:t xml:space="preserve"> </w:t>
      </w:r>
      <w:r>
        <w:rPr>
          <w:rFonts w:eastAsia="Times New Roman"/>
          <w:sz w:val="24"/>
        </w:rPr>
        <w:t>regulations</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improve</w:t>
      </w:r>
      <w:r>
        <w:rPr>
          <w:rFonts w:hint="eastAsia" w:eastAsia="Times New Roman"/>
          <w:sz w:val="24"/>
        </w:rPr>
        <w:t xml:space="preserve"> </w:t>
      </w:r>
      <w:r>
        <w:rPr>
          <w:rFonts w:eastAsia="Times New Roman"/>
          <w:sz w:val="24"/>
        </w:rPr>
        <w:t>services</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fiscal</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tax</w:t>
      </w:r>
      <w:r>
        <w:rPr>
          <w:rFonts w:hint="eastAsia" w:eastAsia="Times New Roman"/>
          <w:sz w:val="24"/>
        </w:rPr>
        <w:t xml:space="preserve"> </w:t>
      </w:r>
      <w:r>
        <w:rPr>
          <w:rFonts w:eastAsia="Times New Roman"/>
          <w:sz w:val="24"/>
        </w:rPr>
        <w:t>reforms</w:t>
      </w:r>
      <w:r>
        <w:rPr>
          <w:rFonts w:hint="eastAsia" w:eastAsia="Times New Roman"/>
          <w:sz w:val="24"/>
        </w:rPr>
        <w:t xml:space="preserve">, </w:t>
      </w:r>
      <w:r>
        <w:rPr>
          <w:rFonts w:hint="eastAsia"/>
          <w:sz w:val="24"/>
        </w:rPr>
        <w:t>will</w:t>
      </w:r>
      <w:r>
        <w:rPr>
          <w:rFonts w:hint="eastAsia" w:eastAsia="Times New Roman"/>
          <w:sz w:val="24"/>
        </w:rPr>
        <w:t xml:space="preserve"> </w:t>
      </w:r>
      <w:r>
        <w:rPr>
          <w:rFonts w:eastAsia="Times New Roman"/>
          <w:sz w:val="24"/>
        </w:rPr>
        <w:t>be</w:t>
      </w:r>
      <w:r>
        <w:rPr>
          <w:rFonts w:hint="eastAsia" w:eastAsia="Times New Roman"/>
          <w:sz w:val="24"/>
        </w:rPr>
        <w:t xml:space="preserve"> </w:t>
      </w:r>
      <w:r>
        <w:rPr>
          <w:rFonts w:eastAsia="Times New Roman"/>
          <w:sz w:val="24"/>
        </w:rPr>
        <w:t>deepened</w:t>
      </w:r>
      <w:r>
        <w:rPr>
          <w:rFonts w:hint="eastAsia" w:eastAsia="Times New Roman"/>
          <w:sz w:val="24"/>
        </w:rPr>
        <w:t xml:space="preserve"> </w:t>
      </w:r>
      <w:r>
        <w:rPr>
          <w:rFonts w:eastAsia="Times New Roman"/>
          <w:sz w:val="24"/>
        </w:rPr>
        <w:t>on</w:t>
      </w:r>
      <w:r>
        <w:rPr>
          <w:rFonts w:hint="eastAsia" w:eastAsia="Times New Roman"/>
          <w:sz w:val="24"/>
        </w:rPr>
        <w:t xml:space="preserve"> </w:t>
      </w:r>
      <w:r>
        <w:rPr>
          <w:rFonts w:eastAsia="Times New Roman"/>
          <w:sz w:val="24"/>
        </w:rPr>
        <w:t>a</w:t>
      </w:r>
      <w:r>
        <w:rPr>
          <w:rFonts w:hint="eastAsia" w:eastAsia="Times New Roman"/>
          <w:sz w:val="24"/>
        </w:rPr>
        <w:t xml:space="preserve"> </w:t>
      </w:r>
      <w:r>
        <w:rPr>
          <w:rFonts w:eastAsia="Times New Roman"/>
          <w:sz w:val="24"/>
        </w:rPr>
        <w:t>continuous</w:t>
      </w:r>
      <w:r>
        <w:rPr>
          <w:rFonts w:hint="eastAsia" w:eastAsia="Times New Roman"/>
          <w:sz w:val="24"/>
        </w:rPr>
        <w:t xml:space="preserve"> </w:t>
      </w:r>
      <w:r>
        <w:rPr>
          <w:rFonts w:eastAsia="Times New Roman"/>
          <w:sz w:val="24"/>
        </w:rPr>
        <w:t>basis</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five</w:t>
      </w:r>
      <w:r>
        <w:rPr>
          <w:rFonts w:hint="eastAsia" w:eastAsia="Times New Roman"/>
          <w:sz w:val="24"/>
        </w:rPr>
        <w:t xml:space="preserve"> </w:t>
      </w:r>
      <w:r>
        <w:rPr>
          <w:rFonts w:eastAsia="Times New Roman"/>
          <w:sz w:val="24"/>
        </w:rPr>
        <w:t>major</w:t>
      </w:r>
      <w:r>
        <w:rPr>
          <w:rFonts w:hint="eastAsia" w:eastAsia="Times New Roman"/>
          <w:sz w:val="24"/>
        </w:rPr>
        <w:t xml:space="preserve"> </w:t>
      </w:r>
      <w:r>
        <w:rPr>
          <w:rFonts w:eastAsia="Times New Roman"/>
          <w:sz w:val="24"/>
        </w:rPr>
        <w:t>tasks</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removing</w:t>
      </w:r>
      <w:r>
        <w:rPr>
          <w:rFonts w:hint="eastAsia" w:eastAsia="Times New Roman"/>
          <w:sz w:val="24"/>
        </w:rPr>
        <w:t xml:space="preserve"> </w:t>
      </w:r>
      <w:r>
        <w:rPr>
          <w:rFonts w:eastAsia="Times New Roman"/>
          <w:sz w:val="24"/>
        </w:rPr>
        <w:t>excess</w:t>
      </w:r>
      <w:r>
        <w:rPr>
          <w:rFonts w:hint="eastAsia" w:eastAsia="Times New Roman"/>
          <w:sz w:val="24"/>
        </w:rPr>
        <w:t xml:space="preserve"> </w:t>
      </w:r>
      <w:r>
        <w:rPr>
          <w:rFonts w:eastAsia="Times New Roman"/>
          <w:sz w:val="24"/>
        </w:rPr>
        <w:t>capacity</w:t>
      </w:r>
      <w:r>
        <w:rPr>
          <w:rFonts w:hint="eastAsia" w:eastAsia="Times New Roman"/>
          <w:sz w:val="24"/>
        </w:rPr>
        <w:t xml:space="preserve">, </w:t>
      </w:r>
      <w:r>
        <w:rPr>
          <w:rFonts w:eastAsia="Times New Roman"/>
          <w:sz w:val="24"/>
        </w:rPr>
        <w:t>reducing</w:t>
      </w:r>
      <w:r>
        <w:rPr>
          <w:rFonts w:hint="eastAsia" w:eastAsia="Times New Roman"/>
          <w:sz w:val="24"/>
        </w:rPr>
        <w:t xml:space="preserve"> </w:t>
      </w:r>
      <w:r>
        <w:rPr>
          <w:rFonts w:eastAsia="Times New Roman"/>
          <w:sz w:val="24"/>
        </w:rPr>
        <w:t>inventories</w:t>
      </w:r>
      <w:r>
        <w:rPr>
          <w:rFonts w:hint="eastAsia" w:eastAsia="Times New Roman"/>
          <w:sz w:val="24"/>
        </w:rPr>
        <w:t xml:space="preserve">, </w:t>
      </w:r>
      <w:r>
        <w:rPr>
          <w:rFonts w:eastAsia="Times New Roman"/>
          <w:sz w:val="24"/>
        </w:rPr>
        <w:t>deleveraging</w:t>
      </w:r>
      <w:r>
        <w:rPr>
          <w:rFonts w:hint="eastAsia" w:eastAsia="Times New Roman"/>
          <w:sz w:val="24"/>
        </w:rPr>
        <w:t xml:space="preserve">, </w:t>
      </w:r>
      <w:r>
        <w:rPr>
          <w:rFonts w:eastAsia="Times New Roman"/>
          <w:sz w:val="24"/>
        </w:rPr>
        <w:t>reducing</w:t>
      </w:r>
      <w:r>
        <w:rPr>
          <w:rFonts w:hint="eastAsia" w:eastAsia="Times New Roman"/>
          <w:sz w:val="24"/>
        </w:rPr>
        <w:t xml:space="preserve"> </w:t>
      </w:r>
      <w:r>
        <w:rPr>
          <w:rFonts w:eastAsia="Times New Roman"/>
          <w:sz w:val="24"/>
        </w:rPr>
        <w:t>costs</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shoring</w:t>
      </w:r>
      <w:r>
        <w:rPr>
          <w:rFonts w:hint="eastAsia" w:eastAsia="Times New Roman"/>
          <w:sz w:val="24"/>
        </w:rPr>
        <w:t xml:space="preserve"> </w:t>
      </w:r>
      <w:r>
        <w:rPr>
          <w:rFonts w:eastAsia="Times New Roman"/>
          <w:sz w:val="24"/>
        </w:rPr>
        <w:t>up</w:t>
      </w:r>
      <w:r>
        <w:rPr>
          <w:rFonts w:hint="eastAsia" w:eastAsia="Times New Roman"/>
          <w:sz w:val="24"/>
        </w:rPr>
        <w:t xml:space="preserve"> </w:t>
      </w:r>
      <w:r>
        <w:rPr>
          <w:rFonts w:eastAsia="Times New Roman"/>
          <w:sz w:val="24"/>
        </w:rPr>
        <w:t>weak</w:t>
      </w:r>
      <w:r>
        <w:rPr>
          <w:rFonts w:hint="eastAsia" w:eastAsia="Times New Roman"/>
          <w:sz w:val="24"/>
        </w:rPr>
        <w:t xml:space="preserve"> </w:t>
      </w:r>
      <w:r>
        <w:rPr>
          <w:rFonts w:eastAsia="Times New Roman"/>
          <w:sz w:val="24"/>
        </w:rPr>
        <w:t>spots</w:t>
      </w:r>
      <w:r>
        <w:rPr>
          <w:rFonts w:hint="eastAsia"/>
          <w:sz w:val="24"/>
        </w:rPr>
        <w:t xml:space="preserve"> will</w:t>
      </w:r>
      <w:r>
        <w:rPr>
          <w:rFonts w:hint="eastAsia" w:eastAsia="Times New Roman"/>
          <w:sz w:val="24"/>
        </w:rPr>
        <w:t xml:space="preserve"> </w:t>
      </w:r>
      <w:r>
        <w:rPr>
          <w:rFonts w:eastAsia="Times New Roman"/>
          <w:sz w:val="24"/>
        </w:rPr>
        <w:t>be</w:t>
      </w:r>
      <w:r>
        <w:rPr>
          <w:rFonts w:hint="eastAsia" w:eastAsia="Times New Roman"/>
          <w:sz w:val="24"/>
        </w:rPr>
        <w:t xml:space="preserve"> </w:t>
      </w:r>
      <w:r>
        <w:rPr>
          <w:rFonts w:eastAsia="Times New Roman"/>
          <w:sz w:val="24"/>
        </w:rPr>
        <w:t>earnestly implemented</w:t>
      </w:r>
      <w:r>
        <w:rPr>
          <w:rFonts w:hint="eastAsia" w:eastAsia="Times New Roman"/>
          <w:sz w:val="24"/>
        </w:rPr>
        <w:t xml:space="preserve">. </w:t>
      </w:r>
      <w:r>
        <w:rPr>
          <w:rFonts w:eastAsia="Times New Roman"/>
          <w:sz w:val="24"/>
        </w:rPr>
        <w:t>Efforts</w:t>
      </w:r>
      <w:r>
        <w:rPr>
          <w:rFonts w:hint="eastAsia" w:eastAsia="Times New Roman"/>
          <w:sz w:val="24"/>
        </w:rPr>
        <w:t xml:space="preserve"> </w:t>
      </w:r>
      <w:r>
        <w:rPr>
          <w:rFonts w:hint="eastAsia"/>
          <w:sz w:val="24"/>
        </w:rPr>
        <w:t>will</w:t>
      </w:r>
      <w:r>
        <w:rPr>
          <w:rFonts w:hint="eastAsia" w:eastAsia="Times New Roman"/>
          <w:sz w:val="24"/>
        </w:rPr>
        <w:t xml:space="preserve"> </w:t>
      </w:r>
      <w:r>
        <w:rPr>
          <w:rFonts w:eastAsia="Times New Roman"/>
          <w:sz w:val="24"/>
        </w:rPr>
        <w:t>also</w:t>
      </w:r>
      <w:r>
        <w:rPr>
          <w:rFonts w:hint="eastAsia" w:eastAsia="Times New Roman"/>
          <w:sz w:val="24"/>
        </w:rPr>
        <w:t xml:space="preserve"> </w:t>
      </w:r>
      <w:r>
        <w:rPr>
          <w:rFonts w:eastAsia="Times New Roman"/>
          <w:sz w:val="24"/>
        </w:rPr>
        <w:t>be</w:t>
      </w:r>
      <w:r>
        <w:rPr>
          <w:rFonts w:hint="eastAsia" w:eastAsia="Times New Roman"/>
          <w:sz w:val="24"/>
        </w:rPr>
        <w:t xml:space="preserve"> </w:t>
      </w:r>
      <w:r>
        <w:rPr>
          <w:rFonts w:eastAsia="Times New Roman"/>
          <w:sz w:val="24"/>
        </w:rPr>
        <w:t>made</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hint="eastAsia" w:eastAsiaTheme="minorEastAsia"/>
          <w:sz w:val="24"/>
        </w:rPr>
        <w:t xml:space="preserve">tackle the key problem of resolving zombie enterprises, </w:t>
      </w:r>
      <w:r>
        <w:rPr>
          <w:rFonts w:eastAsiaTheme="minorEastAsia"/>
          <w:sz w:val="24"/>
        </w:rPr>
        <w:t xml:space="preserve">to </w:t>
      </w:r>
      <w:r>
        <w:rPr>
          <w:rFonts w:eastAsia="Times New Roman"/>
          <w:sz w:val="24"/>
        </w:rPr>
        <w:t>deepen the reforms</w:t>
      </w:r>
      <w:r>
        <w:rPr>
          <w:rFonts w:hint="eastAsia" w:eastAsia="Times New Roman"/>
          <w:sz w:val="24"/>
        </w:rPr>
        <w:t xml:space="preserve"> </w:t>
      </w:r>
      <w:r>
        <w:rPr>
          <w:rFonts w:hint="eastAsia" w:eastAsiaTheme="minorEastAsia"/>
          <w:sz w:val="24"/>
        </w:rPr>
        <w:t xml:space="preserve">of </w:t>
      </w:r>
      <w:r>
        <w:rPr>
          <w:rFonts w:eastAsia="Times New Roman"/>
          <w:sz w:val="24"/>
        </w:rPr>
        <w:t>state</w:t>
      </w:r>
      <w:r>
        <w:rPr>
          <w:rFonts w:hint="eastAsia" w:eastAsia="Times New Roman"/>
          <w:sz w:val="24"/>
        </w:rPr>
        <w:t>-</w:t>
      </w:r>
      <w:r>
        <w:rPr>
          <w:rFonts w:eastAsia="Times New Roman"/>
          <w:sz w:val="24"/>
        </w:rPr>
        <w:t>owned</w:t>
      </w:r>
      <w:r>
        <w:rPr>
          <w:rFonts w:hint="eastAsia" w:eastAsia="Times New Roman"/>
          <w:sz w:val="24"/>
        </w:rPr>
        <w:t xml:space="preserve"> </w:t>
      </w:r>
      <w:r>
        <w:rPr>
          <w:rFonts w:eastAsia="Times New Roman"/>
          <w:sz w:val="24"/>
        </w:rPr>
        <w:t>enterprise</w:t>
      </w:r>
      <w:r>
        <w:rPr>
          <w:rFonts w:hint="eastAsia" w:eastAsiaTheme="minorEastAsia"/>
          <w:sz w:val="24"/>
        </w:rPr>
        <w:t>s</w:t>
      </w:r>
      <w:r>
        <w:rPr>
          <w:rFonts w:hint="eastAsia" w:eastAsia="Times New Roman"/>
          <w:sz w:val="24"/>
        </w:rPr>
        <w:t xml:space="preserve">, </w:t>
      </w:r>
      <w:r>
        <w:rPr>
          <w:rFonts w:eastAsia="Times New Roman"/>
          <w:sz w:val="24"/>
        </w:rPr>
        <w:t>to promote</w:t>
      </w:r>
      <w:r>
        <w:rPr>
          <w:rFonts w:hint="eastAsia" w:eastAsia="Times New Roman"/>
          <w:sz w:val="24"/>
        </w:rPr>
        <w:t xml:space="preserve"> </w:t>
      </w:r>
      <w:r>
        <w:rPr>
          <w:rFonts w:eastAsia="Times New Roman"/>
          <w:sz w:val="24"/>
        </w:rPr>
        <w:t>the new</w:t>
      </w:r>
      <w:r>
        <w:rPr>
          <w:rFonts w:hint="eastAsia" w:eastAsia="Times New Roman"/>
          <w:sz w:val="24"/>
        </w:rPr>
        <w:t xml:space="preserve"> </w:t>
      </w:r>
      <w:r>
        <w:rPr>
          <w:rFonts w:eastAsia="Times New Roman"/>
          <w:sz w:val="24"/>
        </w:rPr>
        <w:t>type</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urbanization</w:t>
      </w:r>
      <w:r>
        <w:rPr>
          <w:rFonts w:hint="eastAsia" w:eastAsia="Times New Roman"/>
          <w:sz w:val="24"/>
        </w:rPr>
        <w:t xml:space="preserve">, </w:t>
      </w:r>
      <w:r>
        <w:rPr>
          <w:rFonts w:eastAsia="Times New Roman"/>
          <w:sz w:val="24"/>
        </w:rPr>
        <w:t xml:space="preserve">to </w:t>
      </w:r>
      <w:r>
        <w:rPr>
          <w:rFonts w:hint="eastAsia" w:eastAsiaTheme="minorEastAsia"/>
          <w:sz w:val="24"/>
        </w:rPr>
        <w:t xml:space="preserve">establish a long-term </w:t>
      </w:r>
      <w:r>
        <w:rPr>
          <w:rFonts w:eastAsiaTheme="minorEastAsia"/>
          <w:sz w:val="24"/>
        </w:rPr>
        <w:t>mechanism</w:t>
      </w:r>
      <w:r>
        <w:rPr>
          <w:rFonts w:hint="eastAsia" w:eastAsiaTheme="minorEastAsia"/>
          <w:sz w:val="24"/>
        </w:rPr>
        <w:t xml:space="preserve"> that promotes stable development of the real</w:t>
      </w:r>
      <w:r>
        <w:rPr>
          <w:rFonts w:eastAsiaTheme="minorEastAsia"/>
          <w:sz w:val="24"/>
        </w:rPr>
        <w:t>-</w:t>
      </w:r>
      <w:r>
        <w:rPr>
          <w:rFonts w:hint="eastAsia" w:eastAsiaTheme="minorEastAsia"/>
          <w:sz w:val="24"/>
        </w:rPr>
        <w:t xml:space="preserve">estate market, </w:t>
      </w:r>
      <w:r>
        <w:rPr>
          <w:rFonts w:eastAsiaTheme="minorEastAsia"/>
          <w:sz w:val="24"/>
        </w:rPr>
        <w:t xml:space="preserve">to </w:t>
      </w:r>
      <w:r>
        <w:rPr>
          <w:rFonts w:eastAsia="Times New Roman"/>
          <w:sz w:val="24"/>
        </w:rPr>
        <w:t>increase</w:t>
      </w:r>
      <w:r>
        <w:rPr>
          <w:rFonts w:hint="eastAsia" w:eastAsia="Times New Roman"/>
          <w:sz w:val="24"/>
        </w:rPr>
        <w:t xml:space="preserve"> </w:t>
      </w:r>
      <w:r>
        <w:rPr>
          <w:rFonts w:eastAsia="Times New Roman"/>
          <w:sz w:val="24"/>
        </w:rPr>
        <w:t>labor</w:t>
      </w:r>
      <w:r>
        <w:rPr>
          <w:rFonts w:hint="eastAsia" w:eastAsia="Times New Roman"/>
          <w:sz w:val="24"/>
        </w:rPr>
        <w:t>-</w:t>
      </w:r>
      <w:r>
        <w:rPr>
          <w:rFonts w:eastAsia="Times New Roman"/>
          <w:sz w:val="24"/>
        </w:rPr>
        <w:t>market</w:t>
      </w:r>
      <w:r>
        <w:rPr>
          <w:rFonts w:hint="eastAsia" w:eastAsia="Times New Roman"/>
          <w:sz w:val="24"/>
        </w:rPr>
        <w:t xml:space="preserve"> </w:t>
      </w:r>
      <w:r>
        <w:rPr>
          <w:rFonts w:eastAsia="Times New Roman"/>
          <w:sz w:val="24"/>
        </w:rPr>
        <w:t>flexibility</w:t>
      </w:r>
      <w:r>
        <w:rPr>
          <w:rFonts w:hint="eastAsia" w:eastAsia="Times New Roman"/>
          <w:sz w:val="24"/>
        </w:rPr>
        <w:t xml:space="preserve">, </w:t>
      </w:r>
      <w:r>
        <w:rPr>
          <w:rFonts w:eastAsia="Times New Roman"/>
          <w:sz w:val="24"/>
        </w:rPr>
        <w:t>to contain</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build-up</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asset</w:t>
      </w:r>
      <w:r>
        <w:rPr>
          <w:rFonts w:hint="eastAsia" w:eastAsia="Times New Roman"/>
          <w:sz w:val="24"/>
        </w:rPr>
        <w:t xml:space="preserve"> </w:t>
      </w:r>
      <w:r>
        <w:rPr>
          <w:rFonts w:eastAsia="Times New Roman"/>
          <w:sz w:val="24"/>
        </w:rPr>
        <w:t>bubbles</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to reduce</w:t>
      </w:r>
      <w:r>
        <w:rPr>
          <w:rFonts w:hint="eastAsia" w:eastAsia="Times New Roman"/>
          <w:sz w:val="24"/>
        </w:rPr>
        <w:t xml:space="preserve"> </w:t>
      </w:r>
      <w:r>
        <w:rPr>
          <w:rFonts w:eastAsia="Times New Roman"/>
          <w:sz w:val="24"/>
        </w:rPr>
        <w:t>macro</w:t>
      </w:r>
      <w:r>
        <w:rPr>
          <w:rFonts w:hint="eastAsia" w:eastAsia="Times New Roman"/>
          <w:sz w:val="24"/>
        </w:rPr>
        <w:t xml:space="preserve"> </w:t>
      </w:r>
      <w:r>
        <w:rPr>
          <w:rFonts w:eastAsia="Times New Roman"/>
          <w:sz w:val="24"/>
        </w:rPr>
        <w:t>tax</w:t>
      </w:r>
      <w:r>
        <w:rPr>
          <w:rFonts w:hint="eastAsia" w:eastAsia="Times New Roman"/>
          <w:sz w:val="24"/>
        </w:rPr>
        <w:t xml:space="preserve"> </w:t>
      </w:r>
      <w:r>
        <w:rPr>
          <w:rFonts w:eastAsia="Times New Roman"/>
          <w:sz w:val="24"/>
        </w:rPr>
        <w:t>burdens</w:t>
      </w:r>
      <w:r>
        <w:rPr>
          <w:rFonts w:hint="eastAsia" w:eastAsia="Times New Roman"/>
          <w:sz w:val="24"/>
        </w:rPr>
        <w:t xml:space="preserve">. </w:t>
      </w:r>
      <w:r>
        <w:rPr>
          <w:rFonts w:eastAsia="Times New Roman"/>
          <w:sz w:val="24"/>
        </w:rPr>
        <w:t>The market</w:t>
      </w:r>
      <w:r>
        <w:rPr>
          <w:rFonts w:hint="eastAsia" w:eastAsia="Times New Roman"/>
          <w:sz w:val="24"/>
        </w:rPr>
        <w:t xml:space="preserve"> </w:t>
      </w:r>
      <w:r>
        <w:rPr>
          <w:rFonts w:hint="eastAsia"/>
          <w:sz w:val="24"/>
        </w:rPr>
        <w:t>will</w:t>
      </w:r>
      <w:r>
        <w:rPr>
          <w:rFonts w:hint="eastAsia" w:eastAsia="Times New Roman"/>
          <w:sz w:val="24"/>
        </w:rPr>
        <w:t xml:space="preserve"> </w:t>
      </w:r>
      <w:r>
        <w:rPr>
          <w:rFonts w:eastAsia="Times New Roman"/>
          <w:sz w:val="24"/>
        </w:rPr>
        <w:t>play</w:t>
      </w:r>
      <w:r>
        <w:rPr>
          <w:rFonts w:hint="eastAsia" w:eastAsia="Times New Roman"/>
          <w:sz w:val="24"/>
        </w:rPr>
        <w:t xml:space="preserve"> </w:t>
      </w:r>
      <w:r>
        <w:rPr>
          <w:rFonts w:eastAsia="Times New Roman"/>
          <w:sz w:val="24"/>
        </w:rPr>
        <w:t>a</w:t>
      </w:r>
      <w:r>
        <w:rPr>
          <w:rFonts w:hint="eastAsia" w:eastAsiaTheme="minorEastAsia"/>
          <w:sz w:val="24"/>
        </w:rPr>
        <w:t xml:space="preserve"> more</w:t>
      </w:r>
      <w:r>
        <w:rPr>
          <w:rFonts w:hint="eastAsia" w:eastAsia="Times New Roman"/>
          <w:sz w:val="24"/>
        </w:rPr>
        <w:t xml:space="preserve"> </w:t>
      </w:r>
      <w:r>
        <w:rPr>
          <w:rFonts w:eastAsia="Times New Roman"/>
          <w:sz w:val="24"/>
        </w:rPr>
        <w:t>decisive</w:t>
      </w:r>
      <w:r>
        <w:rPr>
          <w:rFonts w:hint="eastAsia" w:eastAsia="Times New Roman"/>
          <w:sz w:val="24"/>
        </w:rPr>
        <w:t xml:space="preserve"> </w:t>
      </w:r>
      <w:r>
        <w:rPr>
          <w:rFonts w:eastAsia="Times New Roman"/>
          <w:sz w:val="24"/>
        </w:rPr>
        <w:t>role</w:t>
      </w:r>
      <w:r>
        <w:rPr>
          <w:rFonts w:hint="eastAsia" w:eastAsia="Times New Roman"/>
          <w:sz w:val="24"/>
        </w:rPr>
        <w:t xml:space="preserve"> </w:t>
      </w:r>
      <w:r>
        <w:rPr>
          <w:rFonts w:eastAsia="Times New Roman"/>
          <w:sz w:val="24"/>
        </w:rPr>
        <w:t>in</w:t>
      </w:r>
      <w:r>
        <w:rPr>
          <w:rFonts w:hint="eastAsia" w:eastAsia="Times New Roman"/>
          <w:sz w:val="24"/>
        </w:rPr>
        <w:t xml:space="preserve"> </w:t>
      </w:r>
      <w:r>
        <w:rPr>
          <w:rFonts w:eastAsia="Times New Roman"/>
          <w:sz w:val="24"/>
        </w:rPr>
        <w:t>resource</w:t>
      </w:r>
      <w:r>
        <w:rPr>
          <w:rFonts w:hint="eastAsia" w:eastAsia="Times New Roman"/>
          <w:sz w:val="24"/>
        </w:rPr>
        <w:t xml:space="preserve"> </w:t>
      </w:r>
      <w:r>
        <w:rPr>
          <w:rFonts w:eastAsia="Times New Roman"/>
          <w:sz w:val="24"/>
        </w:rPr>
        <w:t>allocations</w:t>
      </w:r>
      <w:r>
        <w:rPr>
          <w:rFonts w:hint="eastAsia" w:eastAsia="Times New Roman"/>
          <w:sz w:val="24"/>
        </w:rPr>
        <w:t xml:space="preserve">. </w:t>
      </w:r>
      <w:r>
        <w:rPr>
          <w:rFonts w:eastAsia="Times New Roman"/>
          <w:sz w:val="24"/>
        </w:rPr>
        <w:t>Top</w:t>
      </w:r>
      <w:r>
        <w:rPr>
          <w:rFonts w:hint="eastAsia" w:eastAsia="Times New Roman"/>
          <w:sz w:val="24"/>
        </w:rPr>
        <w:t>-</w:t>
      </w:r>
      <w:r>
        <w:rPr>
          <w:rFonts w:eastAsia="Times New Roman"/>
          <w:sz w:val="24"/>
        </w:rPr>
        <w:t>down</w:t>
      </w:r>
      <w:r>
        <w:rPr>
          <w:rFonts w:hint="eastAsia" w:eastAsia="Times New Roman"/>
          <w:sz w:val="24"/>
        </w:rPr>
        <w:t xml:space="preserve"> </w:t>
      </w:r>
      <w:r>
        <w:rPr>
          <w:rFonts w:eastAsia="Times New Roman"/>
          <w:sz w:val="24"/>
        </w:rPr>
        <w:t>designs</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grassroots</w:t>
      </w:r>
      <w:r>
        <w:rPr>
          <w:rFonts w:hint="eastAsia" w:eastAsia="Times New Roman"/>
          <w:sz w:val="24"/>
        </w:rPr>
        <w:t xml:space="preserve"> </w:t>
      </w:r>
      <w:r>
        <w:rPr>
          <w:rFonts w:eastAsia="Times New Roman"/>
          <w:sz w:val="24"/>
        </w:rPr>
        <w:t>innovations</w:t>
      </w:r>
      <w:r>
        <w:rPr>
          <w:rFonts w:hint="eastAsia" w:eastAsia="Times New Roman"/>
          <w:sz w:val="24"/>
        </w:rPr>
        <w:t xml:space="preserve"> </w:t>
      </w:r>
      <w:r>
        <w:rPr>
          <w:rFonts w:hint="eastAsia"/>
          <w:sz w:val="24"/>
        </w:rPr>
        <w:t>will</w:t>
      </w:r>
      <w:r>
        <w:rPr>
          <w:rFonts w:hint="eastAsia" w:eastAsia="Times New Roman"/>
          <w:sz w:val="24"/>
        </w:rPr>
        <w:t xml:space="preserve"> </w:t>
      </w:r>
      <w:r>
        <w:rPr>
          <w:rFonts w:eastAsia="Times New Roman"/>
          <w:sz w:val="24"/>
        </w:rPr>
        <w:t>be</w:t>
      </w:r>
      <w:r>
        <w:rPr>
          <w:rFonts w:hint="eastAsia" w:eastAsia="Times New Roman"/>
          <w:sz w:val="24"/>
        </w:rPr>
        <w:t xml:space="preserve"> </w:t>
      </w:r>
      <w:r>
        <w:rPr>
          <w:rFonts w:eastAsia="Times New Roman"/>
          <w:sz w:val="24"/>
        </w:rPr>
        <w:t>combined</w:t>
      </w:r>
      <w:r>
        <w:rPr>
          <w:rFonts w:hint="eastAsia" w:eastAsiaTheme="minorEastAsia"/>
          <w:sz w:val="24"/>
        </w:rPr>
        <w:t>, and intergovernmental fiscal relationships will be improved</w:t>
      </w:r>
      <w:r>
        <w:rPr>
          <w:rFonts w:hint="eastAsia" w:eastAsia="Times New Roman"/>
          <w:sz w:val="24"/>
        </w:rPr>
        <w:t xml:space="preserve">. </w:t>
      </w:r>
      <w:r>
        <w:rPr>
          <w:rFonts w:eastAsia="Times New Roman"/>
          <w:sz w:val="24"/>
        </w:rPr>
        <w:t>New</w:t>
      </w:r>
      <w:r>
        <w:rPr>
          <w:rFonts w:hint="eastAsia" w:eastAsia="Times New Roman"/>
          <w:sz w:val="24"/>
        </w:rPr>
        <w:t xml:space="preserve"> </w:t>
      </w:r>
      <w:r>
        <w:rPr>
          <w:rFonts w:eastAsia="Times New Roman"/>
          <w:sz w:val="24"/>
        </w:rPr>
        <w:t>institutional</w:t>
      </w:r>
      <w:r>
        <w:rPr>
          <w:rFonts w:hint="eastAsia" w:eastAsia="Times New Roman"/>
          <w:sz w:val="24"/>
        </w:rPr>
        <w:t xml:space="preserve"> </w:t>
      </w:r>
      <w:r>
        <w:rPr>
          <w:rFonts w:eastAsia="Times New Roman"/>
          <w:sz w:val="24"/>
        </w:rPr>
        <w:t>arrangements</w:t>
      </w:r>
      <w:r>
        <w:rPr>
          <w:rFonts w:hint="eastAsia" w:eastAsia="Times New Roman"/>
          <w:sz w:val="24"/>
        </w:rPr>
        <w:t xml:space="preserve"> </w:t>
      </w:r>
      <w:r>
        <w:rPr>
          <w:rFonts w:hint="eastAsia"/>
          <w:sz w:val="24"/>
        </w:rPr>
        <w:t>will</w:t>
      </w:r>
      <w:r>
        <w:rPr>
          <w:rFonts w:hint="eastAsia" w:eastAsia="Times New Roman"/>
          <w:sz w:val="24"/>
        </w:rPr>
        <w:t xml:space="preserve"> </w:t>
      </w:r>
      <w:r>
        <w:rPr>
          <w:rFonts w:eastAsia="Times New Roman"/>
          <w:sz w:val="24"/>
        </w:rPr>
        <w:t>be</w:t>
      </w:r>
      <w:r>
        <w:rPr>
          <w:rFonts w:hint="eastAsia" w:eastAsia="Times New Roman"/>
          <w:sz w:val="24"/>
        </w:rPr>
        <w:t xml:space="preserve"> </w:t>
      </w:r>
      <w:r>
        <w:rPr>
          <w:rFonts w:eastAsia="Times New Roman"/>
          <w:sz w:val="24"/>
        </w:rPr>
        <w:t>adopted</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encourage</w:t>
      </w:r>
      <w:r>
        <w:rPr>
          <w:rFonts w:hint="eastAsia" w:eastAsia="Times New Roman"/>
          <w:sz w:val="24"/>
        </w:rPr>
        <w:t xml:space="preserve"> </w:t>
      </w:r>
      <w:r>
        <w:rPr>
          <w:rFonts w:eastAsia="Times New Roman"/>
          <w:sz w:val="24"/>
        </w:rPr>
        <w:t>local</w:t>
      </w:r>
      <w:r>
        <w:rPr>
          <w:rFonts w:hint="eastAsia" w:eastAsia="Times New Roman"/>
          <w:sz w:val="24"/>
        </w:rPr>
        <w:t xml:space="preserve"> </w:t>
      </w:r>
      <w:r>
        <w:rPr>
          <w:rFonts w:eastAsia="Times New Roman"/>
          <w:sz w:val="24"/>
        </w:rPr>
        <w:t>initiatives</w:t>
      </w:r>
      <w:r>
        <w:rPr>
          <w:rFonts w:hint="eastAsia" w:eastAsia="Times New Roman"/>
          <w:sz w:val="24"/>
        </w:rPr>
        <w:t xml:space="preserve"> </w:t>
      </w:r>
      <w:r>
        <w:rPr>
          <w:rFonts w:eastAsia="Times New Roman"/>
          <w:sz w:val="24"/>
        </w:rPr>
        <w:t>for</w:t>
      </w:r>
      <w:r>
        <w:rPr>
          <w:rFonts w:hint="eastAsia" w:eastAsia="Times New Roman"/>
          <w:sz w:val="24"/>
        </w:rPr>
        <w:t xml:space="preserve"> </w:t>
      </w:r>
      <w:r>
        <w:rPr>
          <w:rFonts w:eastAsia="Times New Roman"/>
          <w:sz w:val="24"/>
        </w:rPr>
        <w:t>economic</w:t>
      </w:r>
      <w:r>
        <w:rPr>
          <w:rFonts w:hint="eastAsia" w:eastAsia="Times New Roman"/>
          <w:sz w:val="24"/>
        </w:rPr>
        <w:t xml:space="preserve"> g</w:t>
      </w:r>
      <w:r>
        <w:rPr>
          <w:rFonts w:eastAsia="Times New Roman"/>
          <w:sz w:val="24"/>
        </w:rPr>
        <w:t>rowth</w:t>
      </w:r>
      <w:r>
        <w:rPr>
          <w:rFonts w:hint="eastAsia" w:eastAsiaTheme="minorEastAsia"/>
          <w:sz w:val="24"/>
        </w:rPr>
        <w:t>, reinforce property</w:t>
      </w:r>
      <w:r>
        <w:rPr>
          <w:rFonts w:eastAsiaTheme="minorEastAsia"/>
          <w:sz w:val="24"/>
        </w:rPr>
        <w:t>-</w:t>
      </w:r>
      <w:r>
        <w:rPr>
          <w:rFonts w:hint="eastAsia" w:eastAsiaTheme="minorEastAsia"/>
          <w:sz w:val="24"/>
        </w:rPr>
        <w:t>right</w:t>
      </w:r>
      <w:r>
        <w:rPr>
          <w:rFonts w:eastAsiaTheme="minorEastAsia"/>
          <w:sz w:val="24"/>
        </w:rPr>
        <w:t>s</w:t>
      </w:r>
      <w:r>
        <w:rPr>
          <w:rFonts w:hint="eastAsia" w:eastAsiaTheme="minorEastAsia"/>
          <w:sz w:val="24"/>
        </w:rPr>
        <w:t xml:space="preserve"> protection, improve </w:t>
      </w:r>
      <w:r>
        <w:rPr>
          <w:rFonts w:eastAsiaTheme="minorEastAsia"/>
          <w:sz w:val="24"/>
        </w:rPr>
        <w:t xml:space="preserve">the </w:t>
      </w:r>
      <w:r>
        <w:rPr>
          <w:rFonts w:hint="eastAsia" w:eastAsiaTheme="minorEastAsia"/>
          <w:sz w:val="24"/>
        </w:rPr>
        <w:t xml:space="preserve">business environment, </w:t>
      </w:r>
      <w:r>
        <w:rPr>
          <w:rFonts w:eastAsiaTheme="minorEastAsia"/>
          <w:sz w:val="24"/>
        </w:rPr>
        <w:t>and stabilize</w:t>
      </w:r>
      <w:r>
        <w:rPr>
          <w:rFonts w:hint="eastAsia" w:eastAsiaTheme="minorEastAsia"/>
          <w:sz w:val="24"/>
        </w:rPr>
        <w:t xml:space="preserve"> market expectations </w:t>
      </w:r>
      <w:r>
        <w:rPr>
          <w:rFonts w:hint="eastAsia"/>
          <w:sz w:val="24"/>
        </w:rPr>
        <w:t>and</w:t>
      </w:r>
      <w:r>
        <w:rPr>
          <w:rFonts w:hint="eastAsia" w:eastAsia="Times New Roman"/>
          <w:sz w:val="24"/>
        </w:rPr>
        <w:t xml:space="preserve"> </w:t>
      </w:r>
      <w:r>
        <w:rPr>
          <w:rFonts w:eastAsia="Times New Roman"/>
          <w:sz w:val="24"/>
        </w:rPr>
        <w:t>promote</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healthy</w:t>
      </w:r>
      <w:r>
        <w:rPr>
          <w:rFonts w:hint="eastAsia" w:eastAsia="Times New Roman"/>
          <w:sz w:val="24"/>
        </w:rPr>
        <w:t xml:space="preserve"> </w:t>
      </w:r>
      <w:r>
        <w:rPr>
          <w:rFonts w:eastAsia="Times New Roman"/>
          <w:sz w:val="24"/>
        </w:rPr>
        <w:t>development</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the non</w:t>
      </w:r>
      <w:r>
        <w:rPr>
          <w:rFonts w:hint="eastAsia" w:eastAsia="Times New Roman"/>
          <w:sz w:val="24"/>
        </w:rPr>
        <w:t>-</w:t>
      </w:r>
      <w:r>
        <w:rPr>
          <w:rFonts w:eastAsia="Times New Roman"/>
          <w:sz w:val="24"/>
        </w:rPr>
        <w:t>public</w:t>
      </w:r>
      <w:r>
        <w:rPr>
          <w:rFonts w:hint="eastAsia" w:eastAsiaTheme="minorEastAsia"/>
          <w:sz w:val="24"/>
        </w:rPr>
        <w:t xml:space="preserve"> sector.</w:t>
      </w:r>
      <w:r>
        <w:rPr>
          <w:rFonts w:hint="eastAsia"/>
          <w:sz w:val="24"/>
        </w:rPr>
        <w:t xml:space="preserve"> Continued efforts will be made</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hint="eastAsia"/>
          <w:sz w:val="24"/>
        </w:rPr>
        <w:t>substantially strengthen</w:t>
      </w:r>
      <w:r>
        <w:rPr>
          <w:rFonts w:hint="eastAsia" w:eastAsia="Times New Roman"/>
          <w:sz w:val="24"/>
        </w:rPr>
        <w:t xml:space="preserve"> </w:t>
      </w:r>
      <w:r>
        <w:rPr>
          <w:rFonts w:eastAsia="Times New Roman"/>
          <w:sz w:val="24"/>
        </w:rPr>
        <w:t>the weak</w:t>
      </w:r>
      <w:r>
        <w:rPr>
          <w:rFonts w:hint="eastAsia" w:eastAsia="Times New Roman"/>
          <w:sz w:val="24"/>
        </w:rPr>
        <w:t xml:space="preserve"> </w:t>
      </w:r>
      <w:r>
        <w:rPr>
          <w:rFonts w:eastAsia="Times New Roman"/>
          <w:sz w:val="24"/>
        </w:rPr>
        <w:t>links</w:t>
      </w:r>
      <w:r>
        <w:rPr>
          <w:rFonts w:hint="eastAsia" w:eastAsia="Times New Roman"/>
          <w:sz w:val="24"/>
        </w:rPr>
        <w:t xml:space="preserve"> </w:t>
      </w:r>
      <w:r>
        <w:rPr>
          <w:rFonts w:eastAsia="Times New Roman"/>
          <w:sz w:val="24"/>
        </w:rPr>
        <w:t xml:space="preserve">so as </w:t>
      </w:r>
      <w:r>
        <w:rPr>
          <w:sz w:val="24"/>
        </w:rPr>
        <w:t>to</w:t>
      </w:r>
      <w:r>
        <w:rPr>
          <w:rFonts w:hint="eastAsia"/>
          <w:sz w:val="24"/>
        </w:rPr>
        <w:t xml:space="preserve"> expand</w:t>
      </w:r>
      <w:r>
        <w:rPr>
          <w:sz w:val="24"/>
        </w:rPr>
        <w:t xml:space="preserve"> </w:t>
      </w:r>
      <w:r>
        <w:rPr>
          <w:rFonts w:eastAsia="Times New Roman"/>
          <w:sz w:val="24"/>
        </w:rPr>
        <w:t>consumption</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 xml:space="preserve">to </w:t>
      </w:r>
      <w:r>
        <w:rPr>
          <w:rFonts w:hint="eastAsia"/>
          <w:sz w:val="24"/>
        </w:rPr>
        <w:t>develop</w:t>
      </w:r>
      <w:r>
        <w:rPr>
          <w:sz w:val="24"/>
        </w:rPr>
        <w:t xml:space="preserve"> the</w:t>
      </w:r>
      <w:r>
        <w:rPr>
          <w:rFonts w:hint="eastAsia"/>
          <w:sz w:val="24"/>
        </w:rPr>
        <w:t xml:space="preserve"> </w:t>
      </w:r>
      <w:r>
        <w:rPr>
          <w:rFonts w:eastAsia="Times New Roman"/>
          <w:sz w:val="24"/>
        </w:rPr>
        <w:t>services</w:t>
      </w:r>
      <w:r>
        <w:rPr>
          <w:rFonts w:hint="eastAsia" w:eastAsia="Times New Roman"/>
          <w:sz w:val="24"/>
        </w:rPr>
        <w:t xml:space="preserve"> </w:t>
      </w:r>
      <w:r>
        <w:rPr>
          <w:rFonts w:eastAsia="Times New Roman"/>
          <w:sz w:val="24"/>
        </w:rPr>
        <w:t>sector</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hint="eastAsia"/>
          <w:sz w:val="24"/>
        </w:rPr>
        <w:t>enhance</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quality</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efficiency</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growth</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improve</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incentives</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disciplinary</w:t>
      </w:r>
      <w:r>
        <w:rPr>
          <w:rFonts w:hint="eastAsia" w:eastAsia="Times New Roman"/>
          <w:sz w:val="24"/>
        </w:rPr>
        <w:t xml:space="preserve"> </w:t>
      </w:r>
      <w:r>
        <w:rPr>
          <w:rFonts w:eastAsia="Times New Roman"/>
          <w:sz w:val="24"/>
        </w:rPr>
        <w:t>mechanisms</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financial</w:t>
      </w:r>
      <w:r>
        <w:rPr>
          <w:rFonts w:hint="eastAsia" w:eastAsia="Times New Roman"/>
          <w:sz w:val="24"/>
        </w:rPr>
        <w:t xml:space="preserve"> </w:t>
      </w:r>
      <w:r>
        <w:rPr>
          <w:rFonts w:eastAsia="Times New Roman"/>
          <w:sz w:val="24"/>
        </w:rPr>
        <w:t>institutions</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maintain</w:t>
      </w:r>
      <w:r>
        <w:rPr>
          <w:rFonts w:hint="eastAsia" w:eastAsia="Times New Roman"/>
          <w:sz w:val="24"/>
        </w:rPr>
        <w:t xml:space="preserve"> </w:t>
      </w:r>
      <w:r>
        <w:rPr>
          <w:rFonts w:eastAsia="Times New Roman"/>
          <w:sz w:val="24"/>
        </w:rPr>
        <w:t>sustainable</w:t>
      </w:r>
      <w:r>
        <w:rPr>
          <w:rFonts w:hint="eastAsia" w:eastAsia="Times New Roman"/>
          <w:sz w:val="24"/>
        </w:rPr>
        <w:t xml:space="preserve"> </w:t>
      </w:r>
      <w:r>
        <w:rPr>
          <w:rFonts w:eastAsia="Times New Roman"/>
          <w:sz w:val="24"/>
        </w:rPr>
        <w:t>financing</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expand</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scope</w:t>
      </w:r>
      <w:r>
        <w:rPr>
          <w:rFonts w:hint="eastAsia" w:eastAsia="Times New Roman"/>
          <w:sz w:val="24"/>
        </w:rPr>
        <w:t xml:space="preserve"> </w:t>
      </w:r>
      <w:r>
        <w:rPr>
          <w:rFonts w:eastAsia="Times New Roman"/>
          <w:sz w:val="24"/>
        </w:rPr>
        <w:t>and</w:t>
      </w:r>
      <w:r>
        <w:rPr>
          <w:rFonts w:hint="eastAsia" w:eastAsia="Times New Roman"/>
          <w:sz w:val="24"/>
        </w:rPr>
        <w:t xml:space="preserve"> </w:t>
      </w:r>
      <w:r>
        <w:rPr>
          <w:rFonts w:eastAsia="Times New Roman"/>
          <w:sz w:val="24"/>
        </w:rPr>
        <w:t>space</w:t>
      </w:r>
      <w:r>
        <w:rPr>
          <w:rFonts w:hint="eastAsia" w:eastAsia="Times New Roman"/>
          <w:sz w:val="24"/>
        </w:rPr>
        <w:t xml:space="preserve"> </w:t>
      </w:r>
      <w:r>
        <w:rPr>
          <w:rFonts w:eastAsia="Times New Roman"/>
          <w:sz w:val="24"/>
        </w:rPr>
        <w:t>for</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effective</w:t>
      </w:r>
      <w:r>
        <w:rPr>
          <w:rFonts w:hint="eastAsia" w:eastAsia="Times New Roman"/>
          <w:sz w:val="24"/>
        </w:rPr>
        <w:t xml:space="preserve"> </w:t>
      </w:r>
      <w:r>
        <w:rPr>
          <w:rFonts w:eastAsia="Times New Roman"/>
          <w:sz w:val="24"/>
        </w:rPr>
        <w:t>allocation</w:t>
      </w:r>
      <w:r>
        <w:rPr>
          <w:rFonts w:hint="eastAsia" w:eastAsia="Times New Roman"/>
          <w:sz w:val="24"/>
        </w:rPr>
        <w:t xml:space="preserve"> </w:t>
      </w:r>
      <w:r>
        <w:rPr>
          <w:rFonts w:eastAsia="Times New Roman"/>
          <w:sz w:val="24"/>
        </w:rPr>
        <w:t>of</w:t>
      </w:r>
      <w:r>
        <w:rPr>
          <w:rFonts w:hint="eastAsia" w:eastAsia="Times New Roman"/>
          <w:sz w:val="24"/>
        </w:rPr>
        <w:t xml:space="preserve"> </w:t>
      </w:r>
      <w:r>
        <w:rPr>
          <w:rFonts w:eastAsia="Times New Roman"/>
          <w:sz w:val="24"/>
        </w:rPr>
        <w:t>financial</w:t>
      </w:r>
      <w:r>
        <w:rPr>
          <w:rFonts w:hint="eastAsia" w:eastAsia="Times New Roman"/>
          <w:sz w:val="24"/>
        </w:rPr>
        <w:t xml:space="preserve"> </w:t>
      </w:r>
      <w:r>
        <w:rPr>
          <w:rFonts w:eastAsia="Times New Roman"/>
          <w:sz w:val="24"/>
        </w:rPr>
        <w:t>resources</w:t>
      </w:r>
      <w:r>
        <w:rPr>
          <w:rFonts w:hint="eastAsia" w:eastAsia="Times New Roman"/>
          <w:sz w:val="24"/>
        </w:rPr>
        <w:t>.</w:t>
      </w:r>
    </w:p>
    <w:p>
      <w:pPr>
        <w:rPr>
          <w:rFonts w:eastAsia="Times New Roman"/>
          <w:sz w:val="24"/>
        </w:rPr>
      </w:pPr>
    </w:p>
    <w:p>
      <w:pPr>
        <w:rPr>
          <w:rFonts w:eastAsiaTheme="minorEastAsia"/>
          <w:sz w:val="24"/>
        </w:rPr>
      </w:pPr>
      <w:r>
        <w:rPr>
          <w:rFonts w:eastAsia="Times New Roman"/>
          <w:sz w:val="24"/>
        </w:rPr>
        <w:t>Inflation</w:t>
      </w:r>
      <w:r>
        <w:rPr>
          <w:rFonts w:hint="eastAsia" w:eastAsia="Times New Roman"/>
          <w:sz w:val="24"/>
        </w:rPr>
        <w:t xml:space="preserve"> </w:t>
      </w:r>
      <w:r>
        <w:rPr>
          <w:rFonts w:hint="eastAsia" w:eastAsiaTheme="minorEastAsia"/>
          <w:sz w:val="24"/>
        </w:rPr>
        <w:t xml:space="preserve">remains generally stable. Ultimately, inflation is determined by </w:t>
      </w:r>
      <w:r>
        <w:rPr>
          <w:rFonts w:eastAsiaTheme="minorEastAsia"/>
          <w:sz w:val="24"/>
        </w:rPr>
        <w:t xml:space="preserve">the </w:t>
      </w:r>
      <w:r>
        <w:rPr>
          <w:rFonts w:hint="eastAsia" w:eastAsiaTheme="minorEastAsia"/>
          <w:sz w:val="24"/>
        </w:rPr>
        <w:t xml:space="preserve">economic fundamentals and </w:t>
      </w:r>
      <w:r>
        <w:rPr>
          <w:rFonts w:eastAsiaTheme="minorEastAsia"/>
          <w:sz w:val="24"/>
        </w:rPr>
        <w:t>the relative</w:t>
      </w:r>
      <w:r>
        <w:rPr>
          <w:rFonts w:hint="eastAsia" w:eastAsiaTheme="minorEastAsia"/>
          <w:sz w:val="24"/>
        </w:rPr>
        <w:t xml:space="preserve"> changes </w:t>
      </w:r>
      <w:r>
        <w:rPr>
          <w:rFonts w:eastAsiaTheme="minorEastAsia"/>
          <w:sz w:val="24"/>
        </w:rPr>
        <w:t>in</w:t>
      </w:r>
      <w:r>
        <w:rPr>
          <w:rFonts w:hint="eastAsia" w:eastAsiaTheme="minorEastAsia"/>
          <w:sz w:val="24"/>
        </w:rPr>
        <w:t xml:space="preserve"> supply and demand. </w:t>
      </w:r>
      <w:r>
        <w:rPr>
          <w:rFonts w:eastAsiaTheme="minorEastAsia"/>
          <w:sz w:val="24"/>
        </w:rPr>
        <w:t>Multiple</w:t>
      </w:r>
      <w:r>
        <w:rPr>
          <w:rFonts w:hint="eastAsia" w:eastAsiaTheme="minorEastAsia"/>
          <w:sz w:val="24"/>
        </w:rPr>
        <w:t xml:space="preserve"> factors are pushing up inflation, such as </w:t>
      </w:r>
      <w:r>
        <w:rPr>
          <w:rFonts w:eastAsiaTheme="minorEastAsia"/>
          <w:sz w:val="24"/>
        </w:rPr>
        <w:t xml:space="preserve">the </w:t>
      </w:r>
      <w:r>
        <w:rPr>
          <w:rFonts w:hint="eastAsia" w:eastAsiaTheme="minorEastAsia"/>
          <w:sz w:val="24"/>
        </w:rPr>
        <w:t xml:space="preserve">sustained global recovery, </w:t>
      </w:r>
      <w:r>
        <w:rPr>
          <w:rFonts w:eastAsiaTheme="minorEastAsia"/>
          <w:sz w:val="24"/>
        </w:rPr>
        <w:t xml:space="preserve">the </w:t>
      </w:r>
      <w:r>
        <w:rPr>
          <w:rFonts w:hint="eastAsia" w:eastAsiaTheme="minorEastAsia"/>
          <w:sz w:val="24"/>
        </w:rPr>
        <w:t xml:space="preserve">improved </w:t>
      </w:r>
      <w:r>
        <w:rPr>
          <w:rFonts w:eastAsiaTheme="minorEastAsia"/>
          <w:sz w:val="24"/>
        </w:rPr>
        <w:t>performance</w:t>
      </w:r>
      <w:r>
        <w:rPr>
          <w:rFonts w:hint="eastAsia" w:eastAsiaTheme="minorEastAsia"/>
          <w:sz w:val="24"/>
        </w:rPr>
        <w:t xml:space="preserve"> of many economies, and </w:t>
      </w:r>
      <w:r>
        <w:rPr>
          <w:rFonts w:eastAsiaTheme="minorEastAsia"/>
          <w:sz w:val="24"/>
        </w:rPr>
        <w:t xml:space="preserve">the </w:t>
      </w:r>
      <w:r>
        <w:rPr>
          <w:rFonts w:hint="eastAsia" w:eastAsiaTheme="minorEastAsia"/>
          <w:sz w:val="24"/>
        </w:rPr>
        <w:t xml:space="preserve">upward trend </w:t>
      </w:r>
      <w:r>
        <w:rPr>
          <w:rFonts w:eastAsiaTheme="minorEastAsia"/>
          <w:sz w:val="24"/>
        </w:rPr>
        <w:t>in</w:t>
      </w:r>
      <w:r>
        <w:rPr>
          <w:rFonts w:hint="eastAsia" w:eastAsiaTheme="minorEastAsia"/>
          <w:sz w:val="24"/>
        </w:rPr>
        <w:t xml:space="preserve"> commodity prices despite </w:t>
      </w:r>
      <w:r>
        <w:rPr>
          <w:rFonts w:eastAsiaTheme="minorEastAsia"/>
          <w:sz w:val="24"/>
        </w:rPr>
        <w:t>some</w:t>
      </w:r>
      <w:r>
        <w:rPr>
          <w:rFonts w:hint="eastAsia" w:eastAsiaTheme="minorEastAsia"/>
          <w:sz w:val="24"/>
        </w:rPr>
        <w:t xml:space="preserve"> fluctuations. </w:t>
      </w:r>
      <w:r>
        <w:rPr>
          <w:rFonts w:eastAsiaTheme="minorEastAsia"/>
          <w:sz w:val="24"/>
        </w:rPr>
        <w:t>The d</w:t>
      </w:r>
      <w:r>
        <w:rPr>
          <w:rFonts w:hint="eastAsia" w:eastAsiaTheme="minorEastAsia"/>
          <w:sz w:val="24"/>
        </w:rPr>
        <w:t xml:space="preserve">omestic economic performance is turning for the better among stable growth, and the corporate sector </w:t>
      </w:r>
      <w:r>
        <w:rPr>
          <w:rFonts w:eastAsiaTheme="minorEastAsia"/>
          <w:sz w:val="24"/>
        </w:rPr>
        <w:t xml:space="preserve">recently </w:t>
      </w:r>
      <w:r>
        <w:rPr>
          <w:rFonts w:hint="eastAsia" w:eastAsiaTheme="minorEastAsia"/>
          <w:sz w:val="24"/>
        </w:rPr>
        <w:t xml:space="preserve">made progress in reducing inventories, contributing to signs of </w:t>
      </w:r>
      <w:r>
        <w:rPr>
          <w:rFonts w:eastAsiaTheme="minorEastAsia"/>
          <w:sz w:val="24"/>
        </w:rPr>
        <w:t xml:space="preserve">a </w:t>
      </w:r>
      <w:r>
        <w:rPr>
          <w:rFonts w:hint="eastAsia" w:eastAsiaTheme="minorEastAsia"/>
          <w:sz w:val="24"/>
        </w:rPr>
        <w:t xml:space="preserve">recovery in the price of industrial products such as steel and coal. </w:t>
      </w:r>
      <w:r>
        <w:rPr>
          <w:rFonts w:eastAsiaTheme="minorEastAsia"/>
          <w:sz w:val="24"/>
        </w:rPr>
        <w:t>During</w:t>
      </w:r>
      <w:r>
        <w:rPr>
          <w:rFonts w:hint="eastAsia" w:eastAsiaTheme="minorEastAsia"/>
          <w:sz w:val="24"/>
        </w:rPr>
        <w:t xml:space="preserve"> the second quarter of 2017,</w:t>
      </w:r>
      <w:r>
        <w:rPr>
          <w:rFonts w:eastAsiaTheme="minorEastAsia"/>
          <w:sz w:val="24"/>
        </w:rPr>
        <w:t xml:space="preserve"> the </w:t>
      </w:r>
      <w:r>
        <w:rPr>
          <w:rFonts w:hint="eastAsia" w:eastAsiaTheme="minorEastAsia"/>
          <w:sz w:val="24"/>
        </w:rPr>
        <w:t>GDP deflator remained elevated at 3.9</w:t>
      </w:r>
      <w:r>
        <w:rPr>
          <w:rFonts w:eastAsiaTheme="minorEastAsia"/>
          <w:sz w:val="24"/>
        </w:rPr>
        <w:t xml:space="preserve"> percent</w:t>
      </w:r>
      <w:r>
        <w:rPr>
          <w:rFonts w:hint="eastAsia" w:eastAsiaTheme="minorEastAsia"/>
          <w:sz w:val="24"/>
        </w:rPr>
        <w:t xml:space="preserve">. Meanwhile, inflation in key economies remains subdued. </w:t>
      </w:r>
      <w:r>
        <w:rPr>
          <w:rFonts w:eastAsiaTheme="minorEastAsia"/>
          <w:sz w:val="24"/>
        </w:rPr>
        <w:t>D</w:t>
      </w:r>
      <w:r>
        <w:rPr>
          <w:rFonts w:hint="eastAsia" w:eastAsiaTheme="minorEastAsia"/>
          <w:sz w:val="24"/>
        </w:rPr>
        <w:t xml:space="preserve">omestic growth faces both upward and downward pressures, and the base effect may slow down </w:t>
      </w:r>
      <w:r>
        <w:rPr>
          <w:rFonts w:eastAsiaTheme="minorEastAsia"/>
          <w:sz w:val="24"/>
        </w:rPr>
        <w:t xml:space="preserve">the </w:t>
      </w:r>
      <w:r>
        <w:rPr>
          <w:rFonts w:hint="eastAsia" w:eastAsiaTheme="minorEastAsia"/>
          <w:sz w:val="24"/>
        </w:rPr>
        <w:t xml:space="preserve">year-on-year rise in inflation </w:t>
      </w:r>
      <w:r>
        <w:rPr>
          <w:rFonts w:eastAsiaTheme="minorEastAsia"/>
          <w:sz w:val="24"/>
        </w:rPr>
        <w:t>for</w:t>
      </w:r>
      <w:r>
        <w:rPr>
          <w:rFonts w:hint="eastAsia" w:eastAsiaTheme="minorEastAsia"/>
          <w:sz w:val="24"/>
        </w:rPr>
        <w:t xml:space="preserve"> the upcoming period. </w:t>
      </w:r>
      <w:r>
        <w:rPr>
          <w:rFonts w:eastAsiaTheme="minorEastAsia"/>
          <w:sz w:val="24"/>
        </w:rPr>
        <w:t>T</w:t>
      </w:r>
      <w:r>
        <w:rPr>
          <w:rFonts w:hint="eastAsia" w:eastAsiaTheme="minorEastAsia"/>
          <w:sz w:val="24"/>
        </w:rPr>
        <w:t>he above-mentioned factors amount to generally stable inflationary expectation</w:t>
      </w:r>
      <w:r>
        <w:rPr>
          <w:rFonts w:eastAsiaTheme="minorEastAsia"/>
          <w:sz w:val="24"/>
        </w:rPr>
        <w:t>s</w:t>
      </w:r>
      <w:r>
        <w:rPr>
          <w:rFonts w:hint="eastAsia" w:eastAsiaTheme="minorEastAsia"/>
          <w:sz w:val="24"/>
        </w:rPr>
        <w:t xml:space="preserve">. </w:t>
      </w:r>
      <w:r>
        <w:rPr>
          <w:rFonts w:eastAsia="Times New Roman"/>
          <w:sz w:val="24"/>
        </w:rPr>
        <w:t>According</w:t>
      </w:r>
      <w:r>
        <w:rPr>
          <w:rFonts w:hint="eastAsia" w:eastAsia="Times New Roman"/>
          <w:sz w:val="24"/>
        </w:rPr>
        <w:t xml:space="preserve"> </w:t>
      </w:r>
      <w:r>
        <w:rPr>
          <w:rFonts w:eastAsia="Times New Roman"/>
          <w:sz w:val="24"/>
        </w:rPr>
        <w:t>to</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i/>
          <w:iCs/>
          <w:sz w:val="24"/>
        </w:rPr>
        <w:t>Urban</w:t>
      </w:r>
      <w:r>
        <w:rPr>
          <w:rFonts w:hint="eastAsia" w:eastAsia="Times New Roman"/>
          <w:i/>
          <w:iCs/>
          <w:sz w:val="24"/>
        </w:rPr>
        <w:t xml:space="preserve"> </w:t>
      </w:r>
      <w:r>
        <w:rPr>
          <w:rFonts w:eastAsia="Times New Roman"/>
          <w:i/>
          <w:iCs/>
          <w:sz w:val="24"/>
        </w:rPr>
        <w:t>Depositors</w:t>
      </w:r>
      <w:r>
        <w:rPr>
          <w:rFonts w:hint="eastAsia" w:eastAsia="Times New Roman"/>
          <w:i/>
          <w:iCs/>
          <w:sz w:val="24"/>
        </w:rPr>
        <w:t xml:space="preserve">’ </w:t>
      </w:r>
      <w:r>
        <w:rPr>
          <w:rFonts w:eastAsia="Times New Roman"/>
          <w:i/>
          <w:iCs/>
          <w:sz w:val="24"/>
        </w:rPr>
        <w:t>Survey</w:t>
      </w:r>
      <w:r>
        <w:rPr>
          <w:rFonts w:hint="eastAsia" w:eastAsia="Times New Roman"/>
          <w:sz w:val="24"/>
        </w:rPr>
        <w:t xml:space="preserve"> </w:t>
      </w:r>
      <w:r>
        <w:rPr>
          <w:rFonts w:eastAsia="Times New Roman"/>
          <w:sz w:val="24"/>
        </w:rPr>
        <w:t>conducted</w:t>
      </w:r>
      <w:r>
        <w:rPr>
          <w:rFonts w:hint="eastAsia" w:eastAsia="Times New Roman"/>
          <w:sz w:val="24"/>
        </w:rPr>
        <w:t xml:space="preserve"> </w:t>
      </w:r>
      <w:r>
        <w:rPr>
          <w:rFonts w:eastAsia="Times New Roman"/>
          <w:sz w:val="24"/>
        </w:rPr>
        <w:t>by</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PBC</w:t>
      </w:r>
      <w:r>
        <w:rPr>
          <w:rFonts w:hint="eastAsia" w:eastAsiaTheme="minorEastAsia"/>
          <w:sz w:val="24"/>
        </w:rPr>
        <w:t xml:space="preserve"> in the second quarter of 2017, </w:t>
      </w:r>
      <w:r>
        <w:rPr>
          <w:rFonts w:eastAsia="Times New Roman"/>
          <w:sz w:val="24"/>
        </w:rPr>
        <w:t>the</w:t>
      </w:r>
      <w:r>
        <w:rPr>
          <w:rFonts w:hint="eastAsia" w:eastAsia="Times New Roman"/>
          <w:sz w:val="24"/>
        </w:rPr>
        <w:t xml:space="preserve"> </w:t>
      </w:r>
      <w:r>
        <w:rPr>
          <w:rFonts w:eastAsia="Times New Roman"/>
          <w:sz w:val="24"/>
        </w:rPr>
        <w:t>future</w:t>
      </w:r>
      <w:r>
        <w:rPr>
          <w:rFonts w:hint="eastAsia" w:eastAsia="Times New Roman"/>
          <w:sz w:val="24"/>
        </w:rPr>
        <w:t xml:space="preserve"> </w:t>
      </w:r>
      <w:r>
        <w:rPr>
          <w:rFonts w:eastAsia="Times New Roman"/>
          <w:sz w:val="24"/>
        </w:rPr>
        <w:t>price</w:t>
      </w:r>
      <w:r>
        <w:rPr>
          <w:rFonts w:hint="eastAsia" w:eastAsia="Times New Roman"/>
          <w:sz w:val="24"/>
        </w:rPr>
        <w:t xml:space="preserve"> </w:t>
      </w:r>
      <w:r>
        <w:rPr>
          <w:rFonts w:eastAsia="Times New Roman"/>
          <w:sz w:val="24"/>
        </w:rPr>
        <w:t>expectation</w:t>
      </w:r>
      <w:r>
        <w:rPr>
          <w:rFonts w:hint="eastAsia" w:eastAsia="Times New Roman"/>
          <w:sz w:val="24"/>
        </w:rPr>
        <w:t xml:space="preserve"> </w:t>
      </w:r>
      <w:r>
        <w:rPr>
          <w:rFonts w:eastAsia="Times New Roman"/>
          <w:sz w:val="24"/>
        </w:rPr>
        <w:t>index</w:t>
      </w:r>
      <w:r>
        <w:rPr>
          <w:rFonts w:hint="eastAsia" w:eastAsiaTheme="minorEastAsia"/>
          <w:sz w:val="24"/>
        </w:rPr>
        <w:t xml:space="preserve"> edged down by 0.2</w:t>
      </w:r>
      <w:r>
        <w:rPr>
          <w:rFonts w:hint="eastAsia" w:eastAsia="Times New Roman"/>
          <w:sz w:val="24"/>
        </w:rPr>
        <w:t xml:space="preserve"> </w:t>
      </w:r>
      <w:r>
        <w:rPr>
          <w:rFonts w:eastAsia="Times New Roman"/>
          <w:sz w:val="24"/>
        </w:rPr>
        <w:t>percentage</w:t>
      </w:r>
      <w:r>
        <w:rPr>
          <w:rFonts w:hint="eastAsia" w:eastAsia="Times New Roman"/>
          <w:sz w:val="24"/>
        </w:rPr>
        <w:t xml:space="preserve"> </w:t>
      </w:r>
      <w:r>
        <w:rPr>
          <w:rFonts w:eastAsia="Times New Roman"/>
          <w:sz w:val="24"/>
        </w:rPr>
        <w:t>point</w:t>
      </w:r>
      <w:r>
        <w:rPr>
          <w:rFonts w:hint="eastAsia" w:eastAsia="Times New Roman"/>
          <w:sz w:val="24"/>
        </w:rPr>
        <w:t xml:space="preserve"> </w:t>
      </w:r>
      <w:r>
        <w:rPr>
          <w:rFonts w:eastAsia="Times New Roman"/>
          <w:sz w:val="24"/>
        </w:rPr>
        <w:t>from</w:t>
      </w:r>
      <w:r>
        <w:rPr>
          <w:rFonts w:hint="eastAsia" w:eastAsia="Times New Roman"/>
          <w:sz w:val="24"/>
        </w:rPr>
        <w:t xml:space="preserve"> </w:t>
      </w:r>
      <w:r>
        <w:rPr>
          <w:rFonts w:eastAsia="Times New Roman"/>
          <w:sz w:val="24"/>
        </w:rPr>
        <w:t>the</w:t>
      </w:r>
      <w:r>
        <w:rPr>
          <w:rFonts w:hint="eastAsia" w:eastAsia="Times New Roman"/>
          <w:sz w:val="24"/>
        </w:rPr>
        <w:t xml:space="preserve"> </w:t>
      </w:r>
      <w:r>
        <w:rPr>
          <w:rFonts w:eastAsia="Times New Roman"/>
          <w:sz w:val="24"/>
        </w:rPr>
        <w:t>previous</w:t>
      </w:r>
      <w:r>
        <w:rPr>
          <w:rFonts w:hint="eastAsia" w:eastAsia="Times New Roman"/>
          <w:sz w:val="24"/>
        </w:rPr>
        <w:t xml:space="preserve"> </w:t>
      </w:r>
      <w:r>
        <w:rPr>
          <w:rFonts w:eastAsia="Times New Roman"/>
          <w:sz w:val="24"/>
        </w:rPr>
        <w:t>quarter</w:t>
      </w:r>
      <w:r>
        <w:rPr>
          <w:rFonts w:hint="eastAsia" w:eastAsiaTheme="minorEastAsia"/>
          <w:sz w:val="24"/>
        </w:rPr>
        <w:t>. Continued monitoring</w:t>
      </w:r>
      <w:r>
        <w:rPr>
          <w:rFonts w:eastAsiaTheme="minorEastAsia"/>
          <w:sz w:val="24"/>
        </w:rPr>
        <w:t xml:space="preserve"> </w:t>
      </w:r>
      <w:r>
        <w:rPr>
          <w:rFonts w:hint="eastAsia" w:eastAsiaTheme="minorEastAsia"/>
          <w:sz w:val="24"/>
        </w:rPr>
        <w:t xml:space="preserve">of potential uncertainties and changes in the future is warranted. </w:t>
      </w:r>
    </w:p>
    <w:p>
      <w:pPr>
        <w:rPr>
          <w:rFonts w:eastAsiaTheme="minorEastAsia"/>
          <w:sz w:val="24"/>
        </w:rPr>
      </w:pPr>
    </w:p>
    <w:p>
      <w:pPr>
        <w:keepNext/>
        <w:keepLines/>
        <w:spacing w:before="20" w:after="20"/>
        <w:outlineLvl w:val="1"/>
        <w:rPr>
          <w:rFonts w:eastAsia="仿宋_GB2312"/>
          <w:b/>
          <w:bCs/>
          <w:sz w:val="24"/>
        </w:rPr>
      </w:pPr>
      <w:bookmarkStart w:id="164" w:name="_Toc492904391"/>
      <w:r>
        <w:rPr>
          <w:rFonts w:eastAsia="仿宋_GB2312"/>
          <w:b/>
          <w:bCs/>
          <w:sz w:val="24"/>
        </w:rPr>
        <w:t>II. Monetary Policy during the Next Stage</w:t>
      </w:r>
      <w:bookmarkEnd w:id="159"/>
      <w:bookmarkEnd w:id="160"/>
      <w:bookmarkEnd w:id="164"/>
    </w:p>
    <w:p>
      <w:pPr>
        <w:rPr>
          <w:sz w:val="24"/>
        </w:rPr>
      </w:pPr>
    </w:p>
    <w:p>
      <w:pPr>
        <w:rPr>
          <w:sz w:val="24"/>
        </w:rPr>
      </w:pPr>
      <w:r>
        <w:rPr>
          <w:rFonts w:hint="eastAsia"/>
          <w:sz w:val="24"/>
        </w:rPr>
        <w:t>The PBC will earnestly implement the decisions of the Central Economic Work Conference and the National Financial Work Conference. According to the strategic arrangements of the Central Committee of the Communist Party of China and the State Council, the PBC will adhere to the guideline of seeking progress while maintaining stability and to the overall principle of stable macro policies and flexible micro policies. Centering on the three main tasks of serving the real economy, preventing financial risks</w:t>
      </w:r>
      <w:r>
        <w:rPr>
          <w:sz w:val="24"/>
        </w:rPr>
        <w:t>,</w:t>
      </w:r>
      <w:r>
        <w:rPr>
          <w:rFonts w:hint="eastAsia"/>
          <w:sz w:val="24"/>
        </w:rPr>
        <w:t xml:space="preserve"> and deepening</w:t>
      </w:r>
      <w:r>
        <w:rPr>
          <w:sz w:val="24"/>
        </w:rPr>
        <w:t xml:space="preserve"> the</w:t>
      </w:r>
      <w:r>
        <w:rPr>
          <w:rFonts w:hint="eastAsia"/>
          <w:sz w:val="24"/>
        </w:rPr>
        <w:t xml:space="preserve"> financial reforms, the PBC will be innovative in thinking and methodology in</w:t>
      </w:r>
      <w:r>
        <w:rPr>
          <w:sz w:val="24"/>
        </w:rPr>
        <w:t xml:space="preserve"> terms of</w:t>
      </w:r>
      <w:r>
        <w:rPr>
          <w:rFonts w:hint="eastAsia"/>
          <w:sz w:val="24"/>
        </w:rPr>
        <w:t xml:space="preserve"> </w:t>
      </w:r>
      <w:r>
        <w:rPr>
          <w:sz w:val="24"/>
        </w:rPr>
        <w:t xml:space="preserve">its </w:t>
      </w:r>
      <w:r>
        <w:rPr>
          <w:rFonts w:hint="eastAsia"/>
          <w:sz w:val="24"/>
        </w:rPr>
        <w:t xml:space="preserve">policy design and conduct, and </w:t>
      </w:r>
      <w:r>
        <w:rPr>
          <w:sz w:val="24"/>
        </w:rPr>
        <w:t xml:space="preserve">it </w:t>
      </w:r>
      <w:r>
        <w:rPr>
          <w:rFonts w:hint="eastAsia"/>
          <w:sz w:val="24"/>
        </w:rPr>
        <w:t xml:space="preserve">will </w:t>
      </w:r>
      <w:r>
        <w:rPr>
          <w:sz w:val="24"/>
        </w:rPr>
        <w:t>maintain</w:t>
      </w:r>
      <w:r>
        <w:rPr>
          <w:rFonts w:hint="eastAsia"/>
          <w:sz w:val="24"/>
        </w:rPr>
        <w:t xml:space="preserve"> policy consistency and stability. The PBC</w:t>
      </w:r>
      <w:r>
        <w:rPr>
          <w:sz w:val="24"/>
        </w:rPr>
        <w:t xml:space="preserve"> </w:t>
      </w:r>
      <w:r>
        <w:rPr>
          <w:rFonts w:hint="eastAsia"/>
          <w:sz w:val="24"/>
        </w:rPr>
        <w:t xml:space="preserve">will implement </w:t>
      </w:r>
      <w:r>
        <w:rPr>
          <w:sz w:val="24"/>
        </w:rPr>
        <w:t xml:space="preserve">a </w:t>
      </w:r>
      <w:r>
        <w:rPr>
          <w:rFonts w:hint="eastAsia"/>
          <w:sz w:val="24"/>
        </w:rPr>
        <w:t>prudent and neutral monetary policy</w:t>
      </w:r>
      <w:r>
        <w:rPr>
          <w:sz w:val="24"/>
        </w:rPr>
        <w:t xml:space="preserve"> and</w:t>
      </w:r>
      <w:r>
        <w:rPr>
          <w:rFonts w:hint="eastAsia"/>
          <w:sz w:val="24"/>
        </w:rPr>
        <w:t xml:space="preserve"> </w:t>
      </w:r>
      <w:r>
        <w:rPr>
          <w:sz w:val="24"/>
        </w:rPr>
        <w:t xml:space="preserve">will </w:t>
      </w:r>
      <w:r>
        <w:rPr>
          <w:rFonts w:hint="eastAsia"/>
          <w:sz w:val="24"/>
        </w:rPr>
        <w:t xml:space="preserve">ensure that policy measures are better targeted and more effective </w:t>
      </w:r>
      <w:r>
        <w:rPr>
          <w:sz w:val="24"/>
        </w:rPr>
        <w:t xml:space="preserve">so as </w:t>
      </w:r>
      <w:r>
        <w:rPr>
          <w:rFonts w:hint="eastAsia"/>
          <w:sz w:val="24"/>
        </w:rPr>
        <w:t xml:space="preserve">to manage aggregate demand in the supply-side structural reforms and to create </w:t>
      </w:r>
      <w:r>
        <w:rPr>
          <w:sz w:val="24"/>
        </w:rPr>
        <w:t xml:space="preserve">a </w:t>
      </w:r>
      <w:r>
        <w:rPr>
          <w:rFonts w:hint="eastAsia"/>
          <w:sz w:val="24"/>
        </w:rPr>
        <w:t>neutral and proper monetary and financial environment</w:t>
      </w:r>
      <w:r>
        <w:rPr>
          <w:sz w:val="24"/>
        </w:rPr>
        <w:t>s</w:t>
      </w:r>
      <w:r>
        <w:rPr>
          <w:rFonts w:hint="eastAsia"/>
          <w:sz w:val="24"/>
        </w:rPr>
        <w:t xml:space="preserve"> for </w:t>
      </w:r>
      <w:r>
        <w:rPr>
          <w:sz w:val="24"/>
        </w:rPr>
        <w:t xml:space="preserve">the </w:t>
      </w:r>
      <w:r>
        <w:rPr>
          <w:rFonts w:hint="eastAsia"/>
          <w:sz w:val="24"/>
        </w:rPr>
        <w:t>structural reforms</w:t>
      </w:r>
      <w:r>
        <w:rPr>
          <w:sz w:val="24"/>
        </w:rPr>
        <w:t>.</w:t>
      </w:r>
      <w:r>
        <w:rPr>
          <w:rFonts w:hint="eastAsia"/>
          <w:sz w:val="24"/>
        </w:rPr>
        <w:t xml:space="preserve"> Greater emphasis will be placed on reform</w:t>
      </w:r>
      <w:r>
        <w:rPr>
          <w:sz w:val="24"/>
        </w:rPr>
        <w:t>s</w:t>
      </w:r>
      <w:r>
        <w:rPr>
          <w:rFonts w:hint="eastAsia"/>
          <w:sz w:val="24"/>
        </w:rPr>
        <w:t xml:space="preserve"> and innovation</w:t>
      </w:r>
      <w:r>
        <w:rPr>
          <w:sz w:val="24"/>
        </w:rPr>
        <w:t>s</w:t>
      </w:r>
      <w:r>
        <w:rPr>
          <w:rFonts w:hint="eastAsia"/>
          <w:sz w:val="24"/>
        </w:rPr>
        <w:t xml:space="preserve"> as well as </w:t>
      </w:r>
      <w:r>
        <w:rPr>
          <w:sz w:val="24"/>
        </w:rPr>
        <w:t xml:space="preserve">on </w:t>
      </w:r>
      <w:r>
        <w:rPr>
          <w:rFonts w:hint="eastAsia"/>
          <w:sz w:val="24"/>
        </w:rPr>
        <w:t xml:space="preserve">measures to integrate </w:t>
      </w:r>
      <w:r>
        <w:rPr>
          <w:sz w:val="24"/>
        </w:rPr>
        <w:t xml:space="preserve">the </w:t>
      </w:r>
      <w:r>
        <w:rPr>
          <w:rFonts w:hint="eastAsia"/>
          <w:sz w:val="24"/>
        </w:rPr>
        <w:t>reforms with macro adjustments, to combine monetary</w:t>
      </w:r>
      <w:r>
        <w:rPr>
          <w:rFonts w:hint="eastAsia" w:eastAsiaTheme="minorEastAsia"/>
          <w:sz w:val="24"/>
        </w:rPr>
        <w:t xml:space="preserve"> </w:t>
      </w:r>
      <w:r>
        <w:rPr>
          <w:rFonts w:hint="eastAsia"/>
          <w:sz w:val="24"/>
        </w:rPr>
        <w:t xml:space="preserve">policy conduct with the deepening of </w:t>
      </w:r>
      <w:r>
        <w:rPr>
          <w:sz w:val="24"/>
        </w:rPr>
        <w:t xml:space="preserve">the </w:t>
      </w:r>
      <w:r>
        <w:rPr>
          <w:rFonts w:hint="eastAsia"/>
          <w:sz w:val="24"/>
        </w:rPr>
        <w:t>reforms, and to enable the market to play a decisive role in resource allocation</w:t>
      </w:r>
      <w:r>
        <w:rPr>
          <w:sz w:val="24"/>
        </w:rPr>
        <w:t>s</w:t>
      </w:r>
      <w:r>
        <w:rPr>
          <w:rFonts w:hint="eastAsia"/>
          <w:sz w:val="24"/>
        </w:rPr>
        <w:t>. The mode of monetary policy conduct will be improved to shift to the use of price instruments and transmission</w:t>
      </w:r>
      <w:r>
        <w:rPr>
          <w:sz w:val="24"/>
        </w:rPr>
        <w:t>s</w:t>
      </w:r>
      <w:r>
        <w:rPr>
          <w:rFonts w:hint="eastAsia"/>
          <w:sz w:val="24"/>
        </w:rPr>
        <w:t xml:space="preserve">, to improve </w:t>
      </w:r>
      <w:r>
        <w:rPr>
          <w:sz w:val="24"/>
        </w:rPr>
        <w:t xml:space="preserve">the </w:t>
      </w:r>
      <w:r>
        <w:rPr>
          <w:rFonts w:hint="eastAsia"/>
          <w:sz w:val="24"/>
        </w:rPr>
        <w:t>macro-prudential policy framework,</w:t>
      </w:r>
      <w:r>
        <w:rPr>
          <w:sz w:val="24"/>
        </w:rPr>
        <w:t xml:space="preserve"> and</w:t>
      </w:r>
      <w:r>
        <w:rPr>
          <w:rFonts w:hint="eastAsia"/>
          <w:sz w:val="24"/>
        </w:rPr>
        <w:t xml:space="preserve"> to straighten out </w:t>
      </w:r>
      <w:r>
        <w:rPr>
          <w:sz w:val="24"/>
        </w:rPr>
        <w:t xml:space="preserve">the </w:t>
      </w:r>
      <w:r>
        <w:rPr>
          <w:rFonts w:hint="eastAsia"/>
          <w:sz w:val="24"/>
        </w:rPr>
        <w:t>policy transmission channels and mechanism</w:t>
      </w:r>
      <w:r>
        <w:rPr>
          <w:sz w:val="24"/>
        </w:rPr>
        <w:t>s</w:t>
      </w:r>
      <w:r>
        <w:rPr>
          <w:rFonts w:hint="eastAsia"/>
          <w:sz w:val="24"/>
        </w:rPr>
        <w:t xml:space="preserve">. </w:t>
      </w:r>
      <w:r>
        <w:rPr>
          <w:sz w:val="24"/>
        </w:rPr>
        <w:t>Efforts will also be made</w:t>
      </w:r>
      <w:r>
        <w:rPr>
          <w:rFonts w:hint="eastAsia"/>
          <w:sz w:val="24"/>
        </w:rPr>
        <w:t xml:space="preserve"> to beef up the real economy while curbing the excessive activities of the fictitious economy</w:t>
      </w:r>
      <w:r>
        <w:rPr>
          <w:sz w:val="24"/>
        </w:rPr>
        <w:t>, to focus</w:t>
      </w:r>
      <w:r>
        <w:rPr>
          <w:rFonts w:hint="eastAsia"/>
          <w:sz w:val="24"/>
        </w:rPr>
        <w:t xml:space="preserve"> on </w:t>
      </w:r>
      <w:r>
        <w:rPr>
          <w:sz w:val="24"/>
        </w:rPr>
        <w:t>financial</w:t>
      </w:r>
      <w:r>
        <w:rPr>
          <w:rFonts w:hint="eastAsia"/>
          <w:sz w:val="24"/>
        </w:rPr>
        <w:t xml:space="preserve"> risk management, </w:t>
      </w:r>
      <w:r>
        <w:rPr>
          <w:sz w:val="24"/>
        </w:rPr>
        <w:t xml:space="preserve">to </w:t>
      </w:r>
      <w:r>
        <w:rPr>
          <w:rFonts w:hint="eastAsia"/>
          <w:sz w:val="24"/>
        </w:rPr>
        <w:t xml:space="preserve">strengthen coordination of financial regulation, </w:t>
      </w:r>
      <w:r>
        <w:rPr>
          <w:sz w:val="24"/>
        </w:rPr>
        <w:t xml:space="preserve">to </w:t>
      </w:r>
      <w:r>
        <w:rPr>
          <w:rFonts w:hint="eastAsia"/>
          <w:sz w:val="24"/>
        </w:rPr>
        <w:t>enhance the efficiency and quality of financial service</w:t>
      </w:r>
      <w:r>
        <w:rPr>
          <w:sz w:val="24"/>
        </w:rPr>
        <w:t>s</w:t>
      </w:r>
      <w:r>
        <w:rPr>
          <w:rFonts w:hint="eastAsia"/>
          <w:sz w:val="24"/>
        </w:rPr>
        <w:t xml:space="preserve"> in support of the real economy, and to </w:t>
      </w:r>
      <w:r>
        <w:rPr>
          <w:sz w:val="24"/>
        </w:rPr>
        <w:t>safeguard the bottom line of preventing systemic financial risks</w:t>
      </w:r>
      <w:r>
        <w:rPr>
          <w:rFonts w:hint="eastAsia"/>
          <w:sz w:val="24"/>
        </w:rPr>
        <w:t>.</w:t>
      </w:r>
    </w:p>
    <w:p>
      <w:pPr>
        <w:rPr>
          <w:sz w:val="24"/>
        </w:rPr>
      </w:pPr>
    </w:p>
    <w:p>
      <w:pPr>
        <w:rPr>
          <w:sz w:val="24"/>
        </w:rPr>
      </w:pPr>
      <w:r>
        <w:rPr>
          <w:sz w:val="24"/>
        </w:rPr>
        <w:t xml:space="preserve">First, aggregates will be kept at a stable level while a combination of price tools, quantity-based tools, and macro-prudential policies will be adopted </w:t>
      </w:r>
      <w:r>
        <w:rPr>
          <w:rFonts w:eastAsiaTheme="minorEastAsia"/>
          <w:sz w:val="24"/>
        </w:rPr>
        <w:t xml:space="preserve">to enhance </w:t>
      </w:r>
      <w:r>
        <w:rPr>
          <w:sz w:val="24"/>
        </w:rPr>
        <w:t>preemptive adjustments</w:t>
      </w:r>
      <w:r>
        <w:rPr>
          <w:rFonts w:eastAsiaTheme="minorEastAsia"/>
        </w:rPr>
        <w:t xml:space="preserve"> </w:t>
      </w:r>
      <w:r>
        <w:rPr>
          <w:rFonts w:eastAsiaTheme="minorEastAsia"/>
          <w:sz w:val="24"/>
        </w:rPr>
        <w:t xml:space="preserve">and fine-tunings and to properly manage the supply of money. In view of the changes in how money is supplied and the financial innovations, the PBC will closely monitor the potential impact of changes in the domestic and international liquidity situations, more precisely monitor the actual financing flows in the economy, employ a number of flexible monetary policy instruments, </w:t>
      </w:r>
      <w:r>
        <w:rPr>
          <w:sz w:val="24"/>
        </w:rPr>
        <w:t>and arrange a combination of instruments in properly paced operations to “</w:t>
      </w:r>
      <w:r>
        <w:rPr>
          <w:rFonts w:hint="eastAsia"/>
          <w:sz w:val="24"/>
        </w:rPr>
        <w:t xml:space="preserve">shave </w:t>
      </w:r>
      <w:r>
        <w:rPr>
          <w:sz w:val="24"/>
        </w:rPr>
        <w:t>off mountain peak</w:t>
      </w:r>
      <w:r>
        <w:rPr>
          <w:rFonts w:hint="eastAsia"/>
          <w:sz w:val="24"/>
        </w:rPr>
        <w:t>s</w:t>
      </w:r>
      <w:r>
        <w:rPr>
          <w:sz w:val="24"/>
        </w:rPr>
        <w:t xml:space="preserve"> and to </w:t>
      </w:r>
      <w:r>
        <w:rPr>
          <w:rFonts w:hint="eastAsia"/>
          <w:sz w:val="24"/>
        </w:rPr>
        <w:t>fill valleys</w:t>
      </w:r>
      <w:r>
        <w:rPr>
          <w:sz w:val="24"/>
        </w:rPr>
        <w:t>”</w:t>
      </w:r>
      <w:r>
        <w:rPr>
          <w:rFonts w:hint="eastAsia"/>
          <w:sz w:val="24"/>
        </w:rPr>
        <w:t xml:space="preserve"> in liquidity </w:t>
      </w:r>
      <w:r>
        <w:rPr>
          <w:sz w:val="24"/>
        </w:rPr>
        <w:t xml:space="preserve">so as </w:t>
      </w:r>
      <w:r>
        <w:rPr>
          <w:rFonts w:hint="eastAsia"/>
          <w:sz w:val="24"/>
        </w:rPr>
        <w:t>to maintain its stability</w:t>
      </w:r>
      <w:r>
        <w:rPr>
          <w:sz w:val="24"/>
        </w:rPr>
        <w:t xml:space="preserve"> </w:t>
      </w:r>
      <w:r>
        <w:rPr>
          <w:rFonts w:hint="eastAsia"/>
          <w:sz w:val="24"/>
        </w:rPr>
        <w:t xml:space="preserve">and </w:t>
      </w:r>
      <w:r>
        <w:rPr>
          <w:sz w:val="24"/>
        </w:rPr>
        <w:t>to strike</w:t>
      </w:r>
      <w:r>
        <w:rPr>
          <w:rFonts w:hint="eastAsia"/>
          <w:sz w:val="24"/>
        </w:rPr>
        <w:t xml:space="preserve"> a balance between growth stabilization, structural adjustment</w:t>
      </w:r>
      <w:r>
        <w:rPr>
          <w:sz w:val="24"/>
        </w:rPr>
        <w:t>s,</w:t>
      </w:r>
      <w:r>
        <w:rPr>
          <w:rFonts w:hint="eastAsia"/>
          <w:sz w:val="24"/>
        </w:rPr>
        <w:t xml:space="preserve"> and aggregate management. </w:t>
      </w:r>
      <w:r>
        <w:rPr>
          <w:sz w:val="24"/>
        </w:rPr>
        <w:t xml:space="preserve">Macro-prudential management will be enhanced through effective macro-prudential assessments, and explorations will be conducted to include </w:t>
      </w:r>
      <w:r>
        <w:rPr>
          <w:rFonts w:hint="eastAsia"/>
          <w:sz w:val="24"/>
        </w:rPr>
        <w:t xml:space="preserve">more </w:t>
      </w:r>
      <w:r>
        <w:rPr>
          <w:sz w:val="24"/>
        </w:rPr>
        <w:t xml:space="preserve">financial activities and financial markets in </w:t>
      </w:r>
      <w:r>
        <w:rPr>
          <w:rFonts w:hint="eastAsia"/>
          <w:sz w:val="24"/>
        </w:rPr>
        <w:t xml:space="preserve">the framework of </w:t>
      </w:r>
      <w:r>
        <w:rPr>
          <w:sz w:val="24"/>
        </w:rPr>
        <w:t>macro-prudential management</w:t>
      </w:r>
      <w:r>
        <w:rPr>
          <w:rFonts w:hint="eastAsia"/>
          <w:sz w:val="24"/>
        </w:rPr>
        <w:t xml:space="preserve">. </w:t>
      </w:r>
      <w:r>
        <w:rPr>
          <w:sz w:val="24"/>
        </w:rPr>
        <w:t>I</w:t>
      </w:r>
      <w:r>
        <w:rPr>
          <w:rFonts w:hint="eastAsia"/>
          <w:sz w:val="24"/>
        </w:rPr>
        <w:t xml:space="preserve">n order to better capture </w:t>
      </w:r>
      <w:r>
        <w:rPr>
          <w:sz w:val="24"/>
        </w:rPr>
        <w:t xml:space="preserve">the dependence of </w:t>
      </w:r>
      <w:r>
        <w:rPr>
          <w:rFonts w:hint="eastAsia"/>
          <w:sz w:val="24"/>
        </w:rPr>
        <w:t xml:space="preserve">financial institutions on inter-bank financing and to guide </w:t>
      </w:r>
      <w:r>
        <w:rPr>
          <w:sz w:val="24"/>
        </w:rPr>
        <w:t xml:space="preserve">the </w:t>
      </w:r>
      <w:r>
        <w:rPr>
          <w:rFonts w:hint="eastAsia"/>
          <w:sz w:val="24"/>
        </w:rPr>
        <w:t xml:space="preserve">liquidity management of financial institutions, beginning from the first quarter </w:t>
      </w:r>
      <w:r>
        <w:rPr>
          <w:sz w:val="24"/>
        </w:rPr>
        <w:t>of 2</w:t>
      </w:r>
      <w:r>
        <w:rPr>
          <w:rFonts w:hint="eastAsia"/>
          <w:sz w:val="24"/>
        </w:rPr>
        <w:t>018 inter-bank CD</w:t>
      </w:r>
      <w:r>
        <w:rPr>
          <w:sz w:val="24"/>
        </w:rPr>
        <w:t>s</w:t>
      </w:r>
      <w:r>
        <w:rPr>
          <w:rFonts w:hint="eastAsia"/>
          <w:sz w:val="24"/>
        </w:rPr>
        <w:t xml:space="preserve"> </w:t>
      </w:r>
      <w:r>
        <w:rPr>
          <w:sz w:val="24"/>
        </w:rPr>
        <w:t>with</w:t>
      </w:r>
      <w:r>
        <w:rPr>
          <w:rFonts w:hint="eastAsia"/>
          <w:sz w:val="24"/>
        </w:rPr>
        <w:t xml:space="preserve"> maturities </w:t>
      </w:r>
      <w:r>
        <w:rPr>
          <w:sz w:val="24"/>
        </w:rPr>
        <w:t xml:space="preserve">of </w:t>
      </w:r>
      <w:r>
        <w:rPr>
          <w:rFonts w:hint="eastAsia"/>
          <w:sz w:val="24"/>
        </w:rPr>
        <w:t xml:space="preserve">less than one year issued by banks with assets </w:t>
      </w:r>
      <w:r>
        <w:rPr>
          <w:sz w:val="24"/>
        </w:rPr>
        <w:t>of more</w:t>
      </w:r>
      <w:r>
        <w:rPr>
          <w:rFonts w:hint="eastAsia"/>
          <w:sz w:val="24"/>
        </w:rPr>
        <w:t xml:space="preserve"> than RMB 500 billion will be included in the inter-bank liabilities indicator </w:t>
      </w:r>
      <w:r>
        <w:rPr>
          <w:sz w:val="24"/>
        </w:rPr>
        <w:t>of the</w:t>
      </w:r>
      <w:r>
        <w:rPr>
          <w:rFonts w:hint="eastAsia"/>
          <w:sz w:val="24"/>
        </w:rPr>
        <w:t xml:space="preserve"> macro</w:t>
      </w:r>
      <w:r>
        <w:rPr>
          <w:sz w:val="24"/>
        </w:rPr>
        <w:t>-</w:t>
      </w:r>
      <w:r>
        <w:rPr>
          <w:rFonts w:hint="eastAsia"/>
          <w:sz w:val="24"/>
        </w:rPr>
        <w:t>prudential assessment. Other banks will be monitored on a continuous basis and relevant requirements will be put forward when appropriate.</w:t>
      </w:r>
    </w:p>
    <w:p>
      <w:pPr>
        <w:rPr>
          <w:sz w:val="24"/>
        </w:rPr>
      </w:pPr>
    </w:p>
    <w:p>
      <w:pPr>
        <w:rPr>
          <w:rFonts w:eastAsia="楷体_GB2312"/>
          <w:sz w:val="24"/>
        </w:rPr>
      </w:pPr>
      <w:r>
        <w:rPr>
          <w:rFonts w:eastAsia="楷体_GB2312"/>
          <w:sz w:val="24"/>
        </w:rPr>
        <w:t xml:space="preserve">Second, measures will be adopted to facilitate structural optimization to support economic structural adjustments, transformation, and upgrading. </w:t>
      </w:r>
      <w:r>
        <w:rPr>
          <w:rFonts w:hint="eastAsia" w:eastAsia="楷体_GB2312"/>
          <w:sz w:val="24"/>
        </w:rPr>
        <w:t>In a bid to provide more efficient and better</w:t>
      </w:r>
      <w:r>
        <w:rPr>
          <w:rFonts w:eastAsia="楷体_GB2312"/>
          <w:sz w:val="24"/>
        </w:rPr>
        <w:t>-</w:t>
      </w:r>
      <w:r>
        <w:rPr>
          <w:rFonts w:hint="eastAsia" w:eastAsia="楷体_GB2312"/>
          <w:sz w:val="24"/>
        </w:rPr>
        <w:t>quality financial service</w:t>
      </w:r>
      <w:r>
        <w:rPr>
          <w:rFonts w:eastAsia="楷体_GB2312"/>
          <w:sz w:val="24"/>
        </w:rPr>
        <w:t>s</w:t>
      </w:r>
      <w:r>
        <w:rPr>
          <w:rFonts w:hint="eastAsia" w:eastAsia="楷体_GB2312"/>
          <w:sz w:val="24"/>
        </w:rPr>
        <w:t xml:space="preserve"> to the real economy, continued efforts will be made to optimize the direction and structure of liquidity, reinforce the role of credit policy, promote supply-side structural reform</w:t>
      </w:r>
      <w:r>
        <w:rPr>
          <w:rFonts w:eastAsia="楷体_GB2312"/>
          <w:sz w:val="24"/>
        </w:rPr>
        <w:t>s</w:t>
      </w:r>
      <w:r>
        <w:rPr>
          <w:rFonts w:hint="eastAsia" w:eastAsia="楷体_GB2312"/>
          <w:sz w:val="24"/>
        </w:rPr>
        <w:t>, channel more financial resources to key areas and weak links in economic and social development, facilitate financing</w:t>
      </w:r>
      <w:r>
        <w:rPr>
          <w:rFonts w:eastAsia="楷体_GB2312"/>
          <w:sz w:val="24"/>
        </w:rPr>
        <w:t>,</w:t>
      </w:r>
      <w:r>
        <w:rPr>
          <w:rFonts w:hint="eastAsia" w:eastAsia="楷体_GB2312"/>
          <w:sz w:val="24"/>
        </w:rPr>
        <w:t xml:space="preserve"> and lower cost</w:t>
      </w:r>
      <w:r>
        <w:rPr>
          <w:rFonts w:eastAsia="楷体_GB2312"/>
          <w:sz w:val="24"/>
        </w:rPr>
        <w:t>s</w:t>
      </w:r>
      <w:r>
        <w:rPr>
          <w:rFonts w:hint="eastAsia" w:eastAsia="楷体_GB2312"/>
          <w:sz w:val="24"/>
        </w:rPr>
        <w:t xml:space="preserve"> </w:t>
      </w:r>
      <w:r>
        <w:rPr>
          <w:rFonts w:eastAsia="楷体_GB2312"/>
          <w:sz w:val="24"/>
        </w:rPr>
        <w:t>in</w:t>
      </w:r>
      <w:r>
        <w:rPr>
          <w:rFonts w:hint="eastAsia" w:eastAsia="楷体_GB2312"/>
          <w:sz w:val="24"/>
        </w:rPr>
        <w:t xml:space="preserve"> the real economy. Continued s</w:t>
      </w:r>
      <w:r>
        <w:rPr>
          <w:rFonts w:eastAsia="楷体_GB2312"/>
          <w:sz w:val="24"/>
        </w:rPr>
        <w:t>upport will be given to growth stabilization, structural adjustments, and efficiency improvements in the various industries. Financial services will be provided to support the endeavor to turn China into a manufacturing power. Financial services will be provided earnestly for capacity reductions in the iron, steel, and coal and thermal power industries. Financial services will be delivered on a continuous basis for infrastructure building and for the upgrading and transformation of key areas and industries, such as railways and shipbuilding. Greater financial support will be provided to major national strategies, such as the coordinated development of Beijing, Tianjin, and Hebei, and to emerging consumption, such as elderly care.</w:t>
      </w:r>
      <w:r>
        <w:rPr>
          <w:rFonts w:hint="eastAsia" w:eastAsia="楷体_GB2312"/>
          <w:sz w:val="24"/>
        </w:rPr>
        <w:t xml:space="preserve"> </w:t>
      </w:r>
      <w:r>
        <w:rPr>
          <w:rFonts w:eastAsia="楷体_GB2312"/>
          <w:sz w:val="24"/>
        </w:rPr>
        <w:t xml:space="preserve">Based on market principles and in accordance with the sustainability and the principle of mutual benefit, a variety of financing </w:t>
      </w:r>
      <w:r>
        <w:rPr>
          <w:rFonts w:hint="eastAsia" w:eastAsia="楷体_GB2312"/>
          <w:sz w:val="24"/>
        </w:rPr>
        <w:t xml:space="preserve">and investment </w:t>
      </w:r>
      <w:r>
        <w:rPr>
          <w:rFonts w:eastAsia="楷体_GB2312"/>
          <w:sz w:val="24"/>
        </w:rPr>
        <w:t>will be used to provide financial support for the Belt and Road Initiative. Quality financial services will be provided to new types of entities in the agricultural sector, the pilot program of collateralized lending by contracted farmland operational rights and rural home property rights will be advanced. Financial institutions will be guided to beef up support for agricultural infrastructure, integration of the primary, secondary and tertiary industries, urbanization and other key areas, and to strictly limit credit flows for speculative home purchases.</w:t>
      </w:r>
      <w:r>
        <w:rPr>
          <w:rFonts w:hint="eastAsia" w:eastAsia="楷体_GB2312"/>
          <w:sz w:val="24"/>
        </w:rPr>
        <w:t xml:space="preserve"> </w:t>
      </w:r>
      <w:r>
        <w:rPr>
          <w:rFonts w:eastAsia="楷体_GB2312"/>
          <w:sz w:val="24"/>
        </w:rPr>
        <w:t xml:space="preserve">Monetary and credit policy support will be improved for financial inclusion, and the role of credit policy to support central-bank lending, various policy parameters of macro-prudential assessments, </w:t>
      </w:r>
      <w:r>
        <w:rPr>
          <w:rFonts w:hint="eastAsia" w:eastAsia="楷体_GB2312"/>
          <w:sz w:val="24"/>
        </w:rPr>
        <w:t xml:space="preserve">and </w:t>
      </w:r>
      <w:r>
        <w:rPr>
          <w:rFonts w:eastAsia="楷体_GB2312"/>
          <w:sz w:val="24"/>
        </w:rPr>
        <w:t>credit policy assessments will be tapped to provide positive incentives and guides to the financial inclusion</w:t>
      </w:r>
      <w:r>
        <w:rPr>
          <w:rFonts w:hint="eastAsia" w:eastAsia="楷体_GB2312"/>
          <w:sz w:val="24"/>
        </w:rPr>
        <w:t xml:space="preserve"> business so as to improve financial services for small and micro enterprises, rural areas, </w:t>
      </w:r>
      <w:r>
        <w:rPr>
          <w:rFonts w:eastAsia="楷体_GB2312"/>
          <w:sz w:val="24"/>
        </w:rPr>
        <w:t>agriculture</w:t>
      </w:r>
      <w:r>
        <w:rPr>
          <w:rFonts w:hint="eastAsia" w:eastAsia="楷体_GB2312"/>
          <w:sz w:val="24"/>
        </w:rPr>
        <w:t>, farmers</w:t>
      </w:r>
      <w:r>
        <w:rPr>
          <w:rFonts w:eastAsia="楷体_GB2312"/>
          <w:sz w:val="24"/>
        </w:rPr>
        <w:t>,</w:t>
      </w:r>
      <w:r>
        <w:rPr>
          <w:rFonts w:hint="eastAsia" w:eastAsia="楷体_GB2312"/>
          <w:sz w:val="24"/>
        </w:rPr>
        <w:t xml:space="preserve"> and remote regions. </w:t>
      </w:r>
      <w:r>
        <w:rPr>
          <w:rFonts w:eastAsia="楷体_GB2312"/>
          <w:sz w:val="24"/>
        </w:rPr>
        <w:t xml:space="preserve">The financial sector participation mechanism for poverty alleviation will be improved through an assessment of the effects of targeted poverty reduction and the establishment of </w:t>
      </w:r>
      <w:r>
        <w:rPr>
          <w:rFonts w:hint="eastAsia" w:eastAsia="楷体_GB2312"/>
          <w:sz w:val="24"/>
        </w:rPr>
        <w:t>demonstration</w:t>
      </w:r>
      <w:r>
        <w:rPr>
          <w:rFonts w:eastAsia="楷体_GB2312"/>
          <w:sz w:val="24"/>
        </w:rPr>
        <w:t xml:space="preserve"> areas for targeted poverty alleviation involving the financial sector. </w:t>
      </w:r>
      <w:r>
        <w:rPr>
          <w:rFonts w:hint="eastAsia" w:eastAsia="楷体_GB2312"/>
          <w:sz w:val="24"/>
        </w:rPr>
        <w:t>Targeted poverty alleviation will be reinforced, and f</w:t>
      </w:r>
      <w:r>
        <w:rPr>
          <w:rFonts w:eastAsia="楷体_GB2312"/>
          <w:sz w:val="24"/>
        </w:rPr>
        <w:t>inancial institutions will be guided to increase credit deliveries to poor areas.</w:t>
      </w:r>
      <w:r>
        <w:rPr>
          <w:rFonts w:hint="eastAsia" w:eastAsia="楷体_GB2312"/>
          <w:sz w:val="24"/>
        </w:rPr>
        <w:t xml:space="preserve"> </w:t>
      </w:r>
      <w:r>
        <w:rPr>
          <w:rFonts w:eastAsia="楷体_GB2312"/>
          <w:sz w:val="24"/>
        </w:rPr>
        <w:t xml:space="preserve">The special project of account receivable financing for small and micro enterprises will be carried out to </w:t>
      </w:r>
      <w:r>
        <w:rPr>
          <w:rFonts w:hint="eastAsia" w:eastAsia="楷体_GB2312"/>
          <w:sz w:val="24"/>
        </w:rPr>
        <w:t xml:space="preserve">optimize their </w:t>
      </w:r>
      <w:r>
        <w:rPr>
          <w:rFonts w:eastAsia="楷体_GB2312"/>
          <w:sz w:val="24"/>
        </w:rPr>
        <w:t>financing</w:t>
      </w:r>
      <w:r>
        <w:rPr>
          <w:rFonts w:hint="eastAsia" w:eastAsia="楷体_GB2312"/>
          <w:sz w:val="24"/>
        </w:rPr>
        <w:t xml:space="preserve"> environment</w:t>
      </w:r>
      <w:r>
        <w:rPr>
          <w:rFonts w:eastAsia="楷体_GB2312"/>
          <w:sz w:val="24"/>
        </w:rPr>
        <w:t xml:space="preserve">. Implementation of guaranteed lending to start-up firms will be enhanced and pilot programs for connecting finance with science and technology will be further developed. Efforts will be made to actively explore a market-based long-term mechanism for providing financial services for entrepreneurship and innovations and to step up financial support for key sectors in the national economy, including science and technology, the cultural industry, </w:t>
      </w:r>
      <w:r>
        <w:rPr>
          <w:rFonts w:hint="eastAsia" w:eastAsia="楷体_GB2312"/>
          <w:sz w:val="24"/>
        </w:rPr>
        <w:t>consumption</w:t>
      </w:r>
      <w:r>
        <w:rPr>
          <w:rFonts w:eastAsia="楷体_GB2312"/>
          <w:sz w:val="24"/>
        </w:rPr>
        <w:t>,</w:t>
      </w:r>
      <w:r>
        <w:rPr>
          <w:rFonts w:hint="eastAsia" w:eastAsia="楷体_GB2312"/>
          <w:sz w:val="24"/>
        </w:rPr>
        <w:t xml:space="preserve"> </w:t>
      </w:r>
      <w:r>
        <w:rPr>
          <w:rFonts w:eastAsia="楷体_GB2312"/>
          <w:sz w:val="24"/>
        </w:rPr>
        <w:t>and the emerging strategic industries.</w:t>
      </w:r>
    </w:p>
    <w:p>
      <w:pPr>
        <w:rPr>
          <w:rFonts w:eastAsia="楷体_GB2312"/>
          <w:sz w:val="24"/>
        </w:rPr>
      </w:pPr>
    </w:p>
    <w:p>
      <w:pPr>
        <w:rPr>
          <w:sz w:val="24"/>
        </w:rPr>
      </w:pPr>
      <w:r>
        <w:rPr>
          <w:sz w:val="24"/>
        </w:rPr>
        <w:t xml:space="preserve">Third, the market-based interest-rate reform and the RMB exchange-rate regime reform will continue so as to improve the allocation of financial resources and to improve the financial regulation system. Financial institutions will be urged to strengthen their internal control systems and to improve their capabilities for independent and rational pricing and risk management. Measures will be adopted to develop market-based benchmark rates, to </w:t>
      </w:r>
      <w:r>
        <w:rPr>
          <w:rFonts w:hint="eastAsia"/>
          <w:sz w:val="24"/>
        </w:rPr>
        <w:t xml:space="preserve">improve Government </w:t>
      </w:r>
      <w:r>
        <w:rPr>
          <w:sz w:val="24"/>
        </w:rPr>
        <w:t>s</w:t>
      </w:r>
      <w:r>
        <w:rPr>
          <w:rFonts w:hint="eastAsia"/>
          <w:sz w:val="24"/>
        </w:rPr>
        <w:t xml:space="preserve">ecurities </w:t>
      </w:r>
      <w:r>
        <w:rPr>
          <w:sz w:val="24"/>
        </w:rPr>
        <w:t xml:space="preserve">yield curves, and to continuously improve the market-based interest-rate </w:t>
      </w:r>
      <w:r>
        <w:rPr>
          <w:rFonts w:hint="eastAsia"/>
          <w:sz w:val="24"/>
        </w:rPr>
        <w:t xml:space="preserve">pricing </w:t>
      </w:r>
      <w:r>
        <w:rPr>
          <w:sz w:val="24"/>
        </w:rPr>
        <w:t>mechanism in order to deepen the financial market. The PBC will explore the interest-rate corridor mechanism, enhance the capability of interest-rate adjustments, and straighten out the transmission from the central-bank policy rates to the financial market and the real economy. Oversight of the irrational pricing behavior of financial institutions will be strengthened. The important role of the market interest-rate self-disciplinary mechanism will be tapped. Effective approaches will be adopted to regulate interest-rate pricing behavior, while industrial self-discipline and risk prevention will be reinforced to maintain order for fair pricing. The market-based RMB exchange-rate regime will be further improved to allow market forces to play a greater role, to enhance the two-way flexibility of the RMB exchange rate, and to keep the RMB exchange rate basically stable at an adaptive and equilibrium level.</w:t>
      </w:r>
      <w:r>
        <w:rPr>
          <w:rFonts w:hint="eastAsia"/>
          <w:sz w:val="24"/>
        </w:rPr>
        <w:t xml:space="preserve"> </w:t>
      </w:r>
      <w:r>
        <w:rPr>
          <w:sz w:val="24"/>
        </w:rPr>
        <w:t xml:space="preserve">Development of the foreign-exchange market will be accelerated to provide exchange-rate risk management services </w:t>
      </w:r>
      <w:r>
        <w:rPr>
          <w:rFonts w:hint="eastAsia"/>
          <w:sz w:val="24"/>
        </w:rPr>
        <w:t xml:space="preserve">for import and export enterprises based on actual demand </w:t>
      </w:r>
      <w:r>
        <w:rPr>
          <w:sz w:val="24"/>
        </w:rPr>
        <w:t>in accordance with the principle that finance should serve the real economy.</w:t>
      </w:r>
      <w:r>
        <w:rPr>
          <w:rFonts w:hint="eastAsia"/>
          <w:sz w:val="24"/>
        </w:rPr>
        <w:t xml:space="preserve"> </w:t>
      </w:r>
      <w:r>
        <w:rPr>
          <w:sz w:val="24"/>
        </w:rPr>
        <w:t>R</w:t>
      </w:r>
      <w:r>
        <w:rPr>
          <w:rFonts w:hint="eastAsia"/>
          <w:sz w:val="24"/>
        </w:rPr>
        <w:t xml:space="preserve">eform of </w:t>
      </w:r>
      <w:r>
        <w:rPr>
          <w:sz w:val="24"/>
        </w:rPr>
        <w:t xml:space="preserve">the </w:t>
      </w:r>
      <w:r>
        <w:rPr>
          <w:rFonts w:hint="eastAsia"/>
          <w:sz w:val="24"/>
        </w:rPr>
        <w:t>foreign</w:t>
      </w:r>
      <w:r>
        <w:rPr>
          <w:sz w:val="24"/>
        </w:rPr>
        <w:t>-</w:t>
      </w:r>
      <w:r>
        <w:rPr>
          <w:rFonts w:hint="eastAsia"/>
          <w:sz w:val="24"/>
        </w:rPr>
        <w:t xml:space="preserve">exchange administration regime will be furthered to facilitate trade and investment, support the use of </w:t>
      </w:r>
      <w:r>
        <w:rPr>
          <w:sz w:val="24"/>
        </w:rPr>
        <w:t xml:space="preserve">the </w:t>
      </w:r>
      <w:r>
        <w:rPr>
          <w:rFonts w:hint="eastAsia"/>
          <w:sz w:val="24"/>
        </w:rPr>
        <w:t xml:space="preserve">RMB in cross-border trade and investment, and tap the role of local currencies in the Belt and Road </w:t>
      </w:r>
      <w:r>
        <w:rPr>
          <w:sz w:val="24"/>
        </w:rPr>
        <w:t>Initiative.</w:t>
      </w:r>
      <w:r>
        <w:rPr>
          <w:rFonts w:hint="eastAsia"/>
          <w:sz w:val="24"/>
        </w:rPr>
        <w:t xml:space="preserve"> Efforts will be made to steadily promote direct trading of </w:t>
      </w:r>
      <w:r>
        <w:rPr>
          <w:sz w:val="24"/>
        </w:rPr>
        <w:t xml:space="preserve">the </w:t>
      </w:r>
      <w:r>
        <w:rPr>
          <w:rFonts w:hint="eastAsia"/>
          <w:sz w:val="24"/>
        </w:rPr>
        <w:t xml:space="preserve">RMB against other </w:t>
      </w:r>
      <w:r>
        <w:rPr>
          <w:sz w:val="24"/>
        </w:rPr>
        <w:t>currencies</w:t>
      </w:r>
      <w:r>
        <w:rPr>
          <w:rFonts w:hint="eastAsia"/>
          <w:sz w:val="24"/>
        </w:rPr>
        <w:t xml:space="preserve"> and </w:t>
      </w:r>
      <w:r>
        <w:rPr>
          <w:sz w:val="24"/>
        </w:rPr>
        <w:t xml:space="preserve">to </w:t>
      </w:r>
      <w:r>
        <w:rPr>
          <w:rFonts w:hint="eastAsia"/>
          <w:sz w:val="24"/>
        </w:rPr>
        <w:t xml:space="preserve">improve the policy framework and infrastructure </w:t>
      </w:r>
      <w:r>
        <w:rPr>
          <w:sz w:val="24"/>
        </w:rPr>
        <w:t>for</w:t>
      </w:r>
      <w:r>
        <w:rPr>
          <w:rFonts w:hint="eastAsia"/>
          <w:sz w:val="24"/>
        </w:rPr>
        <w:t xml:space="preserve"> cross-border RMB use. Equal emphasis will be </w:t>
      </w:r>
      <w:r>
        <w:rPr>
          <w:sz w:val="24"/>
        </w:rPr>
        <w:t>placed on</w:t>
      </w:r>
      <w:r>
        <w:rPr>
          <w:rFonts w:hint="eastAsia"/>
          <w:sz w:val="24"/>
        </w:rPr>
        <w:t xml:space="preserve"> development, reform</w:t>
      </w:r>
      <w:r>
        <w:rPr>
          <w:sz w:val="24"/>
        </w:rPr>
        <w:t>,</w:t>
      </w:r>
      <w:r>
        <w:rPr>
          <w:rFonts w:hint="eastAsia"/>
          <w:sz w:val="24"/>
        </w:rPr>
        <w:t xml:space="preserve"> and risk prevention. </w:t>
      </w:r>
      <w:r>
        <w:rPr>
          <w:sz w:val="24"/>
        </w:rPr>
        <w:t>The impact of international developments on capital flows will be closely watched and macro-prudential management of cross-border flows will be improved.</w:t>
      </w:r>
    </w:p>
    <w:p>
      <w:pPr>
        <w:rPr>
          <w:sz w:val="24"/>
        </w:rPr>
      </w:pPr>
    </w:p>
    <w:p>
      <w:pPr>
        <w:rPr>
          <w:sz w:val="24"/>
        </w:rPr>
      </w:pPr>
      <w:r>
        <w:rPr>
          <w:sz w:val="24"/>
        </w:rPr>
        <w:t>Fourth, the financial market system will be improved to enhance the role of the financial market to stabilize economic growth, facilitate structural adjustments, promote reforms, and prevent financial risks. Product innovations in the bond market will be facilitated to diversify the instruments for capital supplements by commercial banks.  A</w:t>
      </w:r>
      <w:r>
        <w:rPr>
          <w:rFonts w:hint="eastAsia"/>
          <w:sz w:val="24"/>
        </w:rPr>
        <w:t>ssessment</w:t>
      </w:r>
      <w:r>
        <w:rPr>
          <w:sz w:val="24"/>
        </w:rPr>
        <w:t>s</w:t>
      </w:r>
      <w:r>
        <w:rPr>
          <w:rFonts w:hint="eastAsia"/>
          <w:sz w:val="24"/>
        </w:rPr>
        <w:t xml:space="preserve"> and identification of green finance bond</w:t>
      </w:r>
      <w:r>
        <w:rPr>
          <w:sz w:val="24"/>
        </w:rPr>
        <w:t>s</w:t>
      </w:r>
      <w:r>
        <w:rPr>
          <w:rFonts w:hint="eastAsia"/>
          <w:sz w:val="24"/>
        </w:rPr>
        <w:t xml:space="preserve"> as well as asset securitization will be</w:t>
      </w:r>
      <w:r>
        <w:rPr>
          <w:sz w:val="24"/>
        </w:rPr>
        <w:t xml:space="preserve"> promoted</w:t>
      </w:r>
      <w:r>
        <w:rPr>
          <w:rFonts w:hint="eastAsia"/>
          <w:sz w:val="24"/>
        </w:rPr>
        <w:t xml:space="preserve">. </w:t>
      </w:r>
      <w:r>
        <w:rPr>
          <w:sz w:val="24"/>
        </w:rPr>
        <w:t>Regulation of financial bond issuances will be improved, and the bond business offered over the counter of commercial banks will be developed, while the mechanism will be optimized for bond and derivatives trading.</w:t>
      </w:r>
      <w:r>
        <w:rPr>
          <w:rFonts w:hint="eastAsia"/>
          <w:sz w:val="24"/>
        </w:rPr>
        <w:t xml:space="preserve"> </w:t>
      </w:r>
      <w:r>
        <w:rPr>
          <w:sz w:val="24"/>
        </w:rPr>
        <w:t>The m</w:t>
      </w:r>
      <w:r>
        <w:rPr>
          <w:rFonts w:hint="eastAsia"/>
          <w:sz w:val="24"/>
        </w:rPr>
        <w:t>arket-based risk resolution mechanism will be improved to safeguard stable operation</w:t>
      </w:r>
      <w:r>
        <w:rPr>
          <w:sz w:val="24"/>
        </w:rPr>
        <w:t>s</w:t>
      </w:r>
      <w:r>
        <w:rPr>
          <w:rFonts w:hint="eastAsia"/>
          <w:sz w:val="24"/>
        </w:rPr>
        <w:t xml:space="preserve"> of the bond market. </w:t>
      </w:r>
      <w:r>
        <w:rPr>
          <w:sz w:val="24"/>
        </w:rPr>
        <w:t xml:space="preserve">The two-way opening-up of the bond market will be promoted steadily, and a more friendly and convenient institutional environment will be provided for overseas issuers and investors through policy and institutional arrangement improvements and through the market infrastructure for cross-border cooperation, </w:t>
      </w:r>
      <w:r>
        <w:rPr>
          <w:rFonts w:hint="eastAsia"/>
          <w:sz w:val="24"/>
        </w:rPr>
        <w:t xml:space="preserve">such as Bond Connect </w:t>
      </w:r>
      <w:r>
        <w:rPr>
          <w:sz w:val="24"/>
        </w:rPr>
        <w:t xml:space="preserve">operations. The development and coordinated management of financial market infrastructures will be promoted so as to ensure efficient functioning and overall stability of the market. Coordination of bond market regulation and inter-departmental regulatory cooperation will be enhanced to realize the role of the bond market in increasing the share of direct financing, preventing and dissolving financial risks, and optimizing resource allocations. </w:t>
      </w:r>
    </w:p>
    <w:p>
      <w:pPr>
        <w:rPr>
          <w:rFonts w:eastAsia="楷体_GB2312"/>
          <w:sz w:val="24"/>
        </w:rPr>
      </w:pPr>
    </w:p>
    <w:p>
      <w:pPr>
        <w:rPr>
          <w:rFonts w:eastAsia="楷体_GB2312"/>
          <w:sz w:val="24"/>
        </w:rPr>
      </w:pPr>
      <w:r>
        <w:rPr>
          <w:rFonts w:eastAsia="楷体_GB2312"/>
          <w:sz w:val="24"/>
        </w:rPr>
        <w:t xml:space="preserve">Fifth, reform of financial institutions will be deepened and financial services will be improved by increasing supply and enhancing competition. Reform of large commercial banks and other large financial </w:t>
      </w:r>
      <w:r>
        <w:rPr>
          <w:rFonts w:hint="eastAsia" w:eastAsia="楷体_GB2312"/>
          <w:sz w:val="24"/>
        </w:rPr>
        <w:t>institutions</w:t>
      </w:r>
      <w:r>
        <w:rPr>
          <w:rFonts w:eastAsia="楷体_GB2312"/>
          <w:sz w:val="24"/>
        </w:rPr>
        <w:t xml:space="preserve"> will be advanced continuously by improving </w:t>
      </w:r>
      <w:r>
        <w:rPr>
          <w:rFonts w:hint="eastAsia" w:eastAsia="楷体_GB2312"/>
          <w:sz w:val="24"/>
        </w:rPr>
        <w:t>the management of state-owned financial assets, the modern financial corporate system</w:t>
      </w:r>
      <w:r>
        <w:rPr>
          <w:rFonts w:eastAsia="楷体_GB2312"/>
          <w:sz w:val="24"/>
        </w:rPr>
        <w:t>,</w:t>
      </w:r>
      <w:r>
        <w:rPr>
          <w:rFonts w:hint="eastAsia" w:eastAsia="楷体_GB2312"/>
          <w:sz w:val="24"/>
        </w:rPr>
        <w:t xml:space="preserve"> and </w:t>
      </w:r>
      <w:r>
        <w:rPr>
          <w:rFonts w:eastAsia="楷体_GB2312"/>
          <w:sz w:val="24"/>
        </w:rPr>
        <w:t xml:space="preserve">the </w:t>
      </w:r>
      <w:r>
        <w:rPr>
          <w:rFonts w:hint="eastAsia" w:eastAsia="楷体_GB2312"/>
          <w:sz w:val="24"/>
        </w:rPr>
        <w:t>legal person governance structure</w:t>
      </w:r>
      <w:r>
        <w:rPr>
          <w:rFonts w:eastAsia="楷体_GB2312"/>
          <w:sz w:val="24"/>
        </w:rPr>
        <w:t xml:space="preserve">, </w:t>
      </w:r>
      <w:r>
        <w:rPr>
          <w:rFonts w:hint="eastAsia" w:eastAsia="楷体_GB2312"/>
          <w:sz w:val="24"/>
        </w:rPr>
        <w:t xml:space="preserve">optimizing </w:t>
      </w:r>
      <w:r>
        <w:rPr>
          <w:rFonts w:eastAsia="楷体_GB2312"/>
          <w:sz w:val="24"/>
        </w:rPr>
        <w:t xml:space="preserve">the </w:t>
      </w:r>
      <w:r>
        <w:rPr>
          <w:rFonts w:hint="eastAsia" w:eastAsia="楷体_GB2312"/>
          <w:sz w:val="24"/>
        </w:rPr>
        <w:t xml:space="preserve">equity structure, </w:t>
      </w:r>
      <w:r>
        <w:rPr>
          <w:rFonts w:eastAsia="楷体_GB2312"/>
          <w:sz w:val="24"/>
        </w:rPr>
        <w:t xml:space="preserve">establishing effective mechanisms for decision-making, execution, and checks and balances, </w:t>
      </w:r>
      <w:r>
        <w:rPr>
          <w:rFonts w:hint="eastAsia" w:eastAsia="楷体_GB2312"/>
          <w:sz w:val="24"/>
        </w:rPr>
        <w:t>reinforcing</w:t>
      </w:r>
      <w:r>
        <w:rPr>
          <w:rFonts w:eastAsia="楷体_GB2312"/>
          <w:sz w:val="24"/>
        </w:rPr>
        <w:t xml:space="preserve"> the</w:t>
      </w:r>
      <w:r>
        <w:rPr>
          <w:rFonts w:hint="eastAsia" w:eastAsia="楷体_GB2312"/>
          <w:sz w:val="24"/>
        </w:rPr>
        <w:t xml:space="preserve"> risk prevention responsibilities of financial institutions, </w:t>
      </w:r>
      <w:r>
        <w:rPr>
          <w:rFonts w:eastAsia="楷体_GB2312"/>
          <w:sz w:val="24"/>
        </w:rPr>
        <w:t>and integrating corporate governance requirements into daily business operations and risk controls. Further reforms to the management and operational mechanisms of the Agricultural and Rural Financial Service Division of the Agricultural Bank of China will be promoted, and the effects of the reforms will be closely monitored and evaluated to improve their capacity to serve the real economy at the county levels. The program of further reforming the Bank of Communications will be implemented continuously to enhance its competitiveness.</w:t>
      </w:r>
      <w:r>
        <w:rPr>
          <w:rFonts w:hint="eastAsia" w:eastAsia="楷体_GB2312"/>
          <w:sz w:val="24"/>
        </w:rPr>
        <w:t xml:space="preserve"> </w:t>
      </w:r>
      <w:r>
        <w:rPr>
          <w:rFonts w:eastAsia="楷体_GB2312"/>
          <w:sz w:val="24"/>
        </w:rPr>
        <w:t>Efforts will be made to carry out a comprehensive reform program of development and policy financial institutions. According to the requirements and the division of labor established in the reform programs, the PBC will work with the relevant departments to swiftly complete the follow-up tasks of improving governance structures, specifying the scope of businesses, strengthening risk compensation mechanisms, and drafting rules for prudential regulation.</w:t>
      </w:r>
      <w:r>
        <w:rPr>
          <w:rFonts w:hint="eastAsia" w:eastAsia="楷体_GB2312"/>
          <w:sz w:val="24"/>
        </w:rPr>
        <w:t xml:space="preserve"> </w:t>
      </w:r>
      <w:r>
        <w:rPr>
          <w:rFonts w:eastAsia="楷体_GB2312"/>
          <w:sz w:val="24"/>
        </w:rPr>
        <w:t xml:space="preserve">The reforms will be deepened to nurture development and provide a policy environment for policy financial institutions with Chinese characteristics that provide services for economic development and operate on a sustainable basis. In addition, the transformation and development of asset management companies will be further promoted.  </w:t>
      </w:r>
    </w:p>
    <w:p>
      <w:pPr>
        <w:rPr>
          <w:rFonts w:eastAsia="楷体_GB2312"/>
          <w:sz w:val="24"/>
        </w:rPr>
      </w:pPr>
    </w:p>
    <w:p>
      <w:pPr>
        <w:rPr>
          <w:rFonts w:eastAsia="楷体_GB2312"/>
          <w:sz w:val="24"/>
        </w:rPr>
      </w:pPr>
      <w:r>
        <w:rPr>
          <w:rFonts w:eastAsia="楷体_GB2312"/>
          <w:sz w:val="24"/>
        </w:rPr>
        <w:t xml:space="preserve">Sixth, </w:t>
      </w:r>
      <w:r>
        <w:rPr>
          <w:rFonts w:hint="eastAsia" w:eastAsia="楷体_GB2312"/>
          <w:sz w:val="24"/>
        </w:rPr>
        <w:t>higher priority will be assigned to actively prevent and mitigat</w:t>
      </w:r>
      <w:r>
        <w:rPr>
          <w:rFonts w:eastAsia="楷体_GB2312"/>
          <w:sz w:val="24"/>
        </w:rPr>
        <w:t>e</w:t>
      </w:r>
      <w:r>
        <w:rPr>
          <w:rFonts w:hint="eastAsia" w:eastAsia="楷体_GB2312"/>
          <w:sz w:val="24"/>
        </w:rPr>
        <w:t xml:space="preserve"> systemic financial risks, and a </w:t>
      </w:r>
      <w:r>
        <w:rPr>
          <w:rFonts w:eastAsia="楷体_GB2312"/>
          <w:sz w:val="24"/>
        </w:rPr>
        <w:t xml:space="preserve">number of measures will be adopted to </w:t>
      </w:r>
      <w:r>
        <w:rPr>
          <w:rFonts w:hint="eastAsia" w:eastAsia="楷体_GB2312"/>
          <w:sz w:val="24"/>
        </w:rPr>
        <w:t>safeguard financial security and stability</w:t>
      </w:r>
      <w:r>
        <w:rPr>
          <w:rFonts w:eastAsia="楷体_GB2312"/>
          <w:sz w:val="24"/>
        </w:rPr>
        <w:t>. In line with the principle that financial services should serve the real economy, efforts will be made to straighten out the monetary policy transmission channels</w:t>
      </w:r>
      <w:r>
        <w:rPr>
          <w:rFonts w:hint="eastAsia" w:eastAsia="楷体_GB2312"/>
          <w:sz w:val="24"/>
        </w:rPr>
        <w:t xml:space="preserve"> and mechanism</w:t>
      </w:r>
      <w:r>
        <w:rPr>
          <w:rFonts w:eastAsia="楷体_GB2312"/>
          <w:sz w:val="24"/>
        </w:rPr>
        <w:t>s to maintain stability at the aggregate level and to optimize the structure. R</w:t>
      </w:r>
      <w:r>
        <w:rPr>
          <w:rFonts w:hint="eastAsia" w:eastAsia="楷体_GB2312"/>
          <w:sz w:val="24"/>
        </w:rPr>
        <w:t>isk monitoring and early warning</w:t>
      </w:r>
      <w:r>
        <w:rPr>
          <w:rFonts w:eastAsia="楷体_GB2312"/>
          <w:sz w:val="24"/>
        </w:rPr>
        <w:t>s</w:t>
      </w:r>
      <w:r>
        <w:rPr>
          <w:rFonts w:hint="eastAsia" w:eastAsia="楷体_GB2312"/>
          <w:sz w:val="24"/>
        </w:rPr>
        <w:t xml:space="preserve"> will be strengthened to prevent and mitigate risks in key areas, and the defense line </w:t>
      </w:r>
      <w:r>
        <w:rPr>
          <w:rFonts w:eastAsia="楷体_GB2312"/>
          <w:sz w:val="24"/>
        </w:rPr>
        <w:t>for</w:t>
      </w:r>
      <w:r>
        <w:rPr>
          <w:rFonts w:hint="eastAsia" w:eastAsia="楷体_GB2312"/>
          <w:sz w:val="24"/>
        </w:rPr>
        <w:t xml:space="preserve"> financial security and </w:t>
      </w:r>
      <w:r>
        <w:rPr>
          <w:rFonts w:eastAsia="楷体_GB2312"/>
          <w:sz w:val="24"/>
        </w:rPr>
        <w:t xml:space="preserve">the </w:t>
      </w:r>
      <w:r>
        <w:rPr>
          <w:rFonts w:hint="eastAsia" w:eastAsia="楷体_GB2312"/>
          <w:sz w:val="24"/>
        </w:rPr>
        <w:t xml:space="preserve">contingency risk resolution mechanism will be improved. </w:t>
      </w:r>
      <w:r>
        <w:rPr>
          <w:rFonts w:eastAsia="楷体_GB2312"/>
          <w:sz w:val="24"/>
        </w:rPr>
        <w:t>Risks of NPLs in the banking sector will be resolved and managed and growth of NPLs will be controlled.</w:t>
      </w:r>
      <w:r>
        <w:rPr>
          <w:rFonts w:hint="eastAsia" w:eastAsia="楷体_GB2312"/>
          <w:sz w:val="24"/>
        </w:rPr>
        <w:t xml:space="preserve"> </w:t>
      </w:r>
      <w:r>
        <w:rPr>
          <w:rFonts w:eastAsia="楷体_GB2312"/>
          <w:sz w:val="24"/>
        </w:rPr>
        <w:t>S</w:t>
      </w:r>
      <w:r>
        <w:rPr>
          <w:rFonts w:hint="eastAsia" w:eastAsia="楷体_GB2312"/>
          <w:sz w:val="24"/>
        </w:rPr>
        <w:t xml:space="preserve">tandards and regulations </w:t>
      </w:r>
      <w:r>
        <w:rPr>
          <w:rFonts w:eastAsia="楷体_GB2312"/>
          <w:sz w:val="24"/>
        </w:rPr>
        <w:t>for</w:t>
      </w:r>
      <w:r>
        <w:rPr>
          <w:rFonts w:hint="eastAsia" w:eastAsia="楷体_GB2312"/>
          <w:sz w:val="24"/>
        </w:rPr>
        <w:t xml:space="preserve"> asset management businesses will be unified and regulation</w:t>
      </w:r>
      <w:r>
        <w:rPr>
          <w:rFonts w:eastAsia="楷体_GB2312"/>
          <w:sz w:val="24"/>
        </w:rPr>
        <w:t>s</w:t>
      </w:r>
      <w:r>
        <w:rPr>
          <w:rFonts w:hint="eastAsia" w:eastAsia="楷体_GB2312"/>
          <w:sz w:val="24"/>
        </w:rPr>
        <w:t xml:space="preserve"> focusing on underlying assets, the ultimate debtor-creditor relationship, and </w:t>
      </w:r>
      <w:r>
        <w:rPr>
          <w:rFonts w:eastAsia="楷体_GB2312"/>
          <w:sz w:val="24"/>
        </w:rPr>
        <w:t xml:space="preserve">the </w:t>
      </w:r>
      <w:r>
        <w:rPr>
          <w:rFonts w:hint="eastAsia" w:eastAsia="楷体_GB2312"/>
          <w:sz w:val="24"/>
        </w:rPr>
        <w:t xml:space="preserve">ultimate investors will be strengthened to curb regulatory arbitrage and </w:t>
      </w:r>
      <w:r>
        <w:rPr>
          <w:rFonts w:eastAsia="楷体_GB2312"/>
          <w:sz w:val="24"/>
        </w:rPr>
        <w:t xml:space="preserve">to </w:t>
      </w:r>
      <w:r>
        <w:rPr>
          <w:rFonts w:hint="eastAsia" w:eastAsia="楷体_GB2312"/>
          <w:sz w:val="24"/>
        </w:rPr>
        <w:t xml:space="preserve">safeguard market order. </w:t>
      </w:r>
      <w:r>
        <w:rPr>
          <w:rFonts w:eastAsia="楷体_GB2312"/>
          <w:sz w:val="24"/>
        </w:rPr>
        <w:t>A differentiated credit policy will be implemented to limit credit flows to speculative real-estate purchases. U</w:t>
      </w:r>
      <w:r>
        <w:rPr>
          <w:rFonts w:hint="eastAsia" w:eastAsia="楷体_GB2312"/>
          <w:sz w:val="24"/>
        </w:rPr>
        <w:t xml:space="preserve">nswerving efforts will be made to actively reduce </w:t>
      </w:r>
      <w:r>
        <w:rPr>
          <w:rFonts w:eastAsia="楷体_GB2312"/>
          <w:sz w:val="24"/>
        </w:rPr>
        <w:t xml:space="preserve">the </w:t>
      </w:r>
      <w:r>
        <w:rPr>
          <w:rFonts w:hint="eastAsia" w:eastAsia="楷体_GB2312"/>
          <w:sz w:val="24"/>
        </w:rPr>
        <w:t xml:space="preserve">leverage ratio. </w:t>
      </w:r>
      <w:r>
        <w:rPr>
          <w:rFonts w:eastAsia="楷体_GB2312"/>
          <w:sz w:val="24"/>
        </w:rPr>
        <w:t>U</w:t>
      </w:r>
      <w:r>
        <w:rPr>
          <w:rFonts w:hint="eastAsia" w:eastAsia="楷体_GB2312"/>
          <w:sz w:val="24"/>
        </w:rPr>
        <w:t xml:space="preserve">nder the prerequisite of </w:t>
      </w:r>
      <w:r>
        <w:rPr>
          <w:rFonts w:eastAsia="楷体_GB2312"/>
          <w:sz w:val="24"/>
        </w:rPr>
        <w:t>controlling the</w:t>
      </w:r>
      <w:r>
        <w:rPr>
          <w:rFonts w:hint="eastAsia" w:eastAsia="楷体_GB2312"/>
          <w:sz w:val="24"/>
        </w:rPr>
        <w:t xml:space="preserve"> aggregate leverage ratio, top priority will be given to lowering </w:t>
      </w:r>
      <w:r>
        <w:rPr>
          <w:rFonts w:eastAsia="楷体_GB2312"/>
          <w:sz w:val="24"/>
        </w:rPr>
        <w:t xml:space="preserve">the </w:t>
      </w:r>
      <w:r>
        <w:rPr>
          <w:rFonts w:hint="eastAsia" w:eastAsia="楷体_GB2312"/>
          <w:sz w:val="24"/>
        </w:rPr>
        <w:t>leverage ratio of SOEs, resolve zombie enterprises</w:t>
      </w:r>
      <w:r>
        <w:rPr>
          <w:rFonts w:eastAsia="楷体_GB2312"/>
          <w:sz w:val="24"/>
        </w:rPr>
        <w:t>,</w:t>
      </w:r>
      <w:r>
        <w:rPr>
          <w:rFonts w:hint="eastAsia" w:eastAsia="楷体_GB2312"/>
          <w:sz w:val="24"/>
        </w:rPr>
        <w:t xml:space="preserve"> and steadily </w:t>
      </w:r>
      <w:r>
        <w:rPr>
          <w:rFonts w:eastAsia="楷体_GB2312"/>
          <w:sz w:val="24"/>
        </w:rPr>
        <w:t xml:space="preserve">promoting </w:t>
      </w:r>
      <w:r>
        <w:rPr>
          <w:rFonts w:hint="eastAsia" w:eastAsia="楷体_GB2312"/>
          <w:sz w:val="24"/>
        </w:rPr>
        <w:t>market-based debt equity swap</w:t>
      </w:r>
      <w:r>
        <w:rPr>
          <w:rFonts w:eastAsia="楷体_GB2312"/>
          <w:sz w:val="24"/>
        </w:rPr>
        <w:t>s</w:t>
      </w:r>
      <w:r>
        <w:rPr>
          <w:rFonts w:hint="eastAsia" w:eastAsia="楷体_GB2312"/>
          <w:sz w:val="24"/>
        </w:rPr>
        <w:t xml:space="preserve"> in accordance with the law. </w:t>
      </w:r>
      <w:r>
        <w:rPr>
          <w:rFonts w:eastAsia="楷体_GB2312"/>
          <w:sz w:val="24"/>
        </w:rPr>
        <w:t>R</w:t>
      </w:r>
      <w:r>
        <w:rPr>
          <w:rFonts w:hint="eastAsia" w:eastAsia="楷体_GB2312"/>
          <w:sz w:val="24"/>
        </w:rPr>
        <w:t xml:space="preserve">isks arising from local government borrowing will be mitigated in an active and sound manner to place local government financing under effective regulation. </w:t>
      </w:r>
      <w:r>
        <w:rPr>
          <w:rFonts w:eastAsia="楷体_GB2312"/>
          <w:sz w:val="24"/>
        </w:rPr>
        <w:t>The special project on managing financial risks in Internet finance will continue.</w:t>
      </w:r>
      <w:r>
        <w:rPr>
          <w:rFonts w:hint="eastAsia" w:eastAsia="楷体_GB2312"/>
          <w:sz w:val="24"/>
        </w:rPr>
        <w:t xml:space="preserve"> </w:t>
      </w:r>
      <w:r>
        <w:rPr>
          <w:rFonts w:eastAsia="楷体_GB2312"/>
          <w:sz w:val="24"/>
        </w:rPr>
        <w:t>The m</w:t>
      </w:r>
      <w:r>
        <w:rPr>
          <w:rFonts w:hint="eastAsia" w:eastAsia="楷体_GB2312"/>
          <w:sz w:val="24"/>
        </w:rPr>
        <w:t xml:space="preserve">andates of the State Council Financial Stability and Development Committee will be fulfilled. </w:t>
      </w:r>
      <w:r>
        <w:rPr>
          <w:rFonts w:eastAsia="楷体_GB2312"/>
          <w:sz w:val="24"/>
        </w:rPr>
        <w:t>C</w:t>
      </w:r>
      <w:r>
        <w:rPr>
          <w:rFonts w:hint="eastAsia" w:eastAsia="楷体_GB2312"/>
          <w:sz w:val="24"/>
        </w:rPr>
        <w:t xml:space="preserve">oordination of financial regulation will be reinforced and policies will be carried out with proper intensity in a well-paced manner so as to </w:t>
      </w:r>
      <w:r>
        <w:rPr>
          <w:rFonts w:eastAsia="楷体_GB2312"/>
          <w:sz w:val="24"/>
        </w:rPr>
        <w:t>stabilize</w:t>
      </w:r>
      <w:r>
        <w:rPr>
          <w:rFonts w:hint="eastAsia" w:eastAsia="楷体_GB2312"/>
          <w:sz w:val="24"/>
        </w:rPr>
        <w:t xml:space="preserve"> market expectation</w:t>
      </w:r>
      <w:r>
        <w:rPr>
          <w:rFonts w:eastAsia="楷体_GB2312"/>
          <w:sz w:val="24"/>
        </w:rPr>
        <w:t>s</w:t>
      </w:r>
      <w:r>
        <w:rPr>
          <w:rFonts w:hint="eastAsia" w:eastAsia="楷体_GB2312"/>
          <w:sz w:val="24"/>
        </w:rPr>
        <w:t>. Well-c</w:t>
      </w:r>
      <w:r>
        <w:rPr>
          <w:rFonts w:eastAsia="楷体_GB2312"/>
          <w:sz w:val="24"/>
        </w:rPr>
        <w:t>oordinated</w:t>
      </w:r>
      <w:r>
        <w:rPr>
          <w:rFonts w:hint="eastAsia" w:eastAsia="楷体_GB2312"/>
          <w:sz w:val="24"/>
        </w:rPr>
        <w:t xml:space="preserve"> regulation o</w:t>
      </w:r>
      <w:r>
        <w:rPr>
          <w:rFonts w:eastAsia="楷体_GB2312"/>
          <w:sz w:val="24"/>
        </w:rPr>
        <w:t>f</w:t>
      </w:r>
      <w:r>
        <w:rPr>
          <w:rFonts w:hint="eastAsia" w:eastAsia="楷体_GB2312"/>
          <w:sz w:val="24"/>
        </w:rPr>
        <w:t xml:space="preserve"> systemically important financial institutions and</w:t>
      </w:r>
      <w:r>
        <w:rPr>
          <w:rFonts w:eastAsia="楷体_GB2312"/>
          <w:sz w:val="24"/>
        </w:rPr>
        <w:t xml:space="preserve"> the</w:t>
      </w:r>
      <w:r>
        <w:rPr>
          <w:rFonts w:hint="eastAsia" w:eastAsia="楷体_GB2312"/>
          <w:sz w:val="24"/>
        </w:rPr>
        <w:t xml:space="preserve"> financial infrastructure will be strengthened and continued efforts will be made to promote comprehensive statistics of the financial sector and </w:t>
      </w:r>
      <w:r>
        <w:rPr>
          <w:rFonts w:eastAsia="楷体_GB2312"/>
          <w:sz w:val="24"/>
        </w:rPr>
        <w:t xml:space="preserve">the </w:t>
      </w:r>
      <w:r>
        <w:rPr>
          <w:rFonts w:hint="eastAsia" w:eastAsia="楷体_GB2312"/>
          <w:sz w:val="24"/>
        </w:rPr>
        <w:t xml:space="preserve">sharing of regulatory </w:t>
      </w:r>
      <w:r>
        <w:rPr>
          <w:rFonts w:eastAsia="楷体_GB2312"/>
          <w:sz w:val="24"/>
        </w:rPr>
        <w:t>information</w:t>
      </w:r>
      <w:r>
        <w:rPr>
          <w:rFonts w:hint="eastAsia" w:eastAsia="楷体_GB2312"/>
          <w:sz w:val="24"/>
        </w:rPr>
        <w:t xml:space="preserve">. </w:t>
      </w:r>
      <w:r>
        <w:rPr>
          <w:rFonts w:eastAsia="楷体_GB2312"/>
          <w:sz w:val="24"/>
        </w:rPr>
        <w:t>R</w:t>
      </w:r>
      <w:r>
        <w:rPr>
          <w:rFonts w:hint="eastAsia" w:eastAsia="楷体_GB2312"/>
          <w:sz w:val="24"/>
        </w:rPr>
        <w:t xml:space="preserve">isk </w:t>
      </w:r>
      <w:r>
        <w:rPr>
          <w:rFonts w:eastAsia="楷体_GB2312"/>
          <w:sz w:val="24"/>
        </w:rPr>
        <w:t>surveillance</w:t>
      </w:r>
      <w:r>
        <w:rPr>
          <w:rFonts w:hint="eastAsia" w:eastAsia="楷体_GB2312"/>
          <w:sz w:val="24"/>
        </w:rPr>
        <w:t xml:space="preserve"> and </w:t>
      </w:r>
      <w:r>
        <w:rPr>
          <w:rFonts w:eastAsia="楷体_GB2312"/>
          <w:sz w:val="24"/>
        </w:rPr>
        <w:t xml:space="preserve">the </w:t>
      </w:r>
      <w:r>
        <w:rPr>
          <w:rFonts w:hint="eastAsia" w:eastAsia="楷体_GB2312"/>
          <w:sz w:val="24"/>
        </w:rPr>
        <w:t xml:space="preserve">early correction mechanism </w:t>
      </w:r>
      <w:r>
        <w:rPr>
          <w:rFonts w:eastAsia="楷体_GB2312"/>
          <w:sz w:val="24"/>
        </w:rPr>
        <w:t>for</w:t>
      </w:r>
      <w:r>
        <w:rPr>
          <w:rFonts w:hint="eastAsia" w:eastAsia="楷体_GB2312"/>
          <w:sz w:val="24"/>
        </w:rPr>
        <w:t xml:space="preserve"> deposit insurance will be improved in an accelerated manner, and t</w:t>
      </w:r>
      <w:r>
        <w:rPr>
          <w:rFonts w:eastAsia="楷体_GB2312"/>
          <w:sz w:val="24"/>
        </w:rPr>
        <w:t xml:space="preserve">he role of deposit insurance in </w:t>
      </w:r>
      <w:r>
        <w:rPr>
          <w:rFonts w:hint="eastAsia" w:eastAsia="楷体_GB2312"/>
          <w:sz w:val="24"/>
        </w:rPr>
        <w:t xml:space="preserve">market-based risk mitigation </w:t>
      </w:r>
      <w:r>
        <w:rPr>
          <w:rFonts w:eastAsia="楷体_GB2312"/>
          <w:sz w:val="24"/>
        </w:rPr>
        <w:t xml:space="preserve">will be </w:t>
      </w:r>
      <w:r>
        <w:rPr>
          <w:rFonts w:hint="eastAsia" w:eastAsia="楷体_GB2312"/>
          <w:sz w:val="24"/>
        </w:rPr>
        <w:t>tapped</w:t>
      </w:r>
      <w:r>
        <w:rPr>
          <w:rFonts w:eastAsia="楷体_GB2312"/>
          <w:sz w:val="24"/>
        </w:rPr>
        <w:t>. Measures will be taken to develop a multi-layered capital market and to promote the sound development of the capital market.</w:t>
      </w:r>
      <w:r>
        <w:rPr>
          <w:rFonts w:hint="eastAsia" w:eastAsia="楷体_GB2312"/>
          <w:sz w:val="24"/>
        </w:rPr>
        <w:t xml:space="preserve"> </w:t>
      </w:r>
      <w:r>
        <w:rPr>
          <w:rFonts w:eastAsia="楷体_GB2312"/>
          <w:sz w:val="24"/>
        </w:rPr>
        <w:t xml:space="preserve">Comprehensive policy measures will be adopted to </w:t>
      </w:r>
      <w:r>
        <w:rPr>
          <w:rFonts w:hint="eastAsia" w:eastAsia="楷体_GB2312"/>
          <w:sz w:val="24"/>
        </w:rPr>
        <w:t>effectively</w:t>
      </w:r>
      <w:r>
        <w:rPr>
          <w:rFonts w:eastAsia="楷体_GB2312"/>
          <w:sz w:val="24"/>
        </w:rPr>
        <w:t xml:space="preserve"> </w:t>
      </w:r>
      <w:r>
        <w:rPr>
          <w:rFonts w:hint="eastAsia" w:eastAsia="楷体_GB2312"/>
          <w:sz w:val="24"/>
        </w:rPr>
        <w:t>dissolve</w:t>
      </w:r>
      <w:r>
        <w:rPr>
          <w:rFonts w:eastAsia="楷体_GB2312"/>
          <w:sz w:val="24"/>
        </w:rPr>
        <w:t xml:space="preserve"> financial risks</w:t>
      </w:r>
      <w:r>
        <w:rPr>
          <w:rFonts w:hint="eastAsia" w:eastAsia="楷体_GB2312"/>
          <w:sz w:val="24"/>
        </w:rPr>
        <w:t xml:space="preserve">, avert moral </w:t>
      </w:r>
      <w:r>
        <w:rPr>
          <w:rFonts w:eastAsia="楷体_GB2312"/>
          <w:sz w:val="24"/>
        </w:rPr>
        <w:t>hazard</w:t>
      </w:r>
      <w:r>
        <w:rPr>
          <w:rFonts w:hint="eastAsia" w:eastAsia="楷体_GB2312"/>
          <w:sz w:val="24"/>
        </w:rPr>
        <w:t>s</w:t>
      </w:r>
      <w:r>
        <w:rPr>
          <w:rFonts w:eastAsia="楷体_GB2312"/>
          <w:sz w:val="24"/>
        </w:rPr>
        <w:t>,</w:t>
      </w:r>
      <w:r>
        <w:rPr>
          <w:rFonts w:hint="eastAsia" w:eastAsia="楷体_GB2312"/>
          <w:sz w:val="24"/>
        </w:rPr>
        <w:t xml:space="preserve"> and </w:t>
      </w:r>
      <w:r>
        <w:rPr>
          <w:rFonts w:eastAsia="楷体_GB2312"/>
          <w:sz w:val="24"/>
        </w:rPr>
        <w:t>defend the bottom line of preventing systemic financial risks.</w:t>
      </w:r>
    </w:p>
    <w:p>
      <w:pPr>
        <w:rPr>
          <w:rFonts w:eastAsia="楷体_GB2312"/>
          <w:sz w:val="24"/>
        </w:rPr>
      </w:pPr>
    </w:p>
    <w:p>
      <w:pPr>
        <w:keepNext/>
        <w:shd w:val="clear" w:color="auto" w:fill="CCFFCC"/>
        <w:jc w:val="center"/>
        <w:rPr>
          <w:b/>
          <w:color w:val="000000" w:themeColor="text1"/>
          <w:sz w:val="24"/>
        </w:rPr>
      </w:pPr>
      <w:bookmarkStart w:id="165" w:name="_Toc492909022"/>
      <w:r>
        <w:rPr>
          <w:b/>
          <w:color w:val="000000" w:themeColor="text1"/>
          <w:sz w:val="24"/>
        </w:rPr>
        <w:t xml:space="preserve">Box </w:t>
      </w:r>
      <w:r>
        <w:rPr>
          <w:b/>
          <w:color w:val="000000" w:themeColor="text1"/>
          <w:sz w:val="24"/>
        </w:rPr>
        <w:fldChar w:fldCharType="begin"/>
      </w:r>
      <w:r>
        <w:rPr>
          <w:b/>
          <w:color w:val="000000" w:themeColor="text1"/>
          <w:sz w:val="24"/>
        </w:rPr>
        <w:instrText xml:space="preserve"> SEQ Box \* ARABIC </w:instrText>
      </w:r>
      <w:r>
        <w:rPr>
          <w:b/>
          <w:color w:val="000000" w:themeColor="text1"/>
          <w:sz w:val="24"/>
        </w:rPr>
        <w:fldChar w:fldCharType="separate"/>
      </w:r>
      <w:r>
        <w:rPr>
          <w:b/>
          <w:color w:val="000000" w:themeColor="text1"/>
          <w:sz w:val="24"/>
        </w:rPr>
        <w:t>3</w:t>
      </w:r>
      <w:r>
        <w:rPr>
          <w:b/>
          <w:color w:val="000000" w:themeColor="text1"/>
          <w:sz w:val="24"/>
        </w:rPr>
        <w:fldChar w:fldCharType="end"/>
      </w:r>
      <w:r>
        <w:rPr>
          <w:b/>
          <w:color w:val="000000" w:themeColor="text1"/>
          <w:sz w:val="24"/>
        </w:rPr>
        <w:t xml:space="preserve"> Promoting Sound Development of the Asset Management Business</w:t>
      </w:r>
      <w:bookmarkEnd w:id="165"/>
    </w:p>
    <w:p>
      <w:pPr>
        <w:shd w:val="clear" w:color="auto" w:fill="CCFFCC"/>
        <w:rPr>
          <w:color w:val="000000" w:themeColor="text1"/>
          <w:sz w:val="24"/>
        </w:rPr>
      </w:pPr>
      <w:r>
        <w:rPr>
          <w:rFonts w:hint="eastAsia"/>
          <w:color w:val="000000" w:themeColor="text1"/>
          <w:sz w:val="24"/>
        </w:rPr>
        <w:t xml:space="preserve">In recent years, </w:t>
      </w:r>
      <w:r>
        <w:rPr>
          <w:color w:val="000000" w:themeColor="text1"/>
          <w:sz w:val="24"/>
        </w:rPr>
        <w:t>due</w:t>
      </w:r>
      <w:r>
        <w:rPr>
          <w:rFonts w:hint="eastAsia"/>
          <w:color w:val="000000" w:themeColor="text1"/>
          <w:sz w:val="24"/>
        </w:rPr>
        <w:t xml:space="preserve"> to policy facilitation and market development, </w:t>
      </w:r>
      <w:r>
        <w:rPr>
          <w:color w:val="000000" w:themeColor="text1"/>
          <w:sz w:val="24"/>
        </w:rPr>
        <w:t xml:space="preserve">the </w:t>
      </w:r>
      <w:r>
        <w:rPr>
          <w:rFonts w:hint="eastAsia"/>
          <w:color w:val="000000" w:themeColor="text1"/>
          <w:sz w:val="24"/>
        </w:rPr>
        <w:t xml:space="preserve">asset management business has grown rapidly. With banking, trust, securities, and insurance institutions participating in the business, cross-industry cooperation has become ever closer. At end-2016, the </w:t>
      </w:r>
      <w:r>
        <w:rPr>
          <w:color w:val="000000" w:themeColor="text1"/>
          <w:sz w:val="24"/>
        </w:rPr>
        <w:t>outstanding</w:t>
      </w:r>
      <w:r>
        <w:rPr>
          <w:rFonts w:hint="eastAsia"/>
          <w:color w:val="000000" w:themeColor="text1"/>
          <w:sz w:val="24"/>
        </w:rPr>
        <w:t xml:space="preserve"> value of off-balance</w:t>
      </w:r>
      <w:r>
        <w:rPr>
          <w:color w:val="000000" w:themeColor="text1"/>
          <w:sz w:val="24"/>
        </w:rPr>
        <w:t>-</w:t>
      </w:r>
      <w:r>
        <w:rPr>
          <w:rFonts w:hint="eastAsia"/>
          <w:color w:val="000000" w:themeColor="text1"/>
          <w:sz w:val="24"/>
        </w:rPr>
        <w:t xml:space="preserve">sheet wealth management products of banking institutions posted </w:t>
      </w:r>
      <w:r>
        <w:rPr>
          <w:color w:val="000000" w:themeColor="text1"/>
          <w:sz w:val="24"/>
        </w:rPr>
        <w:t xml:space="preserve">RMB </w:t>
      </w:r>
      <w:r>
        <w:rPr>
          <w:rFonts w:hint="eastAsia"/>
          <w:color w:val="000000" w:themeColor="text1"/>
          <w:sz w:val="24"/>
        </w:rPr>
        <w:t xml:space="preserve">23.1 trillion; </w:t>
      </w:r>
      <w:r>
        <w:rPr>
          <w:color w:val="000000" w:themeColor="text1"/>
          <w:sz w:val="24"/>
        </w:rPr>
        <w:t>the outstanding</w:t>
      </w:r>
      <w:r>
        <w:rPr>
          <w:rFonts w:hint="eastAsia"/>
          <w:color w:val="000000" w:themeColor="text1"/>
          <w:sz w:val="24"/>
        </w:rPr>
        <w:t xml:space="preserve"> value of assets managed by trust companies </w:t>
      </w:r>
      <w:r>
        <w:rPr>
          <w:color w:val="000000" w:themeColor="text1"/>
          <w:sz w:val="24"/>
        </w:rPr>
        <w:t>totaled</w:t>
      </w:r>
      <w:r>
        <w:rPr>
          <w:rFonts w:hint="eastAsia"/>
          <w:color w:val="000000" w:themeColor="text1"/>
          <w:sz w:val="24"/>
        </w:rPr>
        <w:t xml:space="preserve"> </w:t>
      </w:r>
      <w:r>
        <w:rPr>
          <w:color w:val="000000" w:themeColor="text1"/>
          <w:sz w:val="24"/>
        </w:rPr>
        <w:t xml:space="preserve">RMB </w:t>
      </w:r>
      <w:r>
        <w:rPr>
          <w:rFonts w:hint="eastAsia"/>
          <w:color w:val="000000" w:themeColor="text1"/>
          <w:sz w:val="24"/>
        </w:rPr>
        <w:t xml:space="preserve">17.5 trillion; the combined value of asset management schemes of mutual funds, private equity funds, securities companies, asset management companies and their subsidiaries, and insurance companies reached </w:t>
      </w:r>
      <w:r>
        <w:rPr>
          <w:color w:val="000000" w:themeColor="text1"/>
          <w:sz w:val="24"/>
        </w:rPr>
        <w:t xml:space="preserve">RMB </w:t>
      </w:r>
      <w:r>
        <w:rPr>
          <w:rFonts w:hint="eastAsia"/>
          <w:color w:val="000000" w:themeColor="text1"/>
          <w:sz w:val="24"/>
        </w:rPr>
        <w:t xml:space="preserve">9.2 trillion, </w:t>
      </w:r>
      <w:r>
        <w:rPr>
          <w:color w:val="000000" w:themeColor="text1"/>
          <w:sz w:val="24"/>
        </w:rPr>
        <w:t xml:space="preserve">RMB </w:t>
      </w:r>
      <w:r>
        <w:rPr>
          <w:rFonts w:hint="eastAsia"/>
          <w:color w:val="000000" w:themeColor="text1"/>
          <w:sz w:val="24"/>
        </w:rPr>
        <w:t xml:space="preserve">10.2 trillion, </w:t>
      </w:r>
      <w:r>
        <w:rPr>
          <w:color w:val="000000" w:themeColor="text1"/>
          <w:sz w:val="24"/>
        </w:rPr>
        <w:t xml:space="preserve">RMB </w:t>
      </w:r>
      <w:r>
        <w:rPr>
          <w:rFonts w:hint="eastAsia"/>
          <w:color w:val="000000" w:themeColor="text1"/>
          <w:sz w:val="24"/>
        </w:rPr>
        <w:t xml:space="preserve">17.6 trillion, </w:t>
      </w:r>
      <w:r>
        <w:rPr>
          <w:color w:val="000000" w:themeColor="text1"/>
          <w:sz w:val="24"/>
        </w:rPr>
        <w:t xml:space="preserve">RMB </w:t>
      </w:r>
      <w:r>
        <w:rPr>
          <w:rFonts w:hint="eastAsia"/>
          <w:color w:val="000000" w:themeColor="text1"/>
          <w:sz w:val="24"/>
        </w:rPr>
        <w:t>16.9 trillion</w:t>
      </w:r>
      <w:r>
        <w:rPr>
          <w:color w:val="000000" w:themeColor="text1"/>
          <w:sz w:val="24"/>
        </w:rPr>
        <w:t>,</w:t>
      </w:r>
      <w:r>
        <w:rPr>
          <w:rFonts w:hint="eastAsia"/>
          <w:color w:val="000000" w:themeColor="text1"/>
          <w:sz w:val="24"/>
        </w:rPr>
        <w:t xml:space="preserve"> and </w:t>
      </w:r>
      <w:r>
        <w:rPr>
          <w:color w:val="000000" w:themeColor="text1"/>
          <w:sz w:val="24"/>
        </w:rPr>
        <w:t xml:space="preserve">RMB </w:t>
      </w:r>
      <w:r>
        <w:rPr>
          <w:rFonts w:hint="eastAsia"/>
          <w:color w:val="000000" w:themeColor="text1"/>
          <w:sz w:val="24"/>
        </w:rPr>
        <w:t xml:space="preserve">1.7 trillion respectively. After excluding cross holding among the </w:t>
      </w:r>
      <w:r>
        <w:rPr>
          <w:color w:val="000000" w:themeColor="text1"/>
          <w:sz w:val="24"/>
        </w:rPr>
        <w:t>various</w:t>
      </w:r>
      <w:r>
        <w:rPr>
          <w:rFonts w:hint="eastAsia"/>
          <w:color w:val="000000" w:themeColor="text1"/>
          <w:sz w:val="24"/>
        </w:rPr>
        <w:t xml:space="preserve"> industries, the total value of managed assets is estimated to exceed </w:t>
      </w:r>
      <w:r>
        <w:rPr>
          <w:color w:val="000000" w:themeColor="text1"/>
          <w:sz w:val="24"/>
        </w:rPr>
        <w:t xml:space="preserve">RMB </w:t>
      </w:r>
      <w:r>
        <w:rPr>
          <w:rFonts w:hint="eastAsia"/>
          <w:color w:val="000000" w:themeColor="text1"/>
          <w:sz w:val="24"/>
        </w:rPr>
        <w:t xml:space="preserve">60 trillion. In addition, </w:t>
      </w:r>
      <w:r>
        <w:rPr>
          <w:color w:val="000000" w:themeColor="text1"/>
          <w:sz w:val="24"/>
        </w:rPr>
        <w:t>I</w:t>
      </w:r>
      <w:r>
        <w:rPr>
          <w:rFonts w:hint="eastAsia"/>
          <w:color w:val="000000" w:themeColor="text1"/>
          <w:sz w:val="24"/>
        </w:rPr>
        <w:t>nternet companies, investment advisory firms</w:t>
      </w:r>
      <w:r>
        <w:rPr>
          <w:color w:val="000000" w:themeColor="text1"/>
          <w:sz w:val="24"/>
        </w:rPr>
        <w:t>,</w:t>
      </w:r>
      <w:r>
        <w:rPr>
          <w:rFonts w:hint="eastAsia"/>
          <w:color w:val="000000" w:themeColor="text1"/>
          <w:sz w:val="24"/>
        </w:rPr>
        <w:t xml:space="preserve"> and other non-</w:t>
      </w:r>
      <w:r>
        <w:rPr>
          <w:color w:val="000000" w:themeColor="text1"/>
          <w:sz w:val="24"/>
        </w:rPr>
        <w:t>financial</w:t>
      </w:r>
      <w:r>
        <w:rPr>
          <w:rFonts w:hint="eastAsia"/>
          <w:color w:val="000000" w:themeColor="text1"/>
          <w:sz w:val="24"/>
        </w:rPr>
        <w:t xml:space="preserve"> institutions have been active in</w:t>
      </w:r>
      <w:r>
        <w:rPr>
          <w:color w:val="000000" w:themeColor="text1"/>
          <w:sz w:val="24"/>
        </w:rPr>
        <w:t xml:space="preserve"> the </w:t>
      </w:r>
      <w:r>
        <w:rPr>
          <w:rFonts w:hint="eastAsia"/>
          <w:color w:val="000000" w:themeColor="text1"/>
          <w:sz w:val="24"/>
        </w:rPr>
        <w:t xml:space="preserve">asset management business. Money market funds and other wealth management products offered on </w:t>
      </w:r>
      <w:r>
        <w:rPr>
          <w:color w:val="000000" w:themeColor="text1"/>
          <w:sz w:val="24"/>
        </w:rPr>
        <w:t>I</w:t>
      </w:r>
      <w:r>
        <w:rPr>
          <w:rFonts w:hint="eastAsia"/>
          <w:color w:val="000000" w:themeColor="text1"/>
          <w:sz w:val="24"/>
        </w:rPr>
        <w:t>nternet platforms have mushroomed due to the</w:t>
      </w:r>
      <w:r>
        <w:rPr>
          <w:color w:val="000000" w:themeColor="text1"/>
          <w:sz w:val="24"/>
        </w:rPr>
        <w:t>ir</w:t>
      </w:r>
      <w:r>
        <w:rPr>
          <w:rFonts w:hint="eastAsia"/>
          <w:color w:val="000000" w:themeColor="text1"/>
          <w:sz w:val="24"/>
        </w:rPr>
        <w:t xml:space="preserve"> low threshold, high yield</w:t>
      </w:r>
      <w:r>
        <w:rPr>
          <w:color w:val="000000" w:themeColor="text1"/>
          <w:sz w:val="24"/>
        </w:rPr>
        <w:t>,</w:t>
      </w:r>
      <w:r>
        <w:rPr>
          <w:rFonts w:hint="eastAsia"/>
          <w:color w:val="000000" w:themeColor="text1"/>
          <w:sz w:val="24"/>
        </w:rPr>
        <w:t xml:space="preserve"> and real-time redeemable features.</w:t>
      </w:r>
    </w:p>
    <w:p>
      <w:pPr>
        <w:shd w:val="clear" w:color="auto" w:fill="CCFFCC"/>
        <w:rPr>
          <w:color w:val="000000" w:themeColor="text1"/>
          <w:sz w:val="24"/>
        </w:rPr>
      </w:pPr>
    </w:p>
    <w:p>
      <w:pPr>
        <w:shd w:val="clear" w:color="auto" w:fill="CCFFCC"/>
        <w:rPr>
          <w:color w:val="000000" w:themeColor="text1"/>
          <w:sz w:val="24"/>
        </w:rPr>
      </w:pPr>
      <w:r>
        <w:rPr>
          <w:color w:val="000000" w:themeColor="text1"/>
          <w:sz w:val="24"/>
        </w:rPr>
        <w:t>The a</w:t>
      </w:r>
      <w:r>
        <w:rPr>
          <w:rFonts w:hint="eastAsia"/>
          <w:color w:val="000000" w:themeColor="text1"/>
          <w:sz w:val="24"/>
        </w:rPr>
        <w:t xml:space="preserve">sset management business has effectively linked investment and financing, contributed to the growth of </w:t>
      </w:r>
      <w:r>
        <w:rPr>
          <w:color w:val="000000" w:themeColor="text1"/>
          <w:sz w:val="24"/>
        </w:rPr>
        <w:t xml:space="preserve">a </w:t>
      </w:r>
      <w:r>
        <w:rPr>
          <w:rFonts w:hint="eastAsia"/>
          <w:color w:val="000000" w:themeColor="text1"/>
          <w:sz w:val="24"/>
        </w:rPr>
        <w:t>direct financing market, expansion of domestic investment options, and the service range of financial institutions, and</w:t>
      </w:r>
      <w:r>
        <w:rPr>
          <w:color w:val="000000" w:themeColor="text1"/>
          <w:sz w:val="24"/>
        </w:rPr>
        <w:t xml:space="preserve"> it has</w:t>
      </w:r>
      <w:r>
        <w:rPr>
          <w:rFonts w:hint="eastAsia"/>
          <w:color w:val="000000" w:themeColor="text1"/>
          <w:sz w:val="24"/>
        </w:rPr>
        <w:t xml:space="preserve"> helped meet the financing need</w:t>
      </w:r>
      <w:r>
        <w:rPr>
          <w:color w:val="000000" w:themeColor="text1"/>
          <w:sz w:val="24"/>
        </w:rPr>
        <w:t>s</w:t>
      </w:r>
      <w:r>
        <w:rPr>
          <w:rFonts w:hint="eastAsia"/>
          <w:color w:val="000000" w:themeColor="text1"/>
          <w:sz w:val="24"/>
        </w:rPr>
        <w:t xml:space="preserve"> of the real sector. However, </w:t>
      </w:r>
      <w:r>
        <w:rPr>
          <w:color w:val="000000" w:themeColor="text1"/>
          <w:sz w:val="24"/>
        </w:rPr>
        <w:t xml:space="preserve">the </w:t>
      </w:r>
      <w:r>
        <w:rPr>
          <w:rFonts w:hint="eastAsia"/>
          <w:color w:val="000000" w:themeColor="text1"/>
          <w:sz w:val="24"/>
        </w:rPr>
        <w:t>asset management business has also given rise to asset pool operations, frequent reinvestment</w:t>
      </w:r>
      <w:r>
        <w:rPr>
          <w:color w:val="000000" w:themeColor="text1"/>
          <w:sz w:val="24"/>
        </w:rPr>
        <w:t>s</w:t>
      </w:r>
      <w:r>
        <w:rPr>
          <w:rFonts w:hint="eastAsia"/>
          <w:color w:val="000000" w:themeColor="text1"/>
          <w:sz w:val="24"/>
        </w:rPr>
        <w:t xml:space="preserve"> of the raised fund</w:t>
      </w:r>
      <w:r>
        <w:rPr>
          <w:color w:val="000000" w:themeColor="text1"/>
          <w:sz w:val="24"/>
        </w:rPr>
        <w:t>s</w:t>
      </w:r>
      <w:r>
        <w:rPr>
          <w:rFonts w:hint="eastAsia"/>
          <w:color w:val="000000" w:themeColor="text1"/>
          <w:sz w:val="24"/>
        </w:rPr>
        <w:t xml:space="preserve"> before </w:t>
      </w:r>
      <w:r>
        <w:rPr>
          <w:color w:val="000000" w:themeColor="text1"/>
          <w:sz w:val="24"/>
        </w:rPr>
        <w:t xml:space="preserve">the </w:t>
      </w:r>
      <w:r>
        <w:rPr>
          <w:rFonts w:hint="eastAsia"/>
          <w:color w:val="000000" w:themeColor="text1"/>
          <w:sz w:val="24"/>
        </w:rPr>
        <w:t>final investment, and unbreakable expectations of mandatory repayment</w:t>
      </w:r>
      <w:r>
        <w:rPr>
          <w:color w:val="000000" w:themeColor="text1"/>
          <w:sz w:val="24"/>
        </w:rPr>
        <w:t>s</w:t>
      </w:r>
      <w:r>
        <w:rPr>
          <w:rFonts w:hint="eastAsia"/>
          <w:color w:val="000000" w:themeColor="text1"/>
          <w:sz w:val="24"/>
        </w:rPr>
        <w:t xml:space="preserve">, among other problems. </w:t>
      </w:r>
      <w:r>
        <w:rPr>
          <w:color w:val="000000" w:themeColor="text1"/>
          <w:sz w:val="24"/>
        </w:rPr>
        <w:t>M</w:t>
      </w:r>
      <w:r>
        <w:rPr>
          <w:rFonts w:hint="eastAsia"/>
          <w:color w:val="000000" w:themeColor="text1"/>
          <w:sz w:val="24"/>
        </w:rPr>
        <w:t xml:space="preserve">arket order needs to be improved </w:t>
      </w:r>
      <w:r>
        <w:rPr>
          <w:color w:val="000000" w:themeColor="text1"/>
          <w:sz w:val="24"/>
        </w:rPr>
        <w:t>through</w:t>
      </w:r>
      <w:r>
        <w:rPr>
          <w:rFonts w:hint="eastAsia"/>
          <w:color w:val="000000" w:themeColor="text1"/>
          <w:sz w:val="24"/>
        </w:rPr>
        <w:t xml:space="preserve"> better regulation</w:t>
      </w:r>
      <w:r>
        <w:rPr>
          <w:color w:val="000000" w:themeColor="text1"/>
          <w:sz w:val="24"/>
        </w:rPr>
        <w:t>s</w:t>
      </w:r>
      <w:r>
        <w:rPr>
          <w:rFonts w:hint="eastAsia"/>
          <w:color w:val="000000" w:themeColor="text1"/>
          <w:sz w:val="24"/>
        </w:rPr>
        <w:t xml:space="preserve">. Several problems </w:t>
      </w:r>
      <w:r>
        <w:rPr>
          <w:rFonts w:hint="eastAsia" w:eastAsiaTheme="minorEastAsia"/>
          <w:color w:val="000000" w:themeColor="text1"/>
          <w:sz w:val="24"/>
        </w:rPr>
        <w:t>need to</w:t>
      </w:r>
      <w:r>
        <w:rPr>
          <w:rFonts w:hint="eastAsia"/>
          <w:color w:val="000000" w:themeColor="text1"/>
          <w:sz w:val="24"/>
        </w:rPr>
        <w:t xml:space="preserve"> be addressed. First, operation of </w:t>
      </w:r>
      <w:r>
        <w:rPr>
          <w:color w:val="000000" w:themeColor="text1"/>
          <w:sz w:val="24"/>
        </w:rPr>
        <w:t xml:space="preserve">the asset </w:t>
      </w:r>
      <w:r>
        <w:rPr>
          <w:rFonts w:hint="eastAsia"/>
          <w:color w:val="000000" w:themeColor="text1"/>
          <w:sz w:val="24"/>
        </w:rPr>
        <w:t xml:space="preserve">pool may trigger potential liquidity risks. </w:t>
      </w:r>
      <w:r>
        <w:rPr>
          <w:color w:val="000000" w:themeColor="text1"/>
          <w:sz w:val="24"/>
        </w:rPr>
        <w:t>A</w:t>
      </w:r>
      <w:r>
        <w:rPr>
          <w:rFonts w:hint="eastAsia"/>
          <w:color w:val="000000" w:themeColor="text1"/>
          <w:sz w:val="24"/>
        </w:rPr>
        <w:t xml:space="preserve">sset management </w:t>
      </w:r>
      <w:r>
        <w:rPr>
          <w:color w:val="000000" w:themeColor="text1"/>
          <w:sz w:val="24"/>
        </w:rPr>
        <w:t>institutio</w:t>
      </w:r>
      <w:r>
        <w:rPr>
          <w:rFonts w:hint="eastAsia"/>
          <w:color w:val="000000" w:themeColor="text1"/>
          <w:sz w:val="24"/>
        </w:rPr>
        <w:t>ns have used revolving issuance, collective operation</w:t>
      </w:r>
      <w:r>
        <w:rPr>
          <w:color w:val="000000" w:themeColor="text1"/>
          <w:sz w:val="24"/>
        </w:rPr>
        <w:t>s,</w:t>
      </w:r>
      <w:r>
        <w:rPr>
          <w:rFonts w:hint="eastAsia"/>
          <w:color w:val="000000" w:themeColor="text1"/>
          <w:sz w:val="24"/>
        </w:rPr>
        <w:t xml:space="preserve"> and </w:t>
      </w:r>
      <w:r>
        <w:rPr>
          <w:color w:val="000000" w:themeColor="text1"/>
          <w:sz w:val="24"/>
        </w:rPr>
        <w:t>separate</w:t>
      </w:r>
      <w:r>
        <w:rPr>
          <w:rFonts w:hint="eastAsia"/>
          <w:color w:val="000000" w:themeColor="text1"/>
          <w:sz w:val="24"/>
        </w:rPr>
        <w:t xml:space="preserve"> pricing to raise low-cost, short-term fund</w:t>
      </w:r>
      <w:r>
        <w:rPr>
          <w:color w:val="000000" w:themeColor="text1"/>
          <w:sz w:val="24"/>
        </w:rPr>
        <w:t>s</w:t>
      </w:r>
      <w:r>
        <w:rPr>
          <w:rFonts w:hint="eastAsia"/>
          <w:color w:val="000000" w:themeColor="text1"/>
          <w:sz w:val="24"/>
        </w:rPr>
        <w:t xml:space="preserve"> and </w:t>
      </w:r>
      <w:r>
        <w:rPr>
          <w:color w:val="000000" w:themeColor="text1"/>
          <w:sz w:val="24"/>
        </w:rPr>
        <w:t xml:space="preserve">to </w:t>
      </w:r>
      <w:r>
        <w:rPr>
          <w:rFonts w:hint="eastAsia"/>
          <w:color w:val="000000" w:themeColor="text1"/>
          <w:sz w:val="24"/>
        </w:rPr>
        <w:t>invest them in long-term debt or equity projects to seek maximum return</w:t>
      </w:r>
      <w:r>
        <w:rPr>
          <w:color w:val="000000" w:themeColor="text1"/>
          <w:sz w:val="24"/>
        </w:rPr>
        <w:t>s</w:t>
      </w:r>
      <w:r>
        <w:rPr>
          <w:rFonts w:hint="eastAsia"/>
          <w:color w:val="000000" w:themeColor="text1"/>
          <w:sz w:val="24"/>
        </w:rPr>
        <w:t xml:space="preserve">. Once they fail to raise subsequent funds, their schemes </w:t>
      </w:r>
      <w:r>
        <w:rPr>
          <w:rFonts w:eastAsiaTheme="minorEastAsia"/>
          <w:color w:val="000000" w:themeColor="text1"/>
          <w:sz w:val="24"/>
        </w:rPr>
        <w:t>would</w:t>
      </w:r>
      <w:r>
        <w:rPr>
          <w:rFonts w:hint="eastAsia" w:eastAsiaTheme="minorEastAsia"/>
          <w:color w:val="000000" w:themeColor="text1"/>
          <w:sz w:val="24"/>
        </w:rPr>
        <w:t xml:space="preserve"> </w:t>
      </w:r>
      <w:r>
        <w:rPr>
          <w:rFonts w:hint="eastAsia"/>
          <w:color w:val="000000" w:themeColor="text1"/>
          <w:sz w:val="24"/>
        </w:rPr>
        <w:t>incur liquidity shortage</w:t>
      </w:r>
      <w:r>
        <w:rPr>
          <w:color w:val="000000" w:themeColor="text1"/>
          <w:sz w:val="24"/>
        </w:rPr>
        <w:t>s</w:t>
      </w:r>
      <w:r>
        <w:rPr>
          <w:rFonts w:hint="eastAsia"/>
          <w:color w:val="000000" w:themeColor="text1"/>
          <w:sz w:val="24"/>
        </w:rPr>
        <w:t>, which m</w:t>
      </w:r>
      <w:r>
        <w:rPr>
          <w:rFonts w:hint="eastAsia" w:eastAsiaTheme="minorEastAsia"/>
          <w:color w:val="000000" w:themeColor="text1"/>
          <w:sz w:val="24"/>
        </w:rPr>
        <w:t>ight</w:t>
      </w:r>
      <w:r>
        <w:rPr>
          <w:rFonts w:hint="eastAsia"/>
          <w:color w:val="000000" w:themeColor="text1"/>
          <w:sz w:val="24"/>
        </w:rPr>
        <w:t xml:space="preserve"> spread to other institutions involved in the schemes. Second, the frequent reinvestment</w:t>
      </w:r>
      <w:r>
        <w:rPr>
          <w:color w:val="000000" w:themeColor="text1"/>
          <w:sz w:val="24"/>
        </w:rPr>
        <w:t>s</w:t>
      </w:r>
      <w:r>
        <w:rPr>
          <w:rFonts w:hint="eastAsia"/>
          <w:color w:val="000000" w:themeColor="text1"/>
          <w:sz w:val="24"/>
        </w:rPr>
        <w:t xml:space="preserve"> of raised fund</w:t>
      </w:r>
      <w:r>
        <w:rPr>
          <w:color w:val="000000" w:themeColor="text1"/>
          <w:sz w:val="24"/>
        </w:rPr>
        <w:t>s</w:t>
      </w:r>
      <w:r>
        <w:rPr>
          <w:rFonts w:hint="eastAsia"/>
          <w:color w:val="000000" w:themeColor="text1"/>
          <w:sz w:val="24"/>
        </w:rPr>
        <w:t xml:space="preserve"> may spread the potential risks. As funds are raised from multiple sources but invested m</w:t>
      </w:r>
      <w:r>
        <w:rPr>
          <w:color w:val="000000" w:themeColor="text1"/>
          <w:sz w:val="24"/>
        </w:rPr>
        <w:t>ainly</w:t>
      </w:r>
      <w:r>
        <w:rPr>
          <w:rFonts w:hint="eastAsia"/>
          <w:color w:val="000000" w:themeColor="text1"/>
          <w:sz w:val="24"/>
        </w:rPr>
        <w:t xml:space="preserve"> in debt claims, some bank</w:t>
      </w:r>
      <w:r>
        <w:rPr>
          <w:rFonts w:hint="eastAsia" w:eastAsiaTheme="minorEastAsia"/>
          <w:color w:val="000000" w:themeColor="text1"/>
          <w:sz w:val="24"/>
        </w:rPr>
        <w:t>s, in their</w:t>
      </w:r>
      <w:r>
        <w:rPr>
          <w:rFonts w:hint="eastAsia"/>
          <w:color w:val="000000" w:themeColor="text1"/>
          <w:sz w:val="24"/>
        </w:rPr>
        <w:t xml:space="preserve"> </w:t>
      </w:r>
      <w:r>
        <w:rPr>
          <w:color w:val="000000" w:themeColor="text1"/>
          <w:sz w:val="24"/>
        </w:rPr>
        <w:t>wealth</w:t>
      </w:r>
      <w:r>
        <w:rPr>
          <w:rFonts w:hint="eastAsia"/>
          <w:color w:val="000000" w:themeColor="text1"/>
          <w:sz w:val="24"/>
        </w:rPr>
        <w:t xml:space="preserve"> management business</w:t>
      </w:r>
      <w:r>
        <w:rPr>
          <w:rFonts w:hint="eastAsia" w:eastAsiaTheme="minorEastAsia"/>
          <w:color w:val="000000" w:themeColor="text1"/>
          <w:sz w:val="24"/>
        </w:rPr>
        <w:t xml:space="preserve">, </w:t>
      </w:r>
      <w:r>
        <w:rPr>
          <w:rFonts w:hint="eastAsia"/>
          <w:color w:val="000000" w:themeColor="text1"/>
          <w:sz w:val="24"/>
        </w:rPr>
        <w:t>have used products managed by trust, securities, asset management</w:t>
      </w:r>
      <w:r>
        <w:rPr>
          <w:color w:val="000000" w:themeColor="text1"/>
          <w:sz w:val="24"/>
        </w:rPr>
        <w:t>,</w:t>
      </w:r>
      <w:r>
        <w:rPr>
          <w:rFonts w:hint="eastAsia"/>
          <w:color w:val="000000" w:themeColor="text1"/>
          <w:sz w:val="24"/>
        </w:rPr>
        <w:t xml:space="preserve"> and insurance firms as channels for equity investments. S</w:t>
      </w:r>
      <w:r>
        <w:rPr>
          <w:color w:val="000000" w:themeColor="text1"/>
          <w:sz w:val="24"/>
        </w:rPr>
        <w:t>u</w:t>
      </w:r>
      <w:r>
        <w:rPr>
          <w:rFonts w:hint="eastAsia"/>
          <w:color w:val="000000" w:themeColor="text1"/>
          <w:sz w:val="24"/>
        </w:rPr>
        <w:t xml:space="preserve">ch products have complex structures after multiple </w:t>
      </w:r>
      <w:r>
        <w:rPr>
          <w:color w:val="000000" w:themeColor="text1"/>
          <w:sz w:val="24"/>
        </w:rPr>
        <w:t>reinvestments</w:t>
      </w:r>
      <w:r>
        <w:rPr>
          <w:rFonts w:hint="eastAsia"/>
          <w:color w:val="000000" w:themeColor="text1"/>
          <w:sz w:val="24"/>
        </w:rPr>
        <w:t>, blur</w:t>
      </w:r>
      <w:r>
        <w:rPr>
          <w:color w:val="000000" w:themeColor="text1"/>
          <w:sz w:val="24"/>
        </w:rPr>
        <w:t>ring the</w:t>
      </w:r>
      <w:r>
        <w:rPr>
          <w:rFonts w:hint="eastAsia"/>
          <w:color w:val="000000" w:themeColor="text1"/>
          <w:sz w:val="24"/>
        </w:rPr>
        <w:t xml:space="preserve"> underlying assets and </w:t>
      </w:r>
      <w:r>
        <w:rPr>
          <w:color w:val="000000" w:themeColor="text1"/>
          <w:sz w:val="24"/>
        </w:rPr>
        <w:t>possibly</w:t>
      </w:r>
      <w:r>
        <w:rPr>
          <w:rFonts w:hint="eastAsia"/>
          <w:color w:val="000000" w:themeColor="text1"/>
          <w:sz w:val="24"/>
        </w:rPr>
        <w:t xml:space="preserve"> exacerbat</w:t>
      </w:r>
      <w:r>
        <w:rPr>
          <w:color w:val="000000" w:themeColor="text1"/>
          <w:sz w:val="24"/>
        </w:rPr>
        <w:t>ing</w:t>
      </w:r>
      <w:r>
        <w:rPr>
          <w:rFonts w:hint="eastAsia"/>
          <w:color w:val="000000" w:themeColor="text1"/>
          <w:sz w:val="24"/>
        </w:rPr>
        <w:t xml:space="preserve"> </w:t>
      </w:r>
      <w:r>
        <w:rPr>
          <w:color w:val="000000" w:themeColor="text1"/>
          <w:sz w:val="24"/>
        </w:rPr>
        <w:t xml:space="preserve">the </w:t>
      </w:r>
      <w:r>
        <w:rPr>
          <w:rFonts w:hint="eastAsia"/>
          <w:color w:val="000000" w:themeColor="text1"/>
          <w:sz w:val="24"/>
        </w:rPr>
        <w:t>risk contagion and market fluctuations. In case</w:t>
      </w:r>
      <w:r>
        <w:rPr>
          <w:color w:val="000000" w:themeColor="text1"/>
          <w:sz w:val="24"/>
        </w:rPr>
        <w:t>s</w:t>
      </w:r>
      <w:r>
        <w:rPr>
          <w:rFonts w:hint="eastAsia"/>
          <w:color w:val="000000" w:themeColor="text1"/>
          <w:sz w:val="24"/>
        </w:rPr>
        <w:t xml:space="preserve"> of losses, it m</w:t>
      </w:r>
      <w:r>
        <w:rPr>
          <w:color w:val="000000" w:themeColor="text1"/>
          <w:sz w:val="24"/>
        </w:rPr>
        <w:t>ay</w:t>
      </w:r>
      <w:r>
        <w:rPr>
          <w:rFonts w:hint="eastAsia"/>
          <w:color w:val="000000" w:themeColor="text1"/>
          <w:sz w:val="24"/>
        </w:rPr>
        <w:t xml:space="preserve"> be difficult to </w:t>
      </w:r>
      <w:r>
        <w:rPr>
          <w:rFonts w:hint="eastAsia" w:eastAsiaTheme="minorEastAsia"/>
          <w:color w:val="000000" w:themeColor="text1"/>
          <w:sz w:val="24"/>
        </w:rPr>
        <w:t>pinpoint</w:t>
      </w:r>
      <w:r>
        <w:rPr>
          <w:rFonts w:hint="eastAsia"/>
          <w:color w:val="000000" w:themeColor="text1"/>
          <w:sz w:val="24"/>
        </w:rPr>
        <w:t xml:space="preserve"> who is liable. Third, regulation of the shadow banking business is inadequate. In the case of off-balance</w:t>
      </w:r>
      <w:r>
        <w:rPr>
          <w:color w:val="000000" w:themeColor="text1"/>
          <w:sz w:val="24"/>
        </w:rPr>
        <w:t>-</w:t>
      </w:r>
      <w:r>
        <w:rPr>
          <w:rFonts w:hint="eastAsia"/>
          <w:color w:val="000000" w:themeColor="text1"/>
          <w:sz w:val="24"/>
        </w:rPr>
        <w:t xml:space="preserve">sheet </w:t>
      </w:r>
      <w:r>
        <w:rPr>
          <w:color w:val="000000" w:themeColor="text1"/>
          <w:sz w:val="24"/>
        </w:rPr>
        <w:t>wealth</w:t>
      </w:r>
      <w:r>
        <w:rPr>
          <w:rFonts w:hint="eastAsia"/>
          <w:color w:val="000000" w:themeColor="text1"/>
          <w:sz w:val="24"/>
        </w:rPr>
        <w:t xml:space="preserve"> management of banks, bank-trust </w:t>
      </w:r>
      <w:r>
        <w:rPr>
          <w:color w:val="000000" w:themeColor="text1"/>
          <w:sz w:val="24"/>
        </w:rPr>
        <w:t>cooperation</w:t>
      </w:r>
      <w:r>
        <w:rPr>
          <w:rFonts w:hint="eastAsia"/>
          <w:color w:val="000000" w:themeColor="text1"/>
          <w:sz w:val="24"/>
        </w:rPr>
        <w:t>, bank</w:t>
      </w:r>
      <w:r>
        <w:rPr>
          <w:color w:val="000000" w:themeColor="text1"/>
          <w:sz w:val="24"/>
        </w:rPr>
        <w:t>–</w:t>
      </w:r>
      <w:r>
        <w:rPr>
          <w:rFonts w:hint="eastAsia"/>
          <w:color w:val="000000" w:themeColor="text1"/>
          <w:sz w:val="24"/>
        </w:rPr>
        <w:t xml:space="preserve">securities firm cooperation, </w:t>
      </w:r>
      <w:r>
        <w:rPr>
          <w:color w:val="000000" w:themeColor="text1"/>
          <w:sz w:val="24"/>
        </w:rPr>
        <w:t xml:space="preserve">and </w:t>
      </w:r>
      <w:r>
        <w:rPr>
          <w:rFonts w:hint="eastAsia"/>
          <w:color w:val="000000" w:themeColor="text1"/>
          <w:sz w:val="24"/>
        </w:rPr>
        <w:t>bank</w:t>
      </w:r>
      <w:r>
        <w:rPr>
          <w:color w:val="000000" w:themeColor="text1"/>
          <w:sz w:val="24"/>
        </w:rPr>
        <w:t>–</w:t>
      </w:r>
      <w:r>
        <w:rPr>
          <w:rFonts w:hint="eastAsia"/>
          <w:color w:val="000000" w:themeColor="text1"/>
          <w:sz w:val="24"/>
        </w:rPr>
        <w:t>asset management firm cooperation, when their products are invested in non-standard credit asset</w:t>
      </w:r>
      <w:r>
        <w:rPr>
          <w:color w:val="000000" w:themeColor="text1"/>
          <w:sz w:val="24"/>
        </w:rPr>
        <w:t>s</w:t>
      </w:r>
      <w:r>
        <w:rPr>
          <w:rFonts w:hint="eastAsia"/>
          <w:color w:val="000000" w:themeColor="text1"/>
          <w:sz w:val="24"/>
        </w:rPr>
        <w:t>, such business</w:t>
      </w:r>
      <w:r>
        <w:rPr>
          <w:color w:val="000000" w:themeColor="text1"/>
          <w:sz w:val="24"/>
        </w:rPr>
        <w:t>es</w:t>
      </w:r>
      <w:r>
        <w:rPr>
          <w:rFonts w:hint="eastAsia"/>
          <w:color w:val="000000" w:themeColor="text1"/>
          <w:sz w:val="24"/>
        </w:rPr>
        <w:t xml:space="preserve"> ha</w:t>
      </w:r>
      <w:r>
        <w:rPr>
          <w:color w:val="000000" w:themeColor="text1"/>
          <w:sz w:val="24"/>
        </w:rPr>
        <w:t>ve</w:t>
      </w:r>
      <w:r>
        <w:rPr>
          <w:rFonts w:hint="eastAsia"/>
          <w:color w:val="000000" w:themeColor="text1"/>
          <w:sz w:val="24"/>
        </w:rPr>
        <w:t xml:space="preserve"> shadow </w:t>
      </w:r>
      <w:r>
        <w:rPr>
          <w:color w:val="000000" w:themeColor="text1"/>
          <w:sz w:val="24"/>
        </w:rPr>
        <w:t>banking</w:t>
      </w:r>
      <w:r>
        <w:rPr>
          <w:rFonts w:hint="eastAsia"/>
          <w:color w:val="000000" w:themeColor="text1"/>
          <w:sz w:val="24"/>
        </w:rPr>
        <w:t xml:space="preserve"> features. The same can be said when insurance companies invest in products that are equity in name but debt in </w:t>
      </w:r>
      <w:r>
        <w:rPr>
          <w:color w:val="000000" w:themeColor="text1"/>
          <w:sz w:val="24"/>
        </w:rPr>
        <w:t>nature</w:t>
      </w:r>
      <w:r>
        <w:rPr>
          <w:rFonts w:hint="eastAsia"/>
          <w:color w:val="000000" w:themeColor="text1"/>
          <w:sz w:val="24"/>
        </w:rPr>
        <w:t xml:space="preserve">. Such </w:t>
      </w:r>
      <w:r>
        <w:rPr>
          <w:color w:val="000000" w:themeColor="text1"/>
          <w:sz w:val="24"/>
        </w:rPr>
        <w:t>businesses are</w:t>
      </w:r>
      <w:r>
        <w:rPr>
          <w:rFonts w:hint="eastAsia"/>
          <w:color w:val="000000" w:themeColor="text1"/>
          <w:sz w:val="24"/>
        </w:rPr>
        <w:t xml:space="preserve"> </w:t>
      </w:r>
      <w:r>
        <w:rPr>
          <w:rFonts w:hint="eastAsia" w:eastAsiaTheme="minorEastAsia"/>
          <w:color w:val="000000" w:themeColor="text1"/>
          <w:sz w:val="24"/>
        </w:rPr>
        <w:t xml:space="preserve">inherently </w:t>
      </w:r>
      <w:r>
        <w:rPr>
          <w:rFonts w:hint="eastAsia"/>
          <w:color w:val="000000" w:themeColor="text1"/>
          <w:sz w:val="24"/>
        </w:rPr>
        <w:t xml:space="preserve">opaque, </w:t>
      </w:r>
      <w:r>
        <w:rPr>
          <w:rFonts w:hint="eastAsia" w:eastAsiaTheme="minorEastAsia"/>
          <w:color w:val="000000" w:themeColor="text1"/>
          <w:sz w:val="24"/>
        </w:rPr>
        <w:t xml:space="preserve">can easily </w:t>
      </w:r>
      <w:r>
        <w:rPr>
          <w:rFonts w:eastAsiaTheme="minorEastAsia"/>
          <w:color w:val="000000" w:themeColor="text1"/>
          <w:sz w:val="24"/>
        </w:rPr>
        <w:t>duck</w:t>
      </w:r>
      <w:r>
        <w:rPr>
          <w:color w:val="000000" w:themeColor="text1"/>
          <w:sz w:val="24"/>
        </w:rPr>
        <w:t xml:space="preserve"> regulatory</w:t>
      </w:r>
      <w:r>
        <w:rPr>
          <w:rFonts w:hint="eastAsia"/>
          <w:color w:val="000000" w:themeColor="text1"/>
          <w:sz w:val="24"/>
        </w:rPr>
        <w:t xml:space="preserve"> requirements</w:t>
      </w:r>
      <w:r>
        <w:rPr>
          <w:color w:val="000000" w:themeColor="text1"/>
          <w:sz w:val="24"/>
        </w:rPr>
        <w:t>,</w:t>
      </w:r>
      <w:r>
        <w:rPr>
          <w:rFonts w:hint="eastAsia"/>
          <w:color w:val="000000" w:themeColor="text1"/>
          <w:sz w:val="24"/>
        </w:rPr>
        <w:t xml:space="preserve"> and </w:t>
      </w:r>
      <w:r>
        <w:rPr>
          <w:color w:val="000000" w:themeColor="text1"/>
          <w:sz w:val="24"/>
        </w:rPr>
        <w:t>constitute quasi</w:t>
      </w:r>
      <w:r>
        <w:rPr>
          <w:rFonts w:hint="eastAsia"/>
          <w:color w:val="000000" w:themeColor="text1"/>
          <w:sz w:val="24"/>
        </w:rPr>
        <w:t>-credit investment</w:t>
      </w:r>
      <w:r>
        <w:rPr>
          <w:color w:val="000000" w:themeColor="text1"/>
          <w:sz w:val="24"/>
        </w:rPr>
        <w:t>s</w:t>
      </w:r>
      <w:r>
        <w:rPr>
          <w:rFonts w:hint="eastAsia"/>
          <w:color w:val="000000" w:themeColor="text1"/>
          <w:sz w:val="24"/>
        </w:rPr>
        <w:t>. Some are even invested in restricted fields. Fourth, the existence of unbreakable expectation</w:t>
      </w:r>
      <w:r>
        <w:rPr>
          <w:color w:val="000000" w:themeColor="text1"/>
          <w:sz w:val="24"/>
        </w:rPr>
        <w:t>s</w:t>
      </w:r>
      <w:r>
        <w:rPr>
          <w:rFonts w:hint="eastAsia"/>
          <w:color w:val="000000" w:themeColor="text1"/>
          <w:sz w:val="24"/>
        </w:rPr>
        <w:t xml:space="preserve"> of risk-free </w:t>
      </w:r>
      <w:r>
        <w:rPr>
          <w:color w:val="000000" w:themeColor="text1"/>
          <w:sz w:val="24"/>
        </w:rPr>
        <w:t>re</w:t>
      </w:r>
      <w:r>
        <w:rPr>
          <w:rFonts w:hint="eastAsia"/>
          <w:color w:val="000000" w:themeColor="text1"/>
          <w:sz w:val="24"/>
        </w:rPr>
        <w:t>payment</w:t>
      </w:r>
      <w:r>
        <w:rPr>
          <w:color w:val="000000" w:themeColor="text1"/>
          <w:sz w:val="24"/>
        </w:rPr>
        <w:t>s</w:t>
      </w:r>
      <w:r>
        <w:rPr>
          <w:rFonts w:hint="eastAsia"/>
          <w:color w:val="000000" w:themeColor="text1"/>
          <w:sz w:val="24"/>
        </w:rPr>
        <w:t xml:space="preserve"> has meant that the risks </w:t>
      </w:r>
      <w:r>
        <w:rPr>
          <w:color w:val="000000" w:themeColor="text1"/>
          <w:sz w:val="24"/>
        </w:rPr>
        <w:t>remain</w:t>
      </w:r>
      <w:r>
        <w:rPr>
          <w:rFonts w:hint="eastAsia"/>
          <w:color w:val="000000" w:themeColor="text1"/>
          <w:sz w:val="24"/>
        </w:rPr>
        <w:t xml:space="preserve"> within the financial system. The expected returns of some asset management products are assured by proprietary funds or asset pools of the </w:t>
      </w:r>
      <w:r>
        <w:rPr>
          <w:color w:val="000000" w:themeColor="text1"/>
          <w:sz w:val="24"/>
        </w:rPr>
        <w:t>management</w:t>
      </w:r>
      <w:r>
        <w:rPr>
          <w:rFonts w:hint="eastAsia"/>
          <w:color w:val="000000" w:themeColor="text1"/>
          <w:sz w:val="24"/>
        </w:rPr>
        <w:t xml:space="preserve"> institutions, </w:t>
      </w:r>
      <w:r>
        <w:rPr>
          <w:color w:val="000000" w:themeColor="text1"/>
          <w:sz w:val="24"/>
        </w:rPr>
        <w:t xml:space="preserve">and thus </w:t>
      </w:r>
      <w:r>
        <w:rPr>
          <w:rFonts w:hint="eastAsia"/>
          <w:color w:val="000000" w:themeColor="text1"/>
          <w:sz w:val="24"/>
        </w:rPr>
        <w:t>the risks are not fully insulated from their own asset and liability business</w:t>
      </w:r>
      <w:r>
        <w:rPr>
          <w:color w:val="000000" w:themeColor="text1"/>
          <w:sz w:val="24"/>
        </w:rPr>
        <w:t>es</w:t>
      </w:r>
      <w:r>
        <w:rPr>
          <w:rFonts w:hint="eastAsia"/>
          <w:color w:val="000000" w:themeColor="text1"/>
          <w:sz w:val="24"/>
        </w:rPr>
        <w:t>. The existence of expectation</w:t>
      </w:r>
      <w:r>
        <w:rPr>
          <w:color w:val="000000" w:themeColor="text1"/>
          <w:sz w:val="24"/>
        </w:rPr>
        <w:t>s</w:t>
      </w:r>
      <w:r>
        <w:rPr>
          <w:rFonts w:hint="eastAsia"/>
          <w:color w:val="000000" w:themeColor="text1"/>
          <w:sz w:val="24"/>
        </w:rPr>
        <w:t xml:space="preserve"> of risk-free repayment</w:t>
      </w:r>
      <w:r>
        <w:rPr>
          <w:color w:val="000000" w:themeColor="text1"/>
          <w:sz w:val="24"/>
        </w:rPr>
        <w:t>s</w:t>
      </w:r>
      <w:r>
        <w:rPr>
          <w:rFonts w:hint="eastAsia"/>
          <w:color w:val="000000" w:themeColor="text1"/>
          <w:sz w:val="24"/>
        </w:rPr>
        <w:t xml:space="preserve"> runs counter to the nature of </w:t>
      </w:r>
      <w:r>
        <w:rPr>
          <w:color w:val="000000" w:themeColor="text1"/>
          <w:sz w:val="24"/>
        </w:rPr>
        <w:t xml:space="preserve">the </w:t>
      </w:r>
      <w:r>
        <w:rPr>
          <w:rFonts w:hint="eastAsia"/>
          <w:color w:val="000000" w:themeColor="text1"/>
          <w:sz w:val="24"/>
        </w:rPr>
        <w:t xml:space="preserve">asset management business. It </w:t>
      </w:r>
      <w:r>
        <w:rPr>
          <w:color w:val="000000" w:themeColor="text1"/>
          <w:sz w:val="24"/>
        </w:rPr>
        <w:t>leads</w:t>
      </w:r>
      <w:r>
        <w:rPr>
          <w:rFonts w:hint="eastAsia"/>
          <w:color w:val="000000" w:themeColor="text1"/>
          <w:sz w:val="24"/>
        </w:rPr>
        <w:t xml:space="preserve"> to </w:t>
      </w:r>
      <w:r>
        <w:rPr>
          <w:color w:val="000000" w:themeColor="text1"/>
          <w:sz w:val="24"/>
        </w:rPr>
        <w:t xml:space="preserve">an </w:t>
      </w:r>
      <w:r>
        <w:rPr>
          <w:rFonts w:hint="eastAsia"/>
          <w:color w:val="000000" w:themeColor="text1"/>
          <w:sz w:val="24"/>
        </w:rPr>
        <w:t>accumulation of risks in the financial system, pushes up risk-free yield</w:t>
      </w:r>
      <w:r>
        <w:rPr>
          <w:color w:val="000000" w:themeColor="text1"/>
          <w:sz w:val="24"/>
        </w:rPr>
        <w:t>s,</w:t>
      </w:r>
      <w:r>
        <w:rPr>
          <w:rFonts w:hint="eastAsia"/>
          <w:color w:val="000000" w:themeColor="text1"/>
          <w:sz w:val="24"/>
        </w:rPr>
        <w:t xml:space="preserve"> and gives rise to moral hazard</w:t>
      </w:r>
      <w:r>
        <w:rPr>
          <w:color w:val="000000" w:themeColor="text1"/>
          <w:sz w:val="24"/>
        </w:rPr>
        <w:t>s</w:t>
      </w:r>
      <w:r>
        <w:rPr>
          <w:rFonts w:hint="eastAsia"/>
          <w:color w:val="000000" w:themeColor="text1"/>
          <w:sz w:val="24"/>
        </w:rPr>
        <w:t xml:space="preserve">. Fifth, the asset management business of some financial institutions is in disarray. Some asset management products designed for private placements are repackaged and sold on the </w:t>
      </w:r>
      <w:r>
        <w:rPr>
          <w:color w:val="000000" w:themeColor="text1"/>
          <w:sz w:val="24"/>
        </w:rPr>
        <w:t>I</w:t>
      </w:r>
      <w:r>
        <w:rPr>
          <w:rFonts w:hint="eastAsia"/>
          <w:color w:val="000000" w:themeColor="text1"/>
          <w:sz w:val="24"/>
        </w:rPr>
        <w:t>nternet to the public instead of</w:t>
      </w:r>
      <w:r>
        <w:rPr>
          <w:color w:val="000000" w:themeColor="text1"/>
          <w:sz w:val="24"/>
        </w:rPr>
        <w:t xml:space="preserve"> to</w:t>
      </w:r>
      <w:r>
        <w:rPr>
          <w:rFonts w:hint="eastAsia"/>
          <w:color w:val="000000" w:themeColor="text1"/>
          <w:sz w:val="24"/>
        </w:rPr>
        <w:t xml:space="preserve"> the originally targeted group. Some pitch their products to investors that have no capacity </w:t>
      </w:r>
      <w:r>
        <w:rPr>
          <w:color w:val="000000" w:themeColor="text1"/>
          <w:sz w:val="24"/>
        </w:rPr>
        <w:t>to</w:t>
      </w:r>
      <w:r>
        <w:rPr>
          <w:rFonts w:hint="eastAsia"/>
          <w:color w:val="000000" w:themeColor="text1"/>
          <w:sz w:val="24"/>
        </w:rPr>
        <w:t xml:space="preserve"> identify</w:t>
      </w:r>
      <w:r>
        <w:rPr>
          <w:color w:val="000000" w:themeColor="text1"/>
          <w:sz w:val="24"/>
        </w:rPr>
        <w:t xml:space="preserve"> </w:t>
      </w:r>
      <w:r>
        <w:rPr>
          <w:rFonts w:hint="eastAsia"/>
          <w:color w:val="000000" w:themeColor="text1"/>
          <w:sz w:val="24"/>
        </w:rPr>
        <w:t>risks. Some others pitch</w:t>
      </w:r>
      <w:r>
        <w:rPr>
          <w:color w:val="000000" w:themeColor="text1"/>
          <w:sz w:val="24"/>
        </w:rPr>
        <w:t xml:space="preserve"> their products</w:t>
      </w:r>
      <w:r>
        <w:rPr>
          <w:rFonts w:hint="eastAsia"/>
          <w:color w:val="000000" w:themeColor="text1"/>
          <w:sz w:val="24"/>
        </w:rPr>
        <w:t xml:space="preserve"> in a misleading manner without full disclosure of </w:t>
      </w:r>
      <w:r>
        <w:rPr>
          <w:color w:val="000000" w:themeColor="text1"/>
          <w:sz w:val="24"/>
        </w:rPr>
        <w:t xml:space="preserve">the </w:t>
      </w:r>
      <w:r>
        <w:rPr>
          <w:rFonts w:hint="eastAsia"/>
          <w:color w:val="000000" w:themeColor="text1"/>
          <w:sz w:val="24"/>
        </w:rPr>
        <w:t>risks. Some have not placed the raised fund</w:t>
      </w:r>
      <w:r>
        <w:rPr>
          <w:color w:val="000000" w:themeColor="text1"/>
          <w:sz w:val="24"/>
        </w:rPr>
        <w:t>s</w:t>
      </w:r>
      <w:r>
        <w:rPr>
          <w:rFonts w:hint="eastAsia"/>
          <w:color w:val="000000" w:themeColor="text1"/>
          <w:sz w:val="24"/>
        </w:rPr>
        <w:t xml:space="preserve"> in custody, or</w:t>
      </w:r>
      <w:r>
        <w:rPr>
          <w:color w:val="000000" w:themeColor="text1"/>
          <w:sz w:val="24"/>
        </w:rPr>
        <w:t xml:space="preserve"> have</w:t>
      </w:r>
      <w:r>
        <w:rPr>
          <w:rFonts w:hint="eastAsia"/>
          <w:color w:val="000000" w:themeColor="text1"/>
          <w:sz w:val="24"/>
        </w:rPr>
        <w:t xml:space="preserve"> even engaged in illegal fund</w:t>
      </w:r>
      <w:r>
        <w:rPr>
          <w:color w:val="000000" w:themeColor="text1"/>
          <w:sz w:val="24"/>
        </w:rPr>
        <w:t>-</w:t>
      </w:r>
      <w:r>
        <w:rPr>
          <w:rFonts w:hint="eastAsia"/>
          <w:color w:val="000000" w:themeColor="text1"/>
          <w:sz w:val="24"/>
        </w:rPr>
        <w:t xml:space="preserve">raising activities. </w:t>
      </w:r>
    </w:p>
    <w:p>
      <w:pPr>
        <w:shd w:val="clear" w:color="auto" w:fill="CCFFCC"/>
        <w:rPr>
          <w:color w:val="000000" w:themeColor="text1"/>
          <w:sz w:val="24"/>
        </w:rPr>
      </w:pPr>
    </w:p>
    <w:p>
      <w:pPr>
        <w:shd w:val="clear" w:color="auto" w:fill="CCFFCC"/>
        <w:rPr>
          <w:color w:val="000000" w:themeColor="text1"/>
          <w:sz w:val="24"/>
        </w:rPr>
      </w:pPr>
      <w:r>
        <w:rPr>
          <w:rFonts w:hint="eastAsia"/>
          <w:color w:val="000000" w:themeColor="text1"/>
          <w:sz w:val="24"/>
        </w:rPr>
        <w:t xml:space="preserve">To address the salient risks and problems that have emerged in the rapid expansion of </w:t>
      </w:r>
      <w:r>
        <w:rPr>
          <w:color w:val="000000" w:themeColor="text1"/>
          <w:sz w:val="24"/>
        </w:rPr>
        <w:t>the asset</w:t>
      </w:r>
      <w:r>
        <w:rPr>
          <w:rFonts w:hint="eastAsia"/>
          <w:color w:val="000000" w:themeColor="text1"/>
          <w:sz w:val="24"/>
        </w:rPr>
        <w:t xml:space="preserve"> </w:t>
      </w:r>
      <w:r>
        <w:rPr>
          <w:color w:val="000000" w:themeColor="text1"/>
          <w:sz w:val="24"/>
        </w:rPr>
        <w:t>management</w:t>
      </w:r>
      <w:r>
        <w:rPr>
          <w:rFonts w:hint="eastAsia"/>
          <w:color w:val="000000" w:themeColor="text1"/>
          <w:sz w:val="24"/>
        </w:rPr>
        <w:t xml:space="preserve"> business, it is necessary to note that the relationship between wealth managers and clients is not </w:t>
      </w:r>
      <w:r>
        <w:rPr>
          <w:color w:val="000000" w:themeColor="text1"/>
          <w:sz w:val="24"/>
        </w:rPr>
        <w:t>a relationship</w:t>
      </w:r>
      <w:r>
        <w:rPr>
          <w:rFonts w:hint="eastAsia"/>
          <w:color w:val="000000" w:themeColor="text1"/>
          <w:sz w:val="24"/>
        </w:rPr>
        <w:t xml:space="preserve"> between creditor and debtor. The stakeholders should have a full grasp of the nature of asset management. We will adopt a problem-oriented approach to guide it back to the trajectory of the managers managing </w:t>
      </w:r>
      <w:r>
        <w:rPr>
          <w:color w:val="000000" w:themeColor="text1"/>
          <w:sz w:val="24"/>
        </w:rPr>
        <w:t>wealth</w:t>
      </w:r>
      <w:r>
        <w:rPr>
          <w:rFonts w:hint="eastAsia"/>
          <w:color w:val="000000" w:themeColor="text1"/>
          <w:sz w:val="24"/>
        </w:rPr>
        <w:t xml:space="preserve"> on behalf of clients and the clients assuming the risks of investment. At the current stage, we need to adopt the same </w:t>
      </w:r>
      <w:r>
        <w:rPr>
          <w:color w:val="000000" w:themeColor="text1"/>
          <w:sz w:val="24"/>
        </w:rPr>
        <w:t>regulatory</w:t>
      </w:r>
      <w:r>
        <w:rPr>
          <w:rFonts w:hint="eastAsia"/>
          <w:color w:val="000000" w:themeColor="text1"/>
          <w:sz w:val="24"/>
        </w:rPr>
        <w:t xml:space="preserve"> standard</w:t>
      </w:r>
      <w:r>
        <w:rPr>
          <w:color w:val="000000" w:themeColor="text1"/>
          <w:sz w:val="24"/>
        </w:rPr>
        <w:t>s</w:t>
      </w:r>
      <w:r>
        <w:rPr>
          <w:rFonts w:hint="eastAsia"/>
          <w:color w:val="000000" w:themeColor="text1"/>
          <w:sz w:val="24"/>
        </w:rPr>
        <w:t xml:space="preserve"> for the same kind</w:t>
      </w:r>
      <w:r>
        <w:rPr>
          <w:color w:val="000000" w:themeColor="text1"/>
          <w:sz w:val="24"/>
        </w:rPr>
        <w:t>s</w:t>
      </w:r>
      <w:r>
        <w:rPr>
          <w:rFonts w:hint="eastAsia"/>
          <w:color w:val="000000" w:themeColor="text1"/>
          <w:sz w:val="24"/>
        </w:rPr>
        <w:t xml:space="preserve"> of products and </w:t>
      </w:r>
      <w:r>
        <w:rPr>
          <w:color w:val="000000" w:themeColor="text1"/>
          <w:sz w:val="24"/>
        </w:rPr>
        <w:t xml:space="preserve">to </w:t>
      </w:r>
      <w:r>
        <w:rPr>
          <w:rFonts w:hint="eastAsia"/>
          <w:color w:val="000000" w:themeColor="text1"/>
          <w:sz w:val="24"/>
        </w:rPr>
        <w:t xml:space="preserve">establish effective regulation for </w:t>
      </w:r>
      <w:r>
        <w:rPr>
          <w:color w:val="000000" w:themeColor="text1"/>
          <w:sz w:val="24"/>
        </w:rPr>
        <w:t xml:space="preserve">the </w:t>
      </w:r>
      <w:r>
        <w:rPr>
          <w:rFonts w:hint="eastAsia"/>
          <w:color w:val="000000" w:themeColor="text1"/>
          <w:sz w:val="24"/>
        </w:rPr>
        <w:t>asset management business. First, the standard</w:t>
      </w:r>
      <w:r>
        <w:rPr>
          <w:color w:val="000000" w:themeColor="text1"/>
          <w:sz w:val="24"/>
        </w:rPr>
        <w:t>s</w:t>
      </w:r>
      <w:r>
        <w:rPr>
          <w:rFonts w:hint="eastAsia"/>
          <w:color w:val="000000" w:themeColor="text1"/>
          <w:sz w:val="24"/>
        </w:rPr>
        <w:t xml:space="preserve"> </w:t>
      </w:r>
      <w:r>
        <w:rPr>
          <w:color w:val="000000" w:themeColor="text1"/>
          <w:sz w:val="24"/>
        </w:rPr>
        <w:t>for</w:t>
      </w:r>
      <w:r>
        <w:rPr>
          <w:rFonts w:hint="eastAsia"/>
          <w:color w:val="000000" w:themeColor="text1"/>
          <w:sz w:val="24"/>
        </w:rPr>
        <w:t xml:space="preserve"> regulation s</w:t>
      </w:r>
      <w:r>
        <w:rPr>
          <w:color w:val="000000" w:themeColor="text1"/>
          <w:sz w:val="24"/>
        </w:rPr>
        <w:t>hould</w:t>
      </w:r>
      <w:r>
        <w:rPr>
          <w:rFonts w:hint="eastAsia"/>
          <w:color w:val="000000" w:themeColor="text1"/>
          <w:sz w:val="24"/>
        </w:rPr>
        <w:t xml:space="preserve"> be established and unified on the basis of </w:t>
      </w:r>
      <w:r>
        <w:rPr>
          <w:color w:val="000000" w:themeColor="text1"/>
          <w:sz w:val="24"/>
        </w:rPr>
        <w:t xml:space="preserve">the </w:t>
      </w:r>
      <w:r>
        <w:rPr>
          <w:rFonts w:hint="eastAsia"/>
          <w:color w:val="000000" w:themeColor="text1"/>
          <w:sz w:val="24"/>
        </w:rPr>
        <w:t>product categori</w:t>
      </w:r>
      <w:r>
        <w:rPr>
          <w:color w:val="000000" w:themeColor="text1"/>
          <w:sz w:val="24"/>
        </w:rPr>
        <w:t>es</w:t>
      </w:r>
      <w:r>
        <w:rPr>
          <w:rFonts w:hint="eastAsia"/>
          <w:color w:val="000000" w:themeColor="text1"/>
          <w:sz w:val="24"/>
        </w:rPr>
        <w:t xml:space="preserve"> to gradually eliminate the space for arbitrage. A </w:t>
      </w:r>
      <w:r>
        <w:rPr>
          <w:color w:val="000000" w:themeColor="text1"/>
          <w:sz w:val="24"/>
        </w:rPr>
        <w:t>macro-prudential</w:t>
      </w:r>
      <w:r>
        <w:rPr>
          <w:rFonts w:hint="eastAsia"/>
          <w:color w:val="000000" w:themeColor="text1"/>
          <w:sz w:val="24"/>
        </w:rPr>
        <w:t xml:space="preserve"> policy framework will be put in place and policy tools </w:t>
      </w:r>
      <w:r>
        <w:rPr>
          <w:color w:val="000000" w:themeColor="text1"/>
          <w:sz w:val="24"/>
        </w:rPr>
        <w:t xml:space="preserve">will be </w:t>
      </w:r>
      <w:r>
        <w:rPr>
          <w:rFonts w:hint="eastAsia"/>
          <w:color w:val="000000" w:themeColor="text1"/>
          <w:sz w:val="24"/>
        </w:rPr>
        <w:t>improved to step up monitoring, assessment</w:t>
      </w:r>
      <w:r>
        <w:rPr>
          <w:color w:val="000000" w:themeColor="text1"/>
          <w:sz w:val="24"/>
        </w:rPr>
        <w:t>s,</w:t>
      </w:r>
      <w:r>
        <w:rPr>
          <w:rFonts w:hint="eastAsia"/>
          <w:color w:val="000000" w:themeColor="text1"/>
          <w:sz w:val="24"/>
        </w:rPr>
        <w:t xml:space="preserve"> and </w:t>
      </w:r>
      <w:r>
        <w:rPr>
          <w:color w:val="000000" w:themeColor="text1"/>
          <w:sz w:val="24"/>
        </w:rPr>
        <w:t>adjustments</w:t>
      </w:r>
      <w:r>
        <w:rPr>
          <w:rFonts w:hint="eastAsia"/>
          <w:color w:val="000000" w:themeColor="text1"/>
          <w:sz w:val="24"/>
        </w:rPr>
        <w:t xml:space="preserve"> from a macro, counter-cyclical</w:t>
      </w:r>
      <w:r>
        <w:rPr>
          <w:color w:val="000000" w:themeColor="text1"/>
          <w:sz w:val="24"/>
        </w:rPr>
        <w:t>,</w:t>
      </w:r>
      <w:r>
        <w:rPr>
          <w:rFonts w:hint="eastAsia"/>
          <w:color w:val="000000" w:themeColor="text1"/>
          <w:sz w:val="24"/>
        </w:rPr>
        <w:t xml:space="preserve"> and cross-market perspective. Functional regulation and regulation focusing on the underlying asset</w:t>
      </w:r>
      <w:r>
        <w:rPr>
          <w:color w:val="000000" w:themeColor="text1"/>
          <w:sz w:val="24"/>
        </w:rPr>
        <w:t>s</w:t>
      </w:r>
      <w:r>
        <w:rPr>
          <w:rFonts w:hint="eastAsia"/>
          <w:color w:val="000000" w:themeColor="text1"/>
          <w:sz w:val="24"/>
        </w:rPr>
        <w:t xml:space="preserve"> and the ultimate investors will be enhanced by adopting the same standard</w:t>
      </w:r>
      <w:r>
        <w:rPr>
          <w:color w:val="000000" w:themeColor="text1"/>
          <w:sz w:val="24"/>
        </w:rPr>
        <w:t>s</w:t>
      </w:r>
      <w:r>
        <w:rPr>
          <w:rFonts w:hint="eastAsia"/>
          <w:color w:val="000000" w:themeColor="text1"/>
          <w:sz w:val="24"/>
        </w:rPr>
        <w:t xml:space="preserve"> </w:t>
      </w:r>
      <w:r>
        <w:rPr>
          <w:color w:val="000000" w:themeColor="text1"/>
          <w:sz w:val="24"/>
        </w:rPr>
        <w:t>for</w:t>
      </w:r>
      <w:r>
        <w:rPr>
          <w:rFonts w:hint="eastAsia"/>
          <w:color w:val="000000" w:themeColor="text1"/>
          <w:sz w:val="24"/>
        </w:rPr>
        <w:t xml:space="preserve"> the same category of products, </w:t>
      </w:r>
      <w:r>
        <w:rPr>
          <w:color w:val="000000" w:themeColor="text1"/>
          <w:sz w:val="24"/>
        </w:rPr>
        <w:t xml:space="preserve">and </w:t>
      </w:r>
      <w:r>
        <w:rPr>
          <w:rFonts w:hint="eastAsia"/>
          <w:color w:val="000000" w:themeColor="text1"/>
          <w:sz w:val="24"/>
        </w:rPr>
        <w:t xml:space="preserve">to prevent arbitrage and </w:t>
      </w:r>
      <w:r>
        <w:rPr>
          <w:color w:val="000000" w:themeColor="text1"/>
          <w:sz w:val="24"/>
        </w:rPr>
        <w:t xml:space="preserve">to </w:t>
      </w:r>
      <w:r>
        <w:rPr>
          <w:rFonts w:hint="eastAsia"/>
          <w:color w:val="000000" w:themeColor="text1"/>
          <w:sz w:val="24"/>
        </w:rPr>
        <w:t>contain</w:t>
      </w:r>
      <w:r>
        <w:rPr>
          <w:color w:val="000000" w:themeColor="text1"/>
          <w:sz w:val="24"/>
        </w:rPr>
        <w:t xml:space="preserve"> the spread of</w:t>
      </w:r>
      <w:r>
        <w:rPr>
          <w:rFonts w:hint="eastAsia"/>
          <w:color w:val="000000" w:themeColor="text1"/>
          <w:sz w:val="24"/>
        </w:rPr>
        <w:t xml:space="preserve"> risk</w:t>
      </w:r>
      <w:r>
        <w:rPr>
          <w:color w:val="000000" w:themeColor="text1"/>
          <w:sz w:val="24"/>
        </w:rPr>
        <w:t>s</w:t>
      </w:r>
      <w:r>
        <w:rPr>
          <w:rFonts w:hint="eastAsia"/>
          <w:color w:val="000000" w:themeColor="text1"/>
          <w:sz w:val="24"/>
        </w:rPr>
        <w:t xml:space="preserve"> as a result of reinvestment</w:t>
      </w:r>
      <w:r>
        <w:rPr>
          <w:color w:val="000000" w:themeColor="text1"/>
          <w:sz w:val="24"/>
        </w:rPr>
        <w:t>s</w:t>
      </w:r>
      <w:r>
        <w:rPr>
          <w:rFonts w:hint="eastAsia"/>
          <w:color w:val="000000" w:themeColor="text1"/>
          <w:sz w:val="24"/>
        </w:rPr>
        <w:t xml:space="preserve">. Second, the asset management business will </w:t>
      </w:r>
      <w:r>
        <w:rPr>
          <w:rFonts w:hint="eastAsia" w:eastAsiaTheme="minorEastAsia"/>
          <w:color w:val="000000" w:themeColor="text1"/>
          <w:sz w:val="24"/>
        </w:rPr>
        <w:t xml:space="preserve">be brought back to its original nature and </w:t>
      </w:r>
      <w:r>
        <w:rPr>
          <w:rFonts w:hint="eastAsia"/>
          <w:color w:val="000000" w:themeColor="text1"/>
          <w:sz w:val="24"/>
        </w:rPr>
        <w:t>end the practice of risk-free repayment. The investors will reap the return</w:t>
      </w:r>
      <w:r>
        <w:rPr>
          <w:color w:val="000000" w:themeColor="text1"/>
          <w:sz w:val="24"/>
        </w:rPr>
        <w:t>s</w:t>
      </w:r>
      <w:r>
        <w:rPr>
          <w:rFonts w:hint="eastAsia"/>
          <w:color w:val="000000" w:themeColor="text1"/>
          <w:sz w:val="24"/>
        </w:rPr>
        <w:t xml:space="preserve"> and assume the loss</w:t>
      </w:r>
      <w:r>
        <w:rPr>
          <w:color w:val="000000" w:themeColor="text1"/>
          <w:sz w:val="24"/>
        </w:rPr>
        <w:t>es</w:t>
      </w:r>
      <w:r>
        <w:rPr>
          <w:rFonts w:hint="eastAsia"/>
          <w:color w:val="000000" w:themeColor="text1"/>
          <w:sz w:val="24"/>
        </w:rPr>
        <w:t xml:space="preserve"> of asset management</w:t>
      </w:r>
      <w:r>
        <w:rPr>
          <w:color w:val="000000" w:themeColor="text1"/>
          <w:sz w:val="24"/>
        </w:rPr>
        <w:t>,</w:t>
      </w:r>
      <w:r>
        <w:rPr>
          <w:rFonts w:hint="eastAsia"/>
          <w:color w:val="000000" w:themeColor="text1"/>
          <w:sz w:val="24"/>
        </w:rPr>
        <w:t xml:space="preserve"> while the agent will only charge </w:t>
      </w:r>
      <w:r>
        <w:rPr>
          <w:color w:val="000000" w:themeColor="text1"/>
          <w:sz w:val="24"/>
        </w:rPr>
        <w:t xml:space="preserve">a </w:t>
      </w:r>
      <w:r>
        <w:rPr>
          <w:rFonts w:hint="eastAsia"/>
          <w:color w:val="000000" w:themeColor="text1"/>
          <w:sz w:val="24"/>
        </w:rPr>
        <w:t xml:space="preserve">commission for managing </w:t>
      </w:r>
      <w:r>
        <w:rPr>
          <w:color w:val="000000" w:themeColor="text1"/>
          <w:sz w:val="24"/>
        </w:rPr>
        <w:t xml:space="preserve">the </w:t>
      </w:r>
      <w:r>
        <w:rPr>
          <w:rFonts w:hint="eastAsia"/>
          <w:color w:val="000000" w:themeColor="text1"/>
          <w:sz w:val="24"/>
        </w:rPr>
        <w:t xml:space="preserve">assets. The asset management </w:t>
      </w:r>
      <w:r>
        <w:rPr>
          <w:color w:val="000000" w:themeColor="text1"/>
          <w:sz w:val="24"/>
        </w:rPr>
        <w:t>institutions</w:t>
      </w:r>
      <w:r>
        <w:rPr>
          <w:rFonts w:hint="eastAsia"/>
          <w:color w:val="000000" w:themeColor="text1"/>
          <w:sz w:val="24"/>
        </w:rPr>
        <w:t xml:space="preserve"> must not undertake to ensure </w:t>
      </w:r>
      <w:r>
        <w:rPr>
          <w:color w:val="000000" w:themeColor="text1"/>
          <w:sz w:val="24"/>
        </w:rPr>
        <w:t xml:space="preserve">the </w:t>
      </w:r>
      <w:r>
        <w:rPr>
          <w:rFonts w:hint="eastAsia"/>
          <w:color w:val="000000" w:themeColor="text1"/>
          <w:sz w:val="24"/>
        </w:rPr>
        <w:t xml:space="preserve">safety of </w:t>
      </w:r>
      <w:r>
        <w:rPr>
          <w:color w:val="000000" w:themeColor="text1"/>
          <w:sz w:val="24"/>
        </w:rPr>
        <w:t>the principal</w:t>
      </w:r>
      <w:r>
        <w:rPr>
          <w:rFonts w:hint="eastAsia"/>
          <w:color w:val="000000" w:themeColor="text1"/>
          <w:sz w:val="24"/>
        </w:rPr>
        <w:t xml:space="preserve"> or returns to avoid misleading the investors. Investor suitability management and investor education should be </w:t>
      </w:r>
      <w:r>
        <w:rPr>
          <w:rFonts w:hint="eastAsia" w:eastAsiaTheme="minorEastAsia"/>
          <w:color w:val="000000" w:themeColor="text1"/>
          <w:sz w:val="24"/>
        </w:rPr>
        <w:t>improv</w:t>
      </w:r>
      <w:r>
        <w:rPr>
          <w:rFonts w:hint="eastAsia"/>
          <w:color w:val="000000" w:themeColor="text1"/>
          <w:sz w:val="24"/>
        </w:rPr>
        <w:t xml:space="preserve">ed to build </w:t>
      </w:r>
      <w:r>
        <w:rPr>
          <w:color w:val="000000" w:themeColor="text1"/>
          <w:sz w:val="24"/>
        </w:rPr>
        <w:t>investor</w:t>
      </w:r>
      <w:r>
        <w:rPr>
          <w:rFonts w:hint="eastAsia"/>
          <w:color w:val="000000" w:themeColor="text1"/>
          <w:sz w:val="24"/>
        </w:rPr>
        <w:t xml:space="preserve"> awareness of </w:t>
      </w:r>
      <w:r>
        <w:rPr>
          <w:color w:val="000000" w:themeColor="text1"/>
          <w:sz w:val="24"/>
        </w:rPr>
        <w:t xml:space="preserve">the </w:t>
      </w:r>
      <w:r>
        <w:rPr>
          <w:rFonts w:hint="eastAsia"/>
          <w:color w:val="000000" w:themeColor="text1"/>
          <w:sz w:val="24"/>
        </w:rPr>
        <w:t>selle</w:t>
      </w:r>
      <w:r>
        <w:rPr>
          <w:rFonts w:hint="eastAsia"/>
          <w:sz w:val="24"/>
        </w:rPr>
        <w:t xml:space="preserve">r acting in good faith </w:t>
      </w:r>
      <w:r>
        <w:rPr>
          <w:rFonts w:hint="eastAsia"/>
          <w:color w:val="000000" w:themeColor="text1"/>
          <w:sz w:val="24"/>
        </w:rPr>
        <w:t xml:space="preserve">and </w:t>
      </w:r>
      <w:r>
        <w:rPr>
          <w:color w:val="000000" w:themeColor="text1"/>
          <w:sz w:val="24"/>
        </w:rPr>
        <w:t xml:space="preserve">the </w:t>
      </w:r>
      <w:r>
        <w:rPr>
          <w:rFonts w:hint="eastAsia"/>
          <w:color w:val="000000" w:themeColor="text1"/>
          <w:sz w:val="24"/>
        </w:rPr>
        <w:t xml:space="preserve">buyer taking the </w:t>
      </w:r>
      <w:r>
        <w:rPr>
          <w:color w:val="000000" w:themeColor="text1"/>
          <w:sz w:val="24"/>
        </w:rPr>
        <w:t>risks</w:t>
      </w:r>
      <w:r>
        <w:rPr>
          <w:rFonts w:hint="eastAsia"/>
          <w:color w:val="000000" w:themeColor="text1"/>
          <w:sz w:val="24"/>
        </w:rPr>
        <w:t xml:space="preserve">. </w:t>
      </w:r>
      <w:r>
        <w:rPr>
          <w:color w:val="000000" w:themeColor="text1"/>
          <w:sz w:val="24"/>
        </w:rPr>
        <w:t>R</w:t>
      </w:r>
      <w:r>
        <w:rPr>
          <w:rFonts w:hint="eastAsia"/>
          <w:color w:val="000000" w:themeColor="text1"/>
          <w:sz w:val="24"/>
        </w:rPr>
        <w:t xml:space="preserve">isk insulation between asset management and </w:t>
      </w:r>
      <w:r>
        <w:rPr>
          <w:color w:val="000000" w:themeColor="text1"/>
          <w:sz w:val="24"/>
        </w:rPr>
        <w:t>proprietary</w:t>
      </w:r>
      <w:r>
        <w:rPr>
          <w:rFonts w:hint="eastAsia"/>
          <w:color w:val="000000" w:themeColor="text1"/>
          <w:sz w:val="24"/>
        </w:rPr>
        <w:t xml:space="preserve"> business</w:t>
      </w:r>
      <w:r>
        <w:rPr>
          <w:color w:val="000000" w:themeColor="text1"/>
          <w:sz w:val="24"/>
        </w:rPr>
        <w:t>es</w:t>
      </w:r>
      <w:r>
        <w:rPr>
          <w:rFonts w:hint="eastAsia"/>
          <w:color w:val="000000" w:themeColor="text1"/>
          <w:sz w:val="24"/>
        </w:rPr>
        <w:t xml:space="preserve"> should be enhanced and the trustee</w:t>
      </w:r>
      <w:r>
        <w:rPr>
          <w:color w:val="000000" w:themeColor="text1"/>
          <w:sz w:val="24"/>
        </w:rPr>
        <w:t>’</w:t>
      </w:r>
      <w:r>
        <w:rPr>
          <w:rFonts w:hint="eastAsia"/>
          <w:color w:val="000000" w:themeColor="text1"/>
          <w:sz w:val="24"/>
        </w:rPr>
        <w:t xml:space="preserve">s responsibilities should be fulfilled. </w:t>
      </w:r>
      <w:r>
        <w:rPr>
          <w:color w:val="000000" w:themeColor="text1"/>
          <w:sz w:val="24"/>
        </w:rPr>
        <w:t>Gradually f</w:t>
      </w:r>
      <w:r>
        <w:rPr>
          <w:rFonts w:hint="eastAsia"/>
          <w:color w:val="000000" w:themeColor="text1"/>
          <w:sz w:val="24"/>
        </w:rPr>
        <w:t xml:space="preserve">ewer products with guaranteed returns will be issued and </w:t>
      </w:r>
      <w:r>
        <w:rPr>
          <w:color w:val="000000" w:themeColor="text1"/>
          <w:sz w:val="24"/>
        </w:rPr>
        <w:t>products</w:t>
      </w:r>
      <w:r>
        <w:rPr>
          <w:rFonts w:hint="eastAsia"/>
          <w:color w:val="000000" w:themeColor="text1"/>
          <w:sz w:val="24"/>
        </w:rPr>
        <w:t xml:space="preserve"> without guaranteed </w:t>
      </w:r>
      <w:r>
        <w:rPr>
          <w:color w:val="000000" w:themeColor="text1"/>
          <w:sz w:val="24"/>
        </w:rPr>
        <w:t>returns</w:t>
      </w:r>
      <w:r>
        <w:rPr>
          <w:rFonts w:hint="eastAsia"/>
          <w:color w:val="000000" w:themeColor="text1"/>
          <w:sz w:val="24"/>
        </w:rPr>
        <w:t xml:space="preserve"> will prevail </w:t>
      </w:r>
      <w:r>
        <w:rPr>
          <w:color w:val="000000" w:themeColor="text1"/>
          <w:sz w:val="24"/>
        </w:rPr>
        <w:t>i</w:t>
      </w:r>
      <w:r>
        <w:rPr>
          <w:rFonts w:hint="eastAsia"/>
          <w:color w:val="000000" w:themeColor="text1"/>
          <w:sz w:val="24"/>
        </w:rPr>
        <w:t xml:space="preserve">n the market. Third, liquidity risk management will be </w:t>
      </w:r>
      <w:r>
        <w:rPr>
          <w:color w:val="000000" w:themeColor="text1"/>
          <w:sz w:val="24"/>
        </w:rPr>
        <w:t>strengthened</w:t>
      </w:r>
      <w:r>
        <w:rPr>
          <w:rFonts w:hint="eastAsia"/>
          <w:color w:val="000000" w:themeColor="text1"/>
          <w:sz w:val="24"/>
        </w:rPr>
        <w:t xml:space="preserve"> to control leverage. The requirements of separate management, separate booking</w:t>
      </w:r>
      <w:r>
        <w:rPr>
          <w:color w:val="000000" w:themeColor="text1"/>
          <w:sz w:val="24"/>
        </w:rPr>
        <w:t>,</w:t>
      </w:r>
      <w:r>
        <w:rPr>
          <w:rFonts w:hint="eastAsia"/>
          <w:color w:val="000000" w:themeColor="text1"/>
          <w:sz w:val="24"/>
        </w:rPr>
        <w:t xml:space="preserve"> and </w:t>
      </w:r>
      <w:r>
        <w:rPr>
          <w:color w:val="000000" w:themeColor="text1"/>
          <w:sz w:val="24"/>
        </w:rPr>
        <w:t>separate</w:t>
      </w:r>
      <w:r>
        <w:rPr>
          <w:rFonts w:hint="eastAsia"/>
          <w:color w:val="000000" w:themeColor="text1"/>
          <w:sz w:val="24"/>
        </w:rPr>
        <w:t xml:space="preserve"> accounting will be strengthened to align the maturity of products with the duration of </w:t>
      </w:r>
      <w:r>
        <w:rPr>
          <w:color w:val="000000" w:themeColor="text1"/>
          <w:sz w:val="24"/>
        </w:rPr>
        <w:t xml:space="preserve">the </w:t>
      </w:r>
      <w:r>
        <w:rPr>
          <w:rFonts w:hint="eastAsia"/>
          <w:color w:val="000000" w:themeColor="text1"/>
          <w:sz w:val="24"/>
        </w:rPr>
        <w:t xml:space="preserve">invested assets. Financial institutions will be encouraged to create independent subsidiaries to </w:t>
      </w:r>
      <w:r>
        <w:rPr>
          <w:color w:val="000000" w:themeColor="text1"/>
          <w:sz w:val="24"/>
        </w:rPr>
        <w:t>engage in the</w:t>
      </w:r>
      <w:r>
        <w:rPr>
          <w:rFonts w:hint="eastAsia"/>
          <w:color w:val="000000" w:themeColor="text1"/>
          <w:sz w:val="24"/>
        </w:rPr>
        <w:t xml:space="preserve"> asset </w:t>
      </w:r>
      <w:r>
        <w:rPr>
          <w:color w:val="000000" w:themeColor="text1"/>
          <w:sz w:val="24"/>
        </w:rPr>
        <w:t>management</w:t>
      </w:r>
      <w:r>
        <w:rPr>
          <w:rFonts w:hint="eastAsia"/>
          <w:color w:val="000000" w:themeColor="text1"/>
          <w:sz w:val="24"/>
        </w:rPr>
        <w:t xml:space="preserve"> business. </w:t>
      </w:r>
      <w:r>
        <w:rPr>
          <w:color w:val="000000" w:themeColor="text1"/>
          <w:sz w:val="24"/>
        </w:rPr>
        <w:t>An</w:t>
      </w:r>
      <w:r>
        <w:rPr>
          <w:rFonts w:hint="eastAsia" w:eastAsiaTheme="minorEastAsia"/>
          <w:color w:val="000000" w:themeColor="text1"/>
          <w:sz w:val="24"/>
        </w:rPr>
        <w:t xml:space="preserve"> independent custodian</w:t>
      </w:r>
      <w:r>
        <w:rPr>
          <w:color w:val="000000" w:themeColor="text1"/>
          <w:sz w:val="24"/>
        </w:rPr>
        <w:t>l</w:t>
      </w:r>
      <w:r>
        <w:rPr>
          <w:rFonts w:hint="eastAsia"/>
          <w:color w:val="000000" w:themeColor="text1"/>
          <w:sz w:val="24"/>
        </w:rPr>
        <w:t xml:space="preserve"> system will be established and improved to insulate the risks of different asset management products and the risks of client money and proprietary fund</w:t>
      </w:r>
      <w:r>
        <w:rPr>
          <w:color w:val="000000" w:themeColor="text1"/>
          <w:sz w:val="24"/>
        </w:rPr>
        <w:t>s</w:t>
      </w:r>
      <w:r>
        <w:rPr>
          <w:rFonts w:hint="eastAsia"/>
          <w:color w:val="000000" w:themeColor="text1"/>
          <w:sz w:val="24"/>
        </w:rPr>
        <w:t xml:space="preserve">. The leverage of products of the same category will be unified to keep the leverage of </w:t>
      </w:r>
      <w:r>
        <w:rPr>
          <w:color w:val="000000" w:themeColor="text1"/>
          <w:sz w:val="24"/>
        </w:rPr>
        <w:t xml:space="preserve">the </w:t>
      </w:r>
      <w:r>
        <w:rPr>
          <w:rFonts w:hint="eastAsia"/>
          <w:color w:val="000000" w:themeColor="text1"/>
          <w:sz w:val="24"/>
        </w:rPr>
        <w:t xml:space="preserve">stock market and </w:t>
      </w:r>
      <w:r>
        <w:rPr>
          <w:color w:val="000000" w:themeColor="text1"/>
          <w:sz w:val="24"/>
        </w:rPr>
        <w:t xml:space="preserve">the </w:t>
      </w:r>
      <w:r>
        <w:rPr>
          <w:rFonts w:hint="eastAsia"/>
          <w:color w:val="000000" w:themeColor="text1"/>
          <w:sz w:val="24"/>
        </w:rPr>
        <w:t xml:space="preserve">bond market at proper levels and to contain asset bubbles. Fourth, the practice of multiple reinvestments will be eliminated and channel business will be restricted. Equal access to and fair treatment in </w:t>
      </w:r>
      <w:r>
        <w:rPr>
          <w:color w:val="000000" w:themeColor="text1"/>
          <w:sz w:val="24"/>
        </w:rPr>
        <w:t xml:space="preserve">the </w:t>
      </w:r>
      <w:r>
        <w:rPr>
          <w:rFonts w:hint="eastAsia"/>
          <w:color w:val="000000" w:themeColor="text1"/>
          <w:sz w:val="24"/>
        </w:rPr>
        <w:t xml:space="preserve">asset management business will be granted to all kinds of </w:t>
      </w:r>
      <w:r>
        <w:rPr>
          <w:color w:val="000000" w:themeColor="text1"/>
          <w:sz w:val="24"/>
        </w:rPr>
        <w:t>financial</w:t>
      </w:r>
      <w:r>
        <w:rPr>
          <w:rFonts w:hint="eastAsia"/>
          <w:color w:val="000000" w:themeColor="text1"/>
          <w:sz w:val="24"/>
        </w:rPr>
        <w:t xml:space="preserve"> institutions. </w:t>
      </w:r>
      <w:r>
        <w:rPr>
          <w:color w:val="000000" w:themeColor="text1"/>
          <w:sz w:val="24"/>
        </w:rPr>
        <w:t>I</w:t>
      </w:r>
      <w:r>
        <w:rPr>
          <w:rFonts w:hint="eastAsia"/>
          <w:color w:val="000000" w:themeColor="text1"/>
          <w:sz w:val="24"/>
        </w:rPr>
        <w:t>nvestment</w:t>
      </w:r>
      <w:r>
        <w:rPr>
          <w:color w:val="000000" w:themeColor="text1"/>
          <w:sz w:val="24"/>
        </w:rPr>
        <w:t>s</w:t>
      </w:r>
      <w:r>
        <w:rPr>
          <w:rFonts w:hint="eastAsia"/>
          <w:color w:val="000000" w:themeColor="text1"/>
          <w:sz w:val="24"/>
        </w:rPr>
        <w:t xml:space="preserve"> </w:t>
      </w:r>
      <w:r>
        <w:rPr>
          <w:color w:val="000000" w:themeColor="text1"/>
          <w:sz w:val="24"/>
        </w:rPr>
        <w:t>in which</w:t>
      </w:r>
      <w:r>
        <w:rPr>
          <w:rFonts w:hint="eastAsia"/>
          <w:color w:val="000000" w:themeColor="text1"/>
          <w:sz w:val="24"/>
        </w:rPr>
        <w:t xml:space="preserve"> the same fund</w:t>
      </w:r>
      <w:r>
        <w:rPr>
          <w:color w:val="000000" w:themeColor="text1"/>
          <w:sz w:val="24"/>
        </w:rPr>
        <w:t>s</w:t>
      </w:r>
      <w:r>
        <w:rPr>
          <w:rFonts w:hint="eastAsia"/>
          <w:color w:val="000000" w:themeColor="text1"/>
          <w:sz w:val="24"/>
        </w:rPr>
        <w:t xml:space="preserve"> </w:t>
      </w:r>
      <w:r>
        <w:rPr>
          <w:color w:val="000000" w:themeColor="text1"/>
          <w:sz w:val="24"/>
        </w:rPr>
        <w:t>are</w:t>
      </w:r>
      <w:r>
        <w:rPr>
          <w:rFonts w:hint="eastAsia"/>
          <w:color w:val="000000" w:themeColor="text1"/>
          <w:sz w:val="24"/>
        </w:rPr>
        <w:t xml:space="preserve"> trusted many times will be restricted, and the active management responsibility of trustee </w:t>
      </w:r>
      <w:r>
        <w:rPr>
          <w:color w:val="000000" w:themeColor="text1"/>
          <w:sz w:val="24"/>
        </w:rPr>
        <w:t>institutions</w:t>
      </w:r>
      <w:r>
        <w:rPr>
          <w:rFonts w:hint="eastAsia"/>
          <w:color w:val="000000" w:themeColor="text1"/>
          <w:sz w:val="24"/>
        </w:rPr>
        <w:t xml:space="preserve"> will be strengthened to prevent </w:t>
      </w:r>
      <w:r>
        <w:rPr>
          <w:color w:val="000000" w:themeColor="text1"/>
          <w:sz w:val="24"/>
        </w:rPr>
        <w:t>them</w:t>
      </w:r>
      <w:r>
        <w:rPr>
          <w:rFonts w:hint="eastAsia"/>
          <w:color w:val="000000" w:themeColor="text1"/>
          <w:sz w:val="24"/>
        </w:rPr>
        <w:t xml:space="preserve"> from providing channel services to the trustor</w:t>
      </w:r>
      <w:r>
        <w:rPr>
          <w:rFonts w:hint="eastAsia" w:eastAsiaTheme="minorEastAsia"/>
          <w:color w:val="000000" w:themeColor="text1"/>
          <w:sz w:val="24"/>
        </w:rPr>
        <w:t xml:space="preserve"> institutions</w:t>
      </w:r>
      <w:r>
        <w:rPr>
          <w:rFonts w:hint="eastAsia"/>
          <w:color w:val="000000" w:themeColor="text1"/>
          <w:sz w:val="24"/>
        </w:rPr>
        <w:t xml:space="preserve"> to </w:t>
      </w:r>
      <w:r>
        <w:rPr>
          <w:rFonts w:hint="eastAsia" w:eastAsiaTheme="minorEastAsia"/>
          <w:color w:val="000000" w:themeColor="text1"/>
          <w:sz w:val="24"/>
        </w:rPr>
        <w:t xml:space="preserve">help them </w:t>
      </w:r>
      <w:r>
        <w:rPr>
          <w:rFonts w:hint="eastAsia"/>
          <w:color w:val="000000" w:themeColor="text1"/>
          <w:sz w:val="24"/>
        </w:rPr>
        <w:t xml:space="preserve">circumvent </w:t>
      </w:r>
      <w:r>
        <w:rPr>
          <w:color w:val="000000" w:themeColor="text1"/>
          <w:sz w:val="24"/>
        </w:rPr>
        <w:t xml:space="preserve">the </w:t>
      </w:r>
      <w:r>
        <w:rPr>
          <w:rFonts w:hint="eastAsia"/>
          <w:color w:val="000000" w:themeColor="text1"/>
          <w:sz w:val="24"/>
        </w:rPr>
        <w:t xml:space="preserve">regulatory </w:t>
      </w:r>
      <w:r>
        <w:rPr>
          <w:color w:val="000000" w:themeColor="text1"/>
          <w:sz w:val="24"/>
        </w:rPr>
        <w:t>requirements</w:t>
      </w:r>
      <w:r>
        <w:rPr>
          <w:rFonts w:hint="eastAsia"/>
          <w:color w:val="000000" w:themeColor="text1"/>
          <w:sz w:val="24"/>
        </w:rPr>
        <w:t xml:space="preserve"> in terms of the range of investable assets and leverage. Adequate space will be provided to support operations for the purpose of active management, asset allocation</w:t>
      </w:r>
      <w:r>
        <w:rPr>
          <w:color w:val="000000" w:themeColor="text1"/>
          <w:sz w:val="24"/>
        </w:rPr>
        <w:t>s,</w:t>
      </w:r>
      <w:r>
        <w:rPr>
          <w:rFonts w:hint="eastAsia"/>
          <w:color w:val="000000" w:themeColor="text1"/>
          <w:sz w:val="24"/>
        </w:rPr>
        <w:t xml:space="preserve"> and portfolio </w:t>
      </w:r>
      <w:r>
        <w:rPr>
          <w:color w:val="000000" w:themeColor="text1"/>
          <w:sz w:val="24"/>
        </w:rPr>
        <w:t>management</w:t>
      </w:r>
      <w:r>
        <w:rPr>
          <w:rFonts w:hint="eastAsia"/>
          <w:color w:val="000000" w:themeColor="text1"/>
          <w:sz w:val="24"/>
        </w:rPr>
        <w:t>. Fifth, regulation o</w:t>
      </w:r>
      <w:r>
        <w:rPr>
          <w:color w:val="000000" w:themeColor="text1"/>
          <w:sz w:val="24"/>
        </w:rPr>
        <w:t>f</w:t>
      </w:r>
      <w:r>
        <w:rPr>
          <w:rFonts w:hint="eastAsia"/>
          <w:color w:val="000000" w:themeColor="text1"/>
          <w:sz w:val="24"/>
        </w:rPr>
        <w:t xml:space="preserve"> non-standard credit asset products will be enhanced to forestall shadow banking risks. </w:t>
      </w:r>
      <w:r>
        <w:rPr>
          <w:color w:val="000000" w:themeColor="text1"/>
          <w:sz w:val="24"/>
        </w:rPr>
        <w:t>Wealth</w:t>
      </w:r>
      <w:r>
        <w:rPr>
          <w:rFonts w:hint="eastAsia"/>
          <w:color w:val="000000" w:themeColor="text1"/>
          <w:sz w:val="24"/>
        </w:rPr>
        <w:t xml:space="preserve"> management products outside the balance sheet of banks will continue to be included in broad credit to guide financial institutions to step up risk management of </w:t>
      </w:r>
      <w:r>
        <w:rPr>
          <w:color w:val="000000" w:themeColor="text1"/>
          <w:sz w:val="24"/>
        </w:rPr>
        <w:t xml:space="preserve">their </w:t>
      </w:r>
      <w:r>
        <w:rPr>
          <w:rFonts w:hint="eastAsia"/>
          <w:color w:val="000000" w:themeColor="text1"/>
          <w:sz w:val="24"/>
        </w:rPr>
        <w:t>off-balance</w:t>
      </w:r>
      <w:r>
        <w:rPr>
          <w:color w:val="000000" w:themeColor="text1"/>
          <w:sz w:val="24"/>
        </w:rPr>
        <w:t>-</w:t>
      </w:r>
      <w:r>
        <w:rPr>
          <w:rFonts w:hint="eastAsia"/>
          <w:color w:val="000000" w:themeColor="text1"/>
          <w:sz w:val="24"/>
        </w:rPr>
        <w:t>sheet business. The business of transferring bank credit asset</w:t>
      </w:r>
      <w:r>
        <w:rPr>
          <w:color w:val="000000" w:themeColor="text1"/>
          <w:sz w:val="24"/>
        </w:rPr>
        <w:t>s</w:t>
      </w:r>
      <w:r>
        <w:rPr>
          <w:rFonts w:hint="eastAsia"/>
          <w:color w:val="000000" w:themeColor="text1"/>
          <w:sz w:val="24"/>
        </w:rPr>
        <w:t xml:space="preserve"> and their beneficiary rights shall be better regulated. The investment volume of non-standard credit assets will be controlled and scaled down. </w:t>
      </w:r>
      <w:r>
        <w:rPr>
          <w:color w:val="000000" w:themeColor="text1"/>
          <w:sz w:val="24"/>
        </w:rPr>
        <w:t>P</w:t>
      </w:r>
      <w:r>
        <w:rPr>
          <w:rFonts w:hint="eastAsia"/>
          <w:color w:val="000000" w:themeColor="text1"/>
          <w:sz w:val="24"/>
        </w:rPr>
        <w:t>re-investment due diligence and risk review</w:t>
      </w:r>
      <w:r>
        <w:rPr>
          <w:color w:val="000000" w:themeColor="text1"/>
          <w:sz w:val="24"/>
        </w:rPr>
        <w:t>s</w:t>
      </w:r>
      <w:r>
        <w:rPr>
          <w:rFonts w:hint="eastAsia"/>
          <w:color w:val="000000" w:themeColor="text1"/>
          <w:sz w:val="24"/>
        </w:rPr>
        <w:t xml:space="preserve"> and post-investment risk management will be enhanced. Sixth, a comprehensive </w:t>
      </w:r>
      <w:r>
        <w:rPr>
          <w:color w:val="000000" w:themeColor="text1"/>
          <w:sz w:val="24"/>
        </w:rPr>
        <w:t>statistical</w:t>
      </w:r>
      <w:r>
        <w:rPr>
          <w:rFonts w:hint="eastAsia"/>
          <w:color w:val="000000" w:themeColor="text1"/>
          <w:sz w:val="24"/>
        </w:rPr>
        <w:t xml:space="preserve"> system will be </w:t>
      </w:r>
      <w:r>
        <w:rPr>
          <w:color w:val="000000" w:themeColor="text1"/>
          <w:sz w:val="24"/>
        </w:rPr>
        <w:t>established</w:t>
      </w:r>
      <w:r>
        <w:rPr>
          <w:rFonts w:hint="eastAsia"/>
          <w:color w:val="000000" w:themeColor="text1"/>
          <w:sz w:val="24"/>
        </w:rPr>
        <w:t xml:space="preserve"> to provide a basis for regulation to look through the products to identify the underlying assets and </w:t>
      </w:r>
      <w:r>
        <w:rPr>
          <w:color w:val="000000" w:themeColor="text1"/>
          <w:sz w:val="24"/>
        </w:rPr>
        <w:t xml:space="preserve">the </w:t>
      </w:r>
      <w:r>
        <w:rPr>
          <w:rFonts w:hint="eastAsia"/>
          <w:color w:val="000000" w:themeColor="text1"/>
          <w:sz w:val="24"/>
        </w:rPr>
        <w:t xml:space="preserve">ultimate investors. Measures will be taken to </w:t>
      </w:r>
      <w:r>
        <w:rPr>
          <w:color w:val="000000" w:themeColor="text1"/>
          <w:sz w:val="24"/>
        </w:rPr>
        <w:t>build</w:t>
      </w:r>
      <w:r>
        <w:rPr>
          <w:rFonts w:hint="eastAsia"/>
          <w:color w:val="000000" w:themeColor="text1"/>
          <w:sz w:val="24"/>
        </w:rPr>
        <w:t xml:space="preserve"> a comprehensive statistic</w:t>
      </w:r>
      <w:r>
        <w:rPr>
          <w:color w:val="000000" w:themeColor="text1"/>
          <w:sz w:val="24"/>
        </w:rPr>
        <w:t>al</w:t>
      </w:r>
      <w:r>
        <w:rPr>
          <w:rFonts w:hint="eastAsia"/>
          <w:color w:val="000000" w:themeColor="text1"/>
          <w:sz w:val="24"/>
        </w:rPr>
        <w:t xml:space="preserve"> framework that covers the entire financial sector with unified standards, </w:t>
      </w:r>
      <w:r>
        <w:rPr>
          <w:color w:val="000000" w:themeColor="text1"/>
          <w:sz w:val="24"/>
        </w:rPr>
        <w:t xml:space="preserve">to </w:t>
      </w:r>
      <w:r>
        <w:rPr>
          <w:rFonts w:hint="eastAsia"/>
          <w:color w:val="000000" w:themeColor="text1"/>
          <w:sz w:val="24"/>
        </w:rPr>
        <w:t>enable information</w:t>
      </w:r>
      <w:r>
        <w:rPr>
          <w:color w:val="000000" w:themeColor="text1"/>
          <w:sz w:val="24"/>
        </w:rPr>
        <w:t>-</w:t>
      </w:r>
      <w:r>
        <w:rPr>
          <w:rFonts w:hint="eastAsia"/>
          <w:color w:val="000000" w:themeColor="text1"/>
          <w:sz w:val="24"/>
        </w:rPr>
        <w:t xml:space="preserve">sharing across the sector, to collect basic </w:t>
      </w:r>
      <w:r>
        <w:rPr>
          <w:color w:val="000000" w:themeColor="text1"/>
          <w:sz w:val="24"/>
        </w:rPr>
        <w:t>information</w:t>
      </w:r>
      <w:r>
        <w:rPr>
          <w:rFonts w:hint="eastAsia"/>
          <w:color w:val="000000" w:themeColor="text1"/>
          <w:sz w:val="24"/>
        </w:rPr>
        <w:t xml:space="preserve">, placement information, asset and liability information and termination information for each and every </w:t>
      </w:r>
      <w:r>
        <w:rPr>
          <w:color w:val="000000" w:themeColor="text1"/>
          <w:sz w:val="24"/>
        </w:rPr>
        <w:t>product</w:t>
      </w:r>
      <w:r>
        <w:rPr>
          <w:rFonts w:hint="eastAsia"/>
          <w:color w:val="000000" w:themeColor="text1"/>
          <w:sz w:val="24"/>
        </w:rPr>
        <w:t xml:space="preserve">, to </w:t>
      </w:r>
      <w:r>
        <w:rPr>
          <w:color w:val="000000" w:themeColor="text1"/>
          <w:sz w:val="24"/>
        </w:rPr>
        <w:t>enable</w:t>
      </w:r>
      <w:r>
        <w:rPr>
          <w:rFonts w:hint="eastAsia"/>
          <w:color w:val="000000" w:themeColor="text1"/>
          <w:sz w:val="24"/>
        </w:rPr>
        <w:t xml:space="preserve"> regulators to look through and identify the underlying assets and the </w:t>
      </w:r>
      <w:r>
        <w:rPr>
          <w:color w:val="000000" w:themeColor="text1"/>
          <w:sz w:val="24"/>
        </w:rPr>
        <w:t>ultimate</w:t>
      </w:r>
      <w:r>
        <w:rPr>
          <w:rFonts w:hint="eastAsia"/>
          <w:color w:val="000000" w:themeColor="text1"/>
          <w:sz w:val="24"/>
        </w:rPr>
        <w:t xml:space="preserve"> investors, and to </w:t>
      </w:r>
      <w:r>
        <w:rPr>
          <w:color w:val="000000" w:themeColor="text1"/>
          <w:sz w:val="24"/>
        </w:rPr>
        <w:t>accurately</w:t>
      </w:r>
      <w:r>
        <w:rPr>
          <w:rFonts w:hint="eastAsia"/>
          <w:color w:val="000000" w:themeColor="text1"/>
          <w:sz w:val="24"/>
        </w:rPr>
        <w:t xml:space="preserve"> and promptly capture what is going on within </w:t>
      </w:r>
      <w:r>
        <w:rPr>
          <w:color w:val="000000" w:themeColor="text1"/>
          <w:sz w:val="24"/>
        </w:rPr>
        <w:t>the</w:t>
      </w:r>
      <w:r>
        <w:rPr>
          <w:rFonts w:hint="eastAsia"/>
          <w:color w:val="000000" w:themeColor="text1"/>
          <w:sz w:val="24"/>
        </w:rPr>
        <w:t xml:space="preserve"> industry and </w:t>
      </w:r>
      <w:r>
        <w:rPr>
          <w:color w:val="000000" w:themeColor="text1"/>
          <w:sz w:val="24"/>
        </w:rPr>
        <w:t xml:space="preserve">to </w:t>
      </w:r>
      <w:r>
        <w:rPr>
          <w:rFonts w:hint="eastAsia"/>
          <w:color w:val="000000" w:themeColor="text1"/>
          <w:sz w:val="24"/>
        </w:rPr>
        <w:t xml:space="preserve">fully reflect its risk profile.  </w:t>
      </w:r>
    </w:p>
    <w:p>
      <w:pPr>
        <w:pStyle w:val="30"/>
        <w:spacing w:before="156"/>
        <w:ind w:firstLine="0" w:firstLineChars="0"/>
        <w:rPr>
          <w:rFonts w:ascii="宋体" w:cstheme="minorBidi"/>
        </w:rPr>
      </w:pPr>
    </w:p>
    <w:p>
      <w:pPr>
        <w:rPr>
          <w:sz w:val="24"/>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Cambria Math">
    <w:panose1 w:val="02040503050406030204"/>
    <w:charset w:val="00"/>
    <w:family w:val="roman"/>
    <w:pitch w:val="default"/>
    <w:sig w:usb0="A00002EF" w:usb1="420020E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104954"/>
      <w:docPartObj>
        <w:docPartGallery w:val="autotext"/>
      </w:docPartObj>
    </w:sdtPr>
    <w:sdtContent>
      <w:p>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spacing w:line="240" w:lineRule="exact"/>
        <w:jc w:val="both"/>
      </w:pPr>
      <w:r>
        <w:rPr>
          <w:rStyle w:val="19"/>
        </w:rPr>
        <w:footnoteRef/>
      </w:r>
      <w:r>
        <w:t xml:space="preserve"> As of January 1, 2017, three government-managed funds—compensat</w:t>
      </w:r>
      <w:r>
        <w:rPr>
          <w:rFonts w:hint="eastAsia"/>
          <w:lang w:eastAsia="zh-CN"/>
        </w:rPr>
        <w:t>ion</w:t>
      </w:r>
      <w:r>
        <w:t xml:space="preserve"> for additional land designated for construction projects, the South-to-North Water Diversion Project funds, and special revenue</w:t>
      </w:r>
      <w:r>
        <w:rPr>
          <w:lang w:eastAsia="zh-CN"/>
        </w:rPr>
        <w:t xml:space="preserve"> </w:t>
      </w:r>
      <w:r>
        <w:rPr>
          <w:rFonts w:hint="eastAsia"/>
          <w:lang w:eastAsia="zh-CN"/>
        </w:rPr>
        <w:t xml:space="preserve">submitted </w:t>
      </w:r>
      <w:r>
        <w:t>by tobacco companies—were transferred to the general public budgets.  Based on documents issued in March, starting from April the baseline figures for 2016 were adjusted to account for the impact of transferring these three government-managed funds to the general public budgets, and year-on-year absolute and percentage changes were calculated on this basis.</w:t>
      </w:r>
    </w:p>
  </w:footnote>
  <w:footnote w:id="1">
    <w:p>
      <w:pPr>
        <w:pStyle w:val="13"/>
        <w:spacing w:line="240" w:lineRule="exact"/>
        <w:jc w:val="both"/>
      </w:pPr>
      <w:r>
        <w:footnoteRef/>
      </w:r>
      <w:r>
        <w:t xml:space="preserve"> In the first half of 2017, real-estate development loans </w:t>
      </w:r>
      <w:r>
        <w:rPr>
          <w:rFonts w:hint="eastAsia"/>
          <w:lang w:eastAsia="zh-CN"/>
        </w:rPr>
        <w:t xml:space="preserve">rose by </w:t>
      </w:r>
      <w:r>
        <w:t>RMB 747.28 billion, among which new loans for welfare housing development registered RMB 451.47 billion.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49F7"/>
    <w:multiLevelType w:val="multilevel"/>
    <w:tmpl w:val="1F7A49F7"/>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EA15A1"/>
    <w:multiLevelType w:val="multilevel"/>
    <w:tmpl w:val="70EA15A1"/>
    <w:lvl w:ilvl="0" w:tentative="0">
      <w:start w:val="1"/>
      <w:numFmt w:val="upperRoman"/>
      <w:pStyle w:val="2"/>
      <w:suff w:val="nothing"/>
      <w:lvlText w:val="%1.   "/>
      <w:lvlJc w:val="left"/>
      <w:pPr>
        <w:ind w:left="0" w:firstLine="0"/>
      </w:pPr>
      <w:rPr>
        <w:rFonts w:hint="default"/>
      </w:rPr>
    </w:lvl>
    <w:lvl w:ilvl="1" w:tentative="0">
      <w:start w:val="1"/>
      <w:numFmt w:val="upperLetter"/>
      <w:pStyle w:val="3"/>
      <w:suff w:val="nothing"/>
      <w:lvlText w:val="%2.   "/>
      <w:lvlJc w:val="left"/>
      <w:pPr>
        <w:ind w:left="1800" w:firstLine="0"/>
      </w:pPr>
      <w:rPr>
        <w:rFonts w:hint="default"/>
      </w:rPr>
    </w:lvl>
    <w:lvl w:ilvl="2" w:tentative="0">
      <w:start w:val="1"/>
      <w:numFmt w:val="decimal"/>
      <w:lvlText w:val="%3."/>
      <w:lvlJc w:val="left"/>
      <w:pPr>
        <w:tabs>
          <w:tab w:val="left" w:pos="1080"/>
        </w:tabs>
        <w:ind w:left="720" w:firstLine="0"/>
      </w:pPr>
      <w:rPr>
        <w:rFonts w:hint="default"/>
      </w:rPr>
    </w:lvl>
    <w:lvl w:ilvl="3" w:tentative="0">
      <w:start w:val="1"/>
      <w:numFmt w:val="lowerLetter"/>
      <w:lvlText w:val="%4)"/>
      <w:lvlJc w:val="left"/>
      <w:pPr>
        <w:tabs>
          <w:tab w:val="left" w:pos="1800"/>
        </w:tabs>
        <w:ind w:left="1440" w:firstLine="0"/>
      </w:pPr>
      <w:rPr>
        <w:rFonts w:hint="default"/>
      </w:rPr>
    </w:lvl>
    <w:lvl w:ilvl="4" w:tentative="0">
      <w:start w:val="1"/>
      <w:numFmt w:val="decimal"/>
      <w:lvlText w:val="(%5)"/>
      <w:lvlJc w:val="left"/>
      <w:pPr>
        <w:tabs>
          <w:tab w:val="left" w:pos="2520"/>
        </w:tabs>
        <w:ind w:left="2160" w:firstLine="0"/>
      </w:pPr>
      <w:rPr>
        <w:rFonts w:hint="default"/>
      </w:rPr>
    </w:lvl>
    <w:lvl w:ilvl="5" w:tentative="0">
      <w:start w:val="1"/>
      <w:numFmt w:val="lowerLetter"/>
      <w:lvlText w:val="(%6)"/>
      <w:lvlJc w:val="left"/>
      <w:pPr>
        <w:tabs>
          <w:tab w:val="left" w:pos="3240"/>
        </w:tabs>
        <w:ind w:left="2880" w:firstLine="0"/>
      </w:pPr>
      <w:rPr>
        <w:rFonts w:hint="default"/>
      </w:rPr>
    </w:lvl>
    <w:lvl w:ilvl="6" w:tentative="0">
      <w:start w:val="1"/>
      <w:numFmt w:val="lowerRoman"/>
      <w:lvlText w:val="(%7)"/>
      <w:lvlJc w:val="left"/>
      <w:pPr>
        <w:tabs>
          <w:tab w:val="left" w:pos="3960"/>
        </w:tabs>
        <w:ind w:left="3600" w:firstLine="0"/>
      </w:pPr>
      <w:rPr>
        <w:rFonts w:hint="default"/>
      </w:rPr>
    </w:lvl>
    <w:lvl w:ilvl="7" w:tentative="0">
      <w:start w:val="1"/>
      <w:numFmt w:val="lowerLetter"/>
      <w:lvlText w:val="(%8)"/>
      <w:lvlJc w:val="left"/>
      <w:pPr>
        <w:tabs>
          <w:tab w:val="left" w:pos="4680"/>
        </w:tabs>
        <w:ind w:left="4320" w:firstLine="0"/>
      </w:pPr>
      <w:rPr>
        <w:rFonts w:hint="default"/>
      </w:rPr>
    </w:lvl>
    <w:lvl w:ilvl="8" w:tentative="0">
      <w:start w:val="1"/>
      <w:numFmt w:val="lowerRoman"/>
      <w:lvlText w:val="(%9)"/>
      <w:lvlJc w:val="left"/>
      <w:pPr>
        <w:tabs>
          <w:tab w:val="left" w:pos="5400"/>
        </w:tabs>
        <w:ind w:left="504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84B"/>
    <w:rsid w:val="000039A2"/>
    <w:rsid w:val="000437D5"/>
    <w:rsid w:val="0005042A"/>
    <w:rsid w:val="00076027"/>
    <w:rsid w:val="000A035F"/>
    <w:rsid w:val="000A3117"/>
    <w:rsid w:val="00100C62"/>
    <w:rsid w:val="0013094E"/>
    <w:rsid w:val="00137E2D"/>
    <w:rsid w:val="00177BDA"/>
    <w:rsid w:val="00185E56"/>
    <w:rsid w:val="001F6D5D"/>
    <w:rsid w:val="002454BE"/>
    <w:rsid w:val="002C6021"/>
    <w:rsid w:val="002D7426"/>
    <w:rsid w:val="003300AB"/>
    <w:rsid w:val="00340B9B"/>
    <w:rsid w:val="00382FD3"/>
    <w:rsid w:val="003836F1"/>
    <w:rsid w:val="003F02AD"/>
    <w:rsid w:val="00411AB1"/>
    <w:rsid w:val="004619B5"/>
    <w:rsid w:val="00480826"/>
    <w:rsid w:val="004B7840"/>
    <w:rsid w:val="00501676"/>
    <w:rsid w:val="0052096D"/>
    <w:rsid w:val="006631E7"/>
    <w:rsid w:val="006B1351"/>
    <w:rsid w:val="006D20D5"/>
    <w:rsid w:val="006F284B"/>
    <w:rsid w:val="007204F0"/>
    <w:rsid w:val="00726988"/>
    <w:rsid w:val="00734BAC"/>
    <w:rsid w:val="00762589"/>
    <w:rsid w:val="00787CC0"/>
    <w:rsid w:val="00794633"/>
    <w:rsid w:val="00883292"/>
    <w:rsid w:val="00887649"/>
    <w:rsid w:val="009746A3"/>
    <w:rsid w:val="00995791"/>
    <w:rsid w:val="009D724F"/>
    <w:rsid w:val="00A02422"/>
    <w:rsid w:val="00A977EF"/>
    <w:rsid w:val="00AA2EDE"/>
    <w:rsid w:val="00B629F8"/>
    <w:rsid w:val="00B94926"/>
    <w:rsid w:val="00BB51EF"/>
    <w:rsid w:val="00C245BF"/>
    <w:rsid w:val="00CF3FDE"/>
    <w:rsid w:val="00D14632"/>
    <w:rsid w:val="00D36EA6"/>
    <w:rsid w:val="00D707F4"/>
    <w:rsid w:val="00E40E8C"/>
    <w:rsid w:val="00E950A9"/>
    <w:rsid w:val="00EB5F0D"/>
    <w:rsid w:val="00EE1DE6"/>
    <w:rsid w:val="00EE29AF"/>
    <w:rsid w:val="00EF0BB4"/>
    <w:rsid w:val="00F20F90"/>
    <w:rsid w:val="00F30A1B"/>
    <w:rsid w:val="00F9368A"/>
    <w:rsid w:val="4D1927DF"/>
    <w:rsid w:val="56393309"/>
    <w:rsid w:val="5ABA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semiHidden="0" w:name="caption"/>
    <w:lsdException w:unhideWhenUsed="0" w:uiPriority="99"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8"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widowControl/>
      <w:numPr>
        <w:ilvl w:val="0"/>
        <w:numId w:val="1"/>
      </w:numPr>
      <w:spacing w:after="240" w:line="264" w:lineRule="auto"/>
      <w:jc w:val="center"/>
      <w:outlineLvl w:val="0"/>
    </w:pPr>
    <w:rPr>
      <w:rFonts w:cs="Arial" w:eastAsiaTheme="minorEastAsia"/>
      <w:b/>
      <w:bCs/>
      <w:smallCaps/>
      <w:kern w:val="28"/>
      <w:sz w:val="24"/>
      <w:szCs w:val="32"/>
      <w:lang w:eastAsia="zh-TW"/>
    </w:rPr>
  </w:style>
  <w:style w:type="paragraph" w:styleId="3">
    <w:name w:val="heading 2"/>
    <w:basedOn w:val="1"/>
    <w:next w:val="1"/>
    <w:link w:val="28"/>
    <w:qFormat/>
    <w:uiPriority w:val="0"/>
    <w:pPr>
      <w:keepNext/>
      <w:widowControl/>
      <w:numPr>
        <w:ilvl w:val="1"/>
        <w:numId w:val="1"/>
      </w:numPr>
      <w:spacing w:after="240" w:line="264" w:lineRule="auto"/>
      <w:jc w:val="center"/>
      <w:outlineLvl w:val="1"/>
    </w:pPr>
    <w:rPr>
      <w:rFonts w:cs="Arial" w:eastAsiaTheme="minorEastAsia"/>
      <w:b/>
      <w:bCs/>
      <w:iCs/>
      <w:kern w:val="0"/>
      <w:sz w:val="24"/>
      <w:szCs w:val="28"/>
      <w:lang w:eastAsia="zh-TW"/>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annotation text"/>
    <w:basedOn w:val="1"/>
    <w:link w:val="26"/>
    <w:unhideWhenUsed/>
    <w:qFormat/>
    <w:uiPriority w:val="0"/>
    <w:rPr>
      <w:rFonts w:eastAsia="宋体"/>
      <w:sz w:val="20"/>
      <w:szCs w:val="20"/>
    </w:rPr>
  </w:style>
  <w:style w:type="paragraph" w:styleId="6">
    <w:name w:val="Body Text"/>
    <w:basedOn w:val="1"/>
    <w:link w:val="25"/>
    <w:qFormat/>
    <w:uiPriority w:val="8"/>
    <w:pPr>
      <w:widowControl/>
      <w:spacing w:after="120" w:line="264" w:lineRule="auto"/>
      <w:jc w:val="left"/>
    </w:pPr>
    <w:rPr>
      <w:rFonts w:eastAsiaTheme="minorEastAsia"/>
      <w:kern w:val="0"/>
      <w:sz w:val="24"/>
      <w:lang w:eastAsia="zh-TW"/>
    </w:rPr>
  </w:style>
  <w:style w:type="paragraph" w:styleId="7">
    <w:name w:val="toc 3"/>
    <w:basedOn w:val="1"/>
    <w:next w:val="1"/>
    <w:unhideWhenUsed/>
    <w:qFormat/>
    <w:uiPriority w:val="39"/>
    <w:pPr>
      <w:ind w:left="840" w:leftChars="400"/>
    </w:pPr>
  </w:style>
  <w:style w:type="paragraph" w:styleId="8">
    <w:name w:val="Date"/>
    <w:basedOn w:val="1"/>
    <w:next w:val="1"/>
    <w:link w:val="24"/>
    <w:uiPriority w:val="0"/>
    <w:rPr>
      <w:rFonts w:ascii="仿宋_GB2312" w:eastAsia="仿宋_GB2312"/>
      <w:sz w:val="28"/>
      <w:szCs w:val="20"/>
    </w:rPr>
  </w:style>
  <w:style w:type="paragraph" w:styleId="9">
    <w:name w:val="Balloon Text"/>
    <w:basedOn w:val="1"/>
    <w:link w:val="36"/>
    <w:unhideWhenUsed/>
    <w:uiPriority w:val="99"/>
    <w:rPr>
      <w:sz w:val="18"/>
      <w:szCs w:val="18"/>
    </w:rPr>
  </w:style>
  <w:style w:type="paragraph" w:styleId="10">
    <w:name w:val="footer"/>
    <w:basedOn w:val="1"/>
    <w:link w:val="22"/>
    <w:unhideWhenUsed/>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spacing w:line="360" w:lineRule="auto"/>
    </w:pPr>
    <w:rPr>
      <w:b/>
    </w:rPr>
  </w:style>
  <w:style w:type="paragraph" w:styleId="13">
    <w:name w:val="footnote text"/>
    <w:basedOn w:val="1"/>
    <w:link w:val="32"/>
    <w:uiPriority w:val="0"/>
    <w:pPr>
      <w:widowControl/>
      <w:spacing w:after="200" w:line="264" w:lineRule="auto"/>
      <w:jc w:val="left"/>
    </w:pPr>
    <w:rPr>
      <w:rFonts w:eastAsiaTheme="minorEastAsia"/>
      <w:kern w:val="0"/>
      <w:sz w:val="20"/>
      <w:szCs w:val="20"/>
      <w:lang w:eastAsia="zh-TW"/>
    </w:rPr>
  </w:style>
  <w:style w:type="paragraph" w:styleId="14">
    <w:name w:val="table of figures"/>
    <w:basedOn w:val="1"/>
    <w:next w:val="1"/>
    <w:uiPriority w:val="99"/>
    <w:pPr>
      <w:ind w:left="840" w:leftChars="200" w:hanging="420" w:hangingChars="200"/>
    </w:pPr>
  </w:style>
  <w:style w:type="paragraph" w:styleId="15">
    <w:name w:val="toc 2"/>
    <w:basedOn w:val="1"/>
    <w:next w:val="1"/>
    <w:unhideWhenUsed/>
    <w:qFormat/>
    <w:uiPriority w:val="39"/>
    <w:pPr>
      <w:tabs>
        <w:tab w:val="right" w:leader="dot" w:pos="8296"/>
      </w:tabs>
      <w:spacing w:line="360" w:lineRule="auto"/>
      <w:ind w:left="420" w:leftChars="200"/>
    </w:pPr>
  </w:style>
  <w:style w:type="character" w:styleId="17">
    <w:name w:val="Hyperlink"/>
    <w:qFormat/>
    <w:uiPriority w:val="99"/>
    <w:rPr>
      <w:color w:val="0000FF"/>
      <w:u w:val="single"/>
    </w:rPr>
  </w:style>
  <w:style w:type="character" w:styleId="18">
    <w:name w:val="annotation reference"/>
    <w:basedOn w:val="16"/>
    <w:unhideWhenUsed/>
    <w:qFormat/>
    <w:uiPriority w:val="0"/>
    <w:rPr>
      <w:sz w:val="16"/>
      <w:szCs w:val="16"/>
    </w:rPr>
  </w:style>
  <w:style w:type="character" w:styleId="19">
    <w:name w:val="footnote reference"/>
    <w:basedOn w:val="16"/>
    <w:uiPriority w:val="0"/>
    <w:rPr>
      <w:sz w:val="20"/>
      <w:vertAlign w:val="superscript"/>
    </w:rPr>
  </w:style>
  <w:style w:type="character" w:customStyle="1" w:styleId="21">
    <w:name w:val="页眉 Char"/>
    <w:basedOn w:val="16"/>
    <w:link w:val="11"/>
    <w:semiHidden/>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日期 Char"/>
    <w:basedOn w:val="16"/>
    <w:link w:val="8"/>
    <w:semiHidden/>
    <w:uiPriority w:val="99"/>
    <w:rPr>
      <w:rFonts w:ascii="Times New Roman" w:hAnsi="Times New Roman" w:eastAsia="宋体" w:cs="Times New Roman"/>
      <w:szCs w:val="24"/>
    </w:rPr>
  </w:style>
  <w:style w:type="character" w:customStyle="1" w:styleId="24">
    <w:name w:val="日期 Char1"/>
    <w:basedOn w:val="16"/>
    <w:link w:val="8"/>
    <w:qFormat/>
    <w:uiPriority w:val="0"/>
    <w:rPr>
      <w:rFonts w:ascii="仿宋_GB2312" w:hAnsi="Times New Roman" w:eastAsia="仿宋_GB2312" w:cs="Times New Roman"/>
      <w:sz w:val="28"/>
      <w:szCs w:val="20"/>
    </w:rPr>
  </w:style>
  <w:style w:type="character" w:customStyle="1" w:styleId="25">
    <w:name w:val="正文文本 Char"/>
    <w:basedOn w:val="16"/>
    <w:link w:val="6"/>
    <w:qFormat/>
    <w:uiPriority w:val="8"/>
    <w:rPr>
      <w:rFonts w:ascii="Times New Roman" w:hAnsi="Times New Roman" w:cs="Times New Roman"/>
      <w:kern w:val="0"/>
      <w:sz w:val="24"/>
      <w:szCs w:val="24"/>
      <w:lang w:eastAsia="zh-TW"/>
    </w:rPr>
  </w:style>
  <w:style w:type="character" w:customStyle="1" w:styleId="26">
    <w:name w:val="批注文字 Char"/>
    <w:basedOn w:val="16"/>
    <w:link w:val="5"/>
    <w:qFormat/>
    <w:uiPriority w:val="0"/>
    <w:rPr>
      <w:rFonts w:ascii="Times New Roman" w:hAnsi="Times New Roman" w:eastAsia="宋体" w:cs="Times New Roman"/>
      <w:sz w:val="20"/>
      <w:szCs w:val="20"/>
    </w:rPr>
  </w:style>
  <w:style w:type="character" w:customStyle="1" w:styleId="27">
    <w:name w:val="标题 1 Char"/>
    <w:basedOn w:val="16"/>
    <w:link w:val="2"/>
    <w:uiPriority w:val="0"/>
    <w:rPr>
      <w:rFonts w:ascii="Times New Roman" w:hAnsi="Times New Roman" w:cs="Arial"/>
      <w:b/>
      <w:bCs/>
      <w:smallCaps/>
      <w:kern w:val="28"/>
      <w:sz w:val="24"/>
      <w:szCs w:val="32"/>
      <w:lang w:eastAsia="zh-TW"/>
    </w:rPr>
  </w:style>
  <w:style w:type="character" w:customStyle="1" w:styleId="28">
    <w:name w:val="标题 2 Char"/>
    <w:basedOn w:val="16"/>
    <w:link w:val="3"/>
    <w:uiPriority w:val="0"/>
    <w:rPr>
      <w:rFonts w:ascii="Times New Roman" w:hAnsi="Times New Roman" w:cs="Arial"/>
      <w:b/>
      <w:bCs/>
      <w:iCs/>
      <w:kern w:val="0"/>
      <w:sz w:val="24"/>
      <w:szCs w:val="28"/>
      <w:lang w:eastAsia="zh-TW"/>
    </w:rPr>
  </w:style>
  <w:style w:type="paragraph" w:styleId="29">
    <w:name w:val="List Paragraph"/>
    <w:basedOn w:val="1"/>
    <w:qFormat/>
    <w:uiPriority w:val="0"/>
    <w:pPr>
      <w:widowControl/>
      <w:spacing w:line="264" w:lineRule="auto"/>
      <w:ind w:left="720"/>
      <w:contextualSpacing/>
      <w:jc w:val="left"/>
    </w:pPr>
    <w:rPr>
      <w:rFonts w:eastAsiaTheme="minorEastAsia"/>
      <w:kern w:val="0"/>
      <w:sz w:val="24"/>
      <w:lang w:eastAsia="zh-TW"/>
    </w:rPr>
  </w:style>
  <w:style w:type="paragraph" w:customStyle="1" w:styleId="30">
    <w:name w:val="List Paragraph12"/>
    <w:basedOn w:val="1"/>
    <w:qFormat/>
    <w:uiPriority w:val="99"/>
    <w:pPr>
      <w:ind w:firstLine="420" w:firstLineChars="200"/>
    </w:pPr>
    <w:rPr>
      <w:szCs w:val="21"/>
    </w:rPr>
  </w:style>
  <w:style w:type="paragraph" w:customStyle="1" w:styleId="31">
    <w:name w:val="p0"/>
    <w:basedOn w:val="1"/>
    <w:qFormat/>
    <w:uiPriority w:val="0"/>
    <w:pPr>
      <w:widowControl/>
    </w:pPr>
    <w:rPr>
      <w:kern w:val="0"/>
      <w:sz w:val="28"/>
      <w:szCs w:val="28"/>
    </w:rPr>
  </w:style>
  <w:style w:type="character" w:customStyle="1" w:styleId="32">
    <w:name w:val="脚注文本 Char"/>
    <w:basedOn w:val="16"/>
    <w:link w:val="13"/>
    <w:uiPriority w:val="0"/>
    <w:rPr>
      <w:rFonts w:ascii="Times New Roman" w:hAnsi="Times New Roman" w:cs="Times New Roman"/>
      <w:kern w:val="0"/>
      <w:sz w:val="20"/>
      <w:szCs w:val="20"/>
      <w:lang w:eastAsia="zh-TW"/>
    </w:rPr>
  </w:style>
  <w:style w:type="paragraph" w:customStyle="1" w:styleId="33">
    <w:name w:val="样式 jn 第六期正文 + Times 首行缩进:  2 字符"/>
    <w:basedOn w:val="1"/>
    <w:qFormat/>
    <w:uiPriority w:val="0"/>
    <w:pPr>
      <w:spacing w:line="440" w:lineRule="atLeast"/>
      <w:ind w:firstLine="480" w:firstLineChars="200"/>
    </w:pPr>
    <w:rPr>
      <w:rFonts w:ascii="Times" w:hAnsi="Times"/>
      <w:sz w:val="24"/>
      <w:szCs w:val="20"/>
    </w:rPr>
  </w:style>
  <w:style w:type="paragraph" w:customStyle="1" w:styleId="34">
    <w:name w:val="Normal (Web)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5">
    <w:name w:val="TOC Heading"/>
    <w:basedOn w:val="2"/>
    <w:next w:val="1"/>
    <w:unhideWhenUsed/>
    <w:qFormat/>
    <w:uiPriority w:val="39"/>
    <w:pPr>
      <w:keepLines/>
      <w:numPr>
        <w:numId w:val="0"/>
      </w:numPr>
      <w:spacing w:before="480" w:after="0" w:line="276" w:lineRule="auto"/>
      <w:jc w:val="left"/>
      <w:outlineLvl w:val="9"/>
    </w:pPr>
    <w:rPr>
      <w:rFonts w:asciiTheme="majorHAnsi" w:hAnsiTheme="majorHAnsi" w:eastAsiaTheme="majorEastAsia" w:cstheme="majorBidi"/>
      <w:smallCaps w:val="0"/>
      <w:color w:val="366091" w:themeColor="accent1" w:themeShade="BF"/>
      <w:kern w:val="0"/>
      <w:sz w:val="28"/>
      <w:szCs w:val="28"/>
      <w:lang w:eastAsia="zh-CN"/>
    </w:rPr>
  </w:style>
  <w:style w:type="character" w:customStyle="1" w:styleId="36">
    <w:name w:val="批注框文本 Char"/>
    <w:basedOn w:val="16"/>
    <w:link w:val="9"/>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36135;&#24065;&#25919;&#31574;&#25191;&#34892;&#25253;&#21578;\2017&#24180;&#31532;&#20108;&#23395;&#24230;\&#21508;&#21496;&#23616;&#26469;&#31295;\&#36135;&#24065;&#25919;&#31574;&#25253;&#21578;&#65293;&#22269;&#20538;&#25910;&#30410;&#29575;&#22270;-2017.7.25-&#36135;&#25919;&#21496;&#26446;&#26195;&#383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9334298118669"/>
          <c:y val="0.0471698113207547"/>
          <c:w val="0.918958031837916"/>
          <c:h val="0.738993710691829"/>
        </c:manualLayout>
      </c:layout>
      <c:lineChart>
        <c:grouping val="standard"/>
        <c:varyColors val="0"/>
        <c:ser>
          <c:idx val="0"/>
          <c:order val="0"/>
          <c:tx>
            <c:strRef>
              <c:f>Sheet1!$A$3</c:f>
              <c:strCache>
                <c:ptCount val="1"/>
                <c:pt idx="0">
                  <c:v>2016-09-30</c:v>
                </c:pt>
              </c:strCache>
            </c:strRef>
          </c:tx>
          <c:marker>
            <c:symbol val="none"/>
          </c:marker>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Sheet1!$B$3:$O$3</c:f>
              <c:numCache>
                <c:formatCode>###,###,###,###,##0.0000_ </c:formatCode>
                <c:ptCount val="14"/>
                <c:pt idx="0">
                  <c:v>2.0753</c:v>
                </c:pt>
                <c:pt idx="1">
                  <c:v>2.1584</c:v>
                </c:pt>
                <c:pt idx="2">
                  <c:v>2.2609</c:v>
                </c:pt>
                <c:pt idx="3">
                  <c:v>2.411</c:v>
                </c:pt>
                <c:pt idx="4">
                  <c:v>2.4849</c:v>
                </c:pt>
                <c:pt idx="5">
                  <c:v>2.5489</c:v>
                </c:pt>
                <c:pt idx="6">
                  <c:v>2.6729</c:v>
                </c:pt>
                <c:pt idx="7">
                  <c:v>2.74010000000001</c:v>
                </c:pt>
                <c:pt idx="8">
                  <c:v>2.7355</c:v>
                </c:pt>
                <c:pt idx="9">
                  <c:v>2.72810000000001</c:v>
                </c:pt>
                <c:pt idx="10">
                  <c:v>2.7258</c:v>
                </c:pt>
                <c:pt idx="11">
                  <c:v>3.0223</c:v>
                </c:pt>
                <c:pt idx="12">
                  <c:v>3.0492</c:v>
                </c:pt>
                <c:pt idx="13">
                  <c:v>3.1901</c:v>
                </c:pt>
              </c:numCache>
            </c:numRef>
          </c:val>
          <c:smooth val="0"/>
        </c:ser>
        <c:ser>
          <c:idx val="1"/>
          <c:order val="1"/>
          <c:tx>
            <c:strRef>
              <c:f>Sheet1!$A$4</c:f>
              <c:strCache>
                <c:ptCount val="1"/>
                <c:pt idx="0">
                  <c:v>2016-12-31</c:v>
                </c:pt>
              </c:strCache>
            </c:strRef>
          </c:tx>
          <c:marker>
            <c:symbol val="none"/>
          </c:marker>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Sheet1!$B$4:$O$4</c:f>
              <c:numCache>
                <c:formatCode>###,###,###,###,##0.0000_ </c:formatCode>
                <c:ptCount val="14"/>
                <c:pt idx="0">
                  <c:v>2.6494</c:v>
                </c:pt>
                <c:pt idx="1">
                  <c:v>2.6503</c:v>
                </c:pt>
                <c:pt idx="2">
                  <c:v>2.7014</c:v>
                </c:pt>
                <c:pt idx="3">
                  <c:v>2.785</c:v>
                </c:pt>
                <c:pt idx="4">
                  <c:v>2.8277</c:v>
                </c:pt>
                <c:pt idx="5">
                  <c:v>2.854</c:v>
                </c:pt>
                <c:pt idx="6">
                  <c:v>2.9267</c:v>
                </c:pt>
                <c:pt idx="7">
                  <c:v>2.9918</c:v>
                </c:pt>
                <c:pt idx="8">
                  <c:v>3.0052</c:v>
                </c:pt>
                <c:pt idx="9">
                  <c:v>3.0099</c:v>
                </c:pt>
                <c:pt idx="10">
                  <c:v>3.0115</c:v>
                </c:pt>
                <c:pt idx="11">
                  <c:v>3.4659</c:v>
                </c:pt>
                <c:pt idx="12">
                  <c:v>3.4961</c:v>
                </c:pt>
                <c:pt idx="13">
                  <c:v>3.58310000000001</c:v>
                </c:pt>
              </c:numCache>
            </c:numRef>
          </c:val>
          <c:smooth val="0"/>
        </c:ser>
        <c:ser>
          <c:idx val="2"/>
          <c:order val="2"/>
          <c:tx>
            <c:strRef>
              <c:f>Sheet1!$A$5</c:f>
              <c:strCache>
                <c:ptCount val="1"/>
                <c:pt idx="0">
                  <c:v>2017-03-31</c:v>
                </c:pt>
              </c:strCache>
            </c:strRef>
          </c:tx>
          <c:marker>
            <c:symbol val="none"/>
          </c:marker>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Sheet1!$B$5:$O$5</c:f>
              <c:numCache>
                <c:formatCode>###,###,###,###,##0.0000</c:formatCode>
                <c:ptCount val="14"/>
                <c:pt idx="0">
                  <c:v>2.8375</c:v>
                </c:pt>
                <c:pt idx="1">
                  <c:v>2.8632</c:v>
                </c:pt>
                <c:pt idx="2">
                  <c:v>2.9308</c:v>
                </c:pt>
                <c:pt idx="3">
                  <c:v>3.0186</c:v>
                </c:pt>
                <c:pt idx="4">
                  <c:v>3.0559</c:v>
                </c:pt>
                <c:pt idx="5">
                  <c:v>3.0782</c:v>
                </c:pt>
                <c:pt idx="6">
                  <c:v>3.1481</c:v>
                </c:pt>
                <c:pt idx="7">
                  <c:v>3.2272</c:v>
                </c:pt>
                <c:pt idx="8">
                  <c:v>3.2614</c:v>
                </c:pt>
                <c:pt idx="9">
                  <c:v>3.2723</c:v>
                </c:pt>
                <c:pt idx="10">
                  <c:v>3.2828</c:v>
                </c:pt>
                <c:pt idx="11">
                  <c:v>3.7375</c:v>
                </c:pt>
                <c:pt idx="12">
                  <c:v>3.7526</c:v>
                </c:pt>
                <c:pt idx="13">
                  <c:v>3.7604</c:v>
                </c:pt>
              </c:numCache>
            </c:numRef>
          </c:val>
          <c:smooth val="0"/>
        </c:ser>
        <c:ser>
          <c:idx val="3"/>
          <c:order val="3"/>
          <c:tx>
            <c:strRef>
              <c:f>Sheet1!$A$6</c:f>
              <c:strCache>
                <c:ptCount val="1"/>
                <c:pt idx="0">
                  <c:v>2017-06-30</c:v>
                </c:pt>
              </c:strCache>
            </c:strRef>
          </c:tx>
          <c:marker>
            <c:symbol val="none"/>
          </c:marker>
          <c:dLbls>
            <c:delete val="1"/>
          </c:dLbls>
          <c:cat>
            <c:numRef>
              <c:f>Sheet1!$B$2:$O$2</c:f>
              <c:numCache>
                <c:formatCode>#,##0.0_ </c:formatCode>
                <c:ptCount val="14"/>
                <c:pt idx="0" c:formatCode="#,##0.0_ ">
                  <c:v>0.5</c:v>
                </c:pt>
                <c:pt idx="1" c:formatCode="#,##0_ ">
                  <c:v>1</c:v>
                </c:pt>
                <c:pt idx="2" c:formatCode="#,##0_ ">
                  <c:v>2</c:v>
                </c:pt>
                <c:pt idx="3" c:formatCode="#,##0_ ">
                  <c:v>3</c:v>
                </c:pt>
                <c:pt idx="4" c:formatCode="#,##0_ ">
                  <c:v>4</c:v>
                </c:pt>
                <c:pt idx="5" c:formatCode="#,##0_ ">
                  <c:v>5</c:v>
                </c:pt>
                <c:pt idx="6" c:formatCode="#,##0_ ">
                  <c:v>6</c:v>
                </c:pt>
                <c:pt idx="7" c:formatCode="#,##0_ ">
                  <c:v>7</c:v>
                </c:pt>
                <c:pt idx="8" c:formatCode="#,##0_ ">
                  <c:v>8</c:v>
                </c:pt>
                <c:pt idx="9" c:formatCode="#,##0_ ">
                  <c:v>9</c:v>
                </c:pt>
                <c:pt idx="10" c:formatCode="#,##0_ ">
                  <c:v>10</c:v>
                </c:pt>
                <c:pt idx="11" c:formatCode="#,##0_ ">
                  <c:v>15</c:v>
                </c:pt>
                <c:pt idx="12" c:formatCode="#,##0_ ">
                  <c:v>20</c:v>
                </c:pt>
                <c:pt idx="13" c:formatCode="#,##0_ ">
                  <c:v>30</c:v>
                </c:pt>
              </c:numCache>
            </c:numRef>
          </c:cat>
          <c:val>
            <c:numRef>
              <c:f>Sheet1!$B$6:$O$6</c:f>
              <c:numCache>
                <c:formatCode>###,###,###,###,##0.0000</c:formatCode>
                <c:ptCount val="14"/>
                <c:pt idx="0">
                  <c:v>3.3461</c:v>
                </c:pt>
                <c:pt idx="1">
                  <c:v>3.46</c:v>
                </c:pt>
                <c:pt idx="2">
                  <c:v>3.494</c:v>
                </c:pt>
                <c:pt idx="3">
                  <c:v>3.4973</c:v>
                </c:pt>
                <c:pt idx="4">
                  <c:v>3.49249999999999</c:v>
                </c:pt>
                <c:pt idx="5">
                  <c:v>3.4931</c:v>
                </c:pt>
                <c:pt idx="6">
                  <c:v>3.5624</c:v>
                </c:pt>
                <c:pt idx="7">
                  <c:v>3.615</c:v>
                </c:pt>
                <c:pt idx="8">
                  <c:v>3.6012</c:v>
                </c:pt>
                <c:pt idx="9">
                  <c:v>3.5774</c:v>
                </c:pt>
                <c:pt idx="10">
                  <c:v>3.5683</c:v>
                </c:pt>
                <c:pt idx="11">
                  <c:v>3.9352</c:v>
                </c:pt>
                <c:pt idx="12">
                  <c:v>3.97649999999999</c:v>
                </c:pt>
                <c:pt idx="13">
                  <c:v>3.97649999999999</c:v>
                </c:pt>
              </c:numCache>
            </c:numRef>
          </c:val>
          <c:smooth val="0"/>
        </c:ser>
        <c:dLbls>
          <c:showLegendKey val="0"/>
          <c:showVal val="0"/>
          <c:showCatName val="0"/>
          <c:showSerName val="0"/>
          <c:showPercent val="0"/>
          <c:showBubbleSize val="0"/>
        </c:dLbls>
        <c:marker val="0"/>
        <c:smooth val="0"/>
        <c:axId val="194315776"/>
        <c:axId val="194317312"/>
      </c:lineChart>
      <c:catAx>
        <c:axId val="194315776"/>
        <c:scaling>
          <c:orientation val="minMax"/>
        </c:scaling>
        <c:delete val="0"/>
        <c:axPos val="b"/>
        <c:numFmt formatCode="#,##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4317312"/>
        <c:crosses val="autoZero"/>
        <c:auto val="1"/>
        <c:lblAlgn val="ctr"/>
        <c:lblOffset val="100"/>
        <c:noMultiLvlLbl val="0"/>
      </c:catAx>
      <c:valAx>
        <c:axId val="194317312"/>
        <c:scaling>
          <c:orientation val="minMax"/>
          <c:min val="1.5"/>
        </c:scaling>
        <c:delete val="0"/>
        <c:axPos val="l"/>
        <c:majorGridlines>
          <c:spPr>
            <a:ln w="9525" cap="flat" cmpd="sng" algn="ctr">
              <a:solidFill>
                <a:schemeClr val="bg1"/>
              </a:solidFill>
              <a:prstDash val="solid"/>
              <a:round/>
            </a:ln>
          </c:spPr>
        </c:majorGridlines>
        <c:numFmt formatCode="#,##0.0_);[Red]\(#,##0.0\)"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431577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6DAAF-6E16-48EB-9B5F-6F5F70F23BD0}">
  <ds:schemaRefs/>
</ds:datastoreItem>
</file>

<file path=docProps/app.xml><?xml version="1.0" encoding="utf-8"?>
<Properties xmlns="http://schemas.openxmlformats.org/officeDocument/2006/extended-properties" xmlns:vt="http://schemas.openxmlformats.org/officeDocument/2006/docPropsVTypes">
  <Template>Normal</Template>
  <Company>PBC</Company>
  <Pages>62</Pages>
  <Words>26352</Words>
  <Characters>150213</Characters>
  <Lines>1251</Lines>
  <Paragraphs>352</Paragraphs>
  <ScaleCrop>false</ScaleCrop>
  <LinksUpToDate>false</LinksUpToDate>
  <CharactersWithSpaces>176213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2017-09-11T06:47:00Z</dcterms:created>
  <dc:creator>PBC</dc:creator>
  <cp:lastModifiedBy>admin</cp:lastModifiedBy>
  <cp:lastPrinted>2017-09-11T08:50:00Z</cp:lastPrinted>
  <dcterms:modified xsi:type="dcterms:W3CDTF">2018-03-06T00:57:32Z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