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BBDFBB"/>
  <w:body>
    <w:p>
      <w:pPr>
        <w:spacing w:line="360" w:lineRule="auto"/>
        <w:jc w:val="center"/>
        <w:rPr>
          <w:rFonts w:eastAsia="黑体"/>
          <w:b/>
          <w:color w:val="000000"/>
          <w:spacing w:val="7"/>
          <w:kern w:val="0"/>
          <w:sz w:val="52"/>
          <w:szCs w:val="52"/>
        </w:rPr>
      </w:pPr>
      <w:r>
        <w:rPr>
          <w:rFonts w:eastAsia="黑体"/>
          <w:b/>
          <w:color w:val="000000"/>
          <w:spacing w:val="7"/>
          <w:kern w:val="0"/>
          <w:sz w:val="52"/>
          <w:szCs w:val="52"/>
        </w:rPr>
        <w:t>China Monetary Policy Report</w:t>
      </w:r>
    </w:p>
    <w:p>
      <w:pPr>
        <w:spacing w:line="360" w:lineRule="auto"/>
        <w:jc w:val="center"/>
        <w:rPr>
          <w:rFonts w:eastAsia="黑体"/>
          <w:b/>
          <w:color w:val="000000"/>
          <w:sz w:val="52"/>
          <w:szCs w:val="52"/>
        </w:rPr>
      </w:pPr>
      <w:r>
        <w:rPr>
          <w:rFonts w:eastAsia="黑体"/>
          <w:b/>
          <w:color w:val="000000"/>
          <w:spacing w:val="7"/>
          <w:kern w:val="0"/>
          <w:sz w:val="52"/>
          <w:szCs w:val="52"/>
        </w:rPr>
        <w:t xml:space="preserve">Quarter </w:t>
      </w:r>
      <w:r>
        <w:rPr>
          <w:rFonts w:hint="eastAsia"/>
          <w:b/>
          <w:color w:val="000000"/>
          <w:spacing w:val="7"/>
          <w:kern w:val="0"/>
          <w:sz w:val="52"/>
          <w:szCs w:val="52"/>
        </w:rPr>
        <w:t>Two</w:t>
      </w:r>
      <w:r>
        <w:rPr>
          <w:rFonts w:eastAsia="黑体"/>
          <w:b/>
          <w:color w:val="000000"/>
          <w:spacing w:val="7"/>
          <w:kern w:val="0"/>
          <w:sz w:val="52"/>
          <w:szCs w:val="52"/>
        </w:rPr>
        <w:t>, 201</w:t>
      </w:r>
      <w:r>
        <w:rPr>
          <w:rFonts w:hint="eastAsia" w:eastAsia="黑体"/>
          <w:b/>
          <w:color w:val="000000"/>
          <w:spacing w:val="7"/>
          <w:kern w:val="0"/>
          <w:sz w:val="52"/>
          <w:szCs w:val="52"/>
        </w:rPr>
        <w:t>9</w:t>
      </w:r>
    </w:p>
    <w:p>
      <w:pPr>
        <w:spacing w:line="360" w:lineRule="auto"/>
        <w:jc w:val="center"/>
        <w:rPr>
          <w:rFonts w:eastAsia="楷体_GB2312"/>
          <w:color w:val="000000"/>
          <w:sz w:val="32"/>
          <w:szCs w:val="32"/>
        </w:rPr>
      </w:pPr>
      <w:r>
        <w:rPr>
          <w:rFonts w:eastAsia="楷体_GB2312"/>
          <w:color w:val="000000"/>
          <w:sz w:val="32"/>
          <w:szCs w:val="32"/>
        </w:rPr>
        <w:t>(</w:t>
      </w:r>
      <w:r>
        <w:rPr>
          <w:rFonts w:hint="eastAsia"/>
          <w:color w:val="000000"/>
          <w:sz w:val="32"/>
          <w:szCs w:val="32"/>
        </w:rPr>
        <w:t>August</w:t>
      </w:r>
      <w:r>
        <w:rPr>
          <w:color w:val="000000"/>
          <w:sz w:val="32"/>
          <w:szCs w:val="32"/>
        </w:rPr>
        <w:t xml:space="preserve"> </w:t>
      </w:r>
      <w:r>
        <w:rPr>
          <w:rFonts w:hint="eastAsia"/>
          <w:color w:val="000000"/>
          <w:sz w:val="32"/>
          <w:szCs w:val="32"/>
          <w:lang w:val="en-US" w:eastAsia="zh-CN"/>
        </w:rPr>
        <w:t>09</w:t>
      </w:r>
      <w:r>
        <w:rPr>
          <w:color w:val="000000"/>
          <w:sz w:val="32"/>
          <w:szCs w:val="32"/>
        </w:rPr>
        <w:t>, 2019</w:t>
      </w:r>
      <w:r>
        <w:rPr>
          <w:rFonts w:eastAsia="楷体_GB2312"/>
          <w:color w:val="000000"/>
          <w:sz w:val="32"/>
          <w:szCs w:val="32"/>
        </w:rPr>
        <w:t>)</w:t>
      </w:r>
    </w:p>
    <w:p>
      <w:pPr>
        <w:spacing w:line="360" w:lineRule="auto"/>
        <w:jc w:val="center"/>
        <w:rPr>
          <w:rFonts w:eastAsia="楷体_GB2312"/>
          <w:b/>
          <w:color w:val="000000"/>
          <w:sz w:val="44"/>
        </w:rPr>
      </w:pPr>
    </w:p>
    <w:p>
      <w:pPr>
        <w:spacing w:line="360" w:lineRule="auto"/>
        <w:jc w:val="center"/>
        <w:rPr>
          <w:rFonts w:eastAsia="楷体_GB2312"/>
          <w:b/>
          <w:color w:val="000000"/>
          <w:sz w:val="44"/>
        </w:rPr>
      </w:pPr>
    </w:p>
    <w:p>
      <w:pPr>
        <w:spacing w:line="360" w:lineRule="auto"/>
        <w:jc w:val="center"/>
        <w:rPr>
          <w:rFonts w:eastAsia="仿宋_GB2312"/>
          <w:color w:val="000000"/>
          <w:sz w:val="28"/>
        </w:rPr>
      </w:pPr>
    </w:p>
    <w:p>
      <w:pPr>
        <w:spacing w:line="360" w:lineRule="auto"/>
        <w:jc w:val="center"/>
        <w:rPr>
          <w:rFonts w:eastAsia="仿宋_GB2312"/>
          <w:color w:val="000000"/>
          <w:sz w:val="28"/>
        </w:rPr>
      </w:pPr>
      <w:bookmarkStart w:id="185" w:name="_GoBack"/>
      <w:bookmarkEnd w:id="185"/>
    </w:p>
    <w:p>
      <w:pPr>
        <w:spacing w:line="360" w:lineRule="auto"/>
        <w:jc w:val="center"/>
        <w:rPr>
          <w:rFonts w:eastAsia="仿宋_GB2312"/>
          <w:color w:val="000000"/>
          <w:sz w:val="28"/>
        </w:rPr>
      </w:pPr>
    </w:p>
    <w:p>
      <w:pPr>
        <w:spacing w:line="360" w:lineRule="auto"/>
        <w:jc w:val="center"/>
        <w:rPr>
          <w:rFonts w:eastAsia="仿宋_GB2312"/>
          <w:color w:val="000000"/>
          <w:sz w:val="28"/>
        </w:rPr>
      </w:pPr>
    </w:p>
    <w:p>
      <w:pPr>
        <w:spacing w:line="360" w:lineRule="auto"/>
        <w:jc w:val="center"/>
        <w:rPr>
          <w:rFonts w:eastAsia="仿宋_GB2312"/>
          <w:color w:val="000000"/>
          <w:sz w:val="28"/>
        </w:rPr>
      </w:pPr>
    </w:p>
    <w:p>
      <w:pPr>
        <w:spacing w:line="360" w:lineRule="auto"/>
        <w:jc w:val="center"/>
        <w:rPr>
          <w:rFonts w:eastAsia="仿宋_GB2312"/>
          <w:color w:val="000000"/>
          <w:sz w:val="28"/>
        </w:rPr>
      </w:pPr>
    </w:p>
    <w:p>
      <w:pPr>
        <w:spacing w:line="360" w:lineRule="auto"/>
        <w:jc w:val="center"/>
        <w:rPr>
          <w:rFonts w:eastAsia="仿宋_GB2312"/>
          <w:color w:val="000000"/>
          <w:sz w:val="28"/>
        </w:rPr>
      </w:pPr>
    </w:p>
    <w:p>
      <w:pPr>
        <w:spacing w:line="360" w:lineRule="auto"/>
        <w:jc w:val="center"/>
        <w:rPr>
          <w:rFonts w:eastAsia="仿宋_GB2312"/>
          <w:color w:val="000000"/>
          <w:sz w:val="28"/>
        </w:rPr>
      </w:pPr>
    </w:p>
    <w:p>
      <w:pPr>
        <w:spacing w:line="360" w:lineRule="auto"/>
        <w:jc w:val="center"/>
        <w:rPr>
          <w:rFonts w:eastAsia="仿宋_GB2312"/>
          <w:color w:val="000000"/>
          <w:sz w:val="28"/>
        </w:rPr>
      </w:pPr>
    </w:p>
    <w:p>
      <w:pPr>
        <w:spacing w:line="360" w:lineRule="auto"/>
        <w:jc w:val="center"/>
        <w:rPr>
          <w:rFonts w:eastAsia="仿宋_GB2312"/>
          <w:color w:val="000000"/>
          <w:sz w:val="28"/>
        </w:rPr>
      </w:pPr>
    </w:p>
    <w:p>
      <w:pPr>
        <w:spacing w:line="360" w:lineRule="auto"/>
        <w:jc w:val="center"/>
        <w:rPr>
          <w:rFonts w:eastAsia="仿宋_GB2312"/>
          <w:color w:val="000000"/>
          <w:sz w:val="28"/>
        </w:rPr>
      </w:pPr>
    </w:p>
    <w:p>
      <w:pPr>
        <w:spacing w:line="360" w:lineRule="auto"/>
        <w:jc w:val="center"/>
        <w:rPr>
          <w:rFonts w:eastAsia="仿宋_GB2312"/>
          <w:color w:val="000000"/>
          <w:sz w:val="28"/>
        </w:rPr>
      </w:pPr>
    </w:p>
    <w:p>
      <w:pPr>
        <w:spacing w:line="360" w:lineRule="auto"/>
        <w:jc w:val="center"/>
        <w:rPr>
          <w:rFonts w:eastAsia="楷体_GB2312"/>
          <w:b/>
          <w:color w:val="000000"/>
          <w:sz w:val="32"/>
          <w:szCs w:val="32"/>
        </w:rPr>
      </w:pPr>
      <w:r>
        <w:rPr>
          <w:rFonts w:eastAsia="楷体_GB2312"/>
          <w:b/>
          <w:color w:val="000000"/>
          <w:sz w:val="32"/>
          <w:szCs w:val="32"/>
        </w:rPr>
        <w:t>Monetary Policy Analysis Group of</w:t>
      </w:r>
    </w:p>
    <w:p>
      <w:pPr>
        <w:spacing w:line="360" w:lineRule="auto"/>
        <w:jc w:val="center"/>
        <w:rPr>
          <w:rFonts w:eastAsia="楷体_GB2312"/>
          <w:b/>
          <w:color w:val="000000"/>
          <w:sz w:val="32"/>
          <w:szCs w:val="32"/>
        </w:rPr>
      </w:pPr>
      <w:r>
        <w:rPr>
          <w:rFonts w:eastAsia="楷体_GB2312"/>
          <w:b/>
          <w:color w:val="000000"/>
          <w:sz w:val="32"/>
          <w:szCs w:val="32"/>
        </w:rPr>
        <w:t>the People’s Bank of China</w:t>
      </w:r>
    </w:p>
    <w:p>
      <w:pPr>
        <w:widowControl/>
        <w:jc w:val="left"/>
        <w:rPr>
          <w:rFonts w:ascii="Times New Roman" w:hAnsi="Times New Roman" w:cs="Times New Roman"/>
          <w:b/>
          <w:bCs/>
          <w:kern w:val="0"/>
          <w:sz w:val="24"/>
        </w:rPr>
      </w:pPr>
      <w:r>
        <w:rPr>
          <w:rFonts w:ascii="Times New Roman" w:hAnsi="Times New Roman" w:cs="Times New Roman"/>
          <w:b/>
          <w:bCs/>
          <w:kern w:val="0"/>
          <w:sz w:val="24"/>
        </w:rPr>
        <w:br w:type="page"/>
      </w:r>
    </w:p>
    <w:p>
      <w:pPr>
        <w:ind w:firstLine="482" w:firstLineChars="200"/>
        <w:jc w:val="center"/>
        <w:rPr>
          <w:rFonts w:ascii="Times New Roman" w:hAnsi="Times New Roman" w:cs="Times New Roman"/>
          <w:b/>
          <w:bCs/>
          <w:kern w:val="0"/>
          <w:sz w:val="24"/>
        </w:rPr>
      </w:pPr>
      <w:r>
        <w:rPr>
          <w:rFonts w:ascii="Times New Roman" w:hAnsi="Times New Roman" w:cs="Times New Roman"/>
          <w:b/>
          <w:bCs/>
          <w:kern w:val="0"/>
          <w:sz w:val="24"/>
        </w:rPr>
        <w:t>Executive Summary</w:t>
      </w:r>
    </w:p>
    <w:p>
      <w:pPr>
        <w:rPr>
          <w:rFonts w:ascii="Times New Roman" w:hAnsi="Times New Roman" w:cs="Times New Roman"/>
          <w:kern w:val="0"/>
          <w:sz w:val="24"/>
        </w:rPr>
      </w:pPr>
    </w:p>
    <w:p>
      <w:pPr>
        <w:rPr>
          <w:rFonts w:ascii="Times New Roman" w:hAnsi="Times New Roman" w:cs="Times New Roman"/>
          <w:sz w:val="24"/>
        </w:rPr>
      </w:pPr>
      <w:r>
        <w:rPr>
          <w:rFonts w:ascii="Times New Roman" w:hAnsi="Times New Roman" w:cs="Times New Roman"/>
          <w:kern w:val="0"/>
          <w:sz w:val="24"/>
        </w:rPr>
        <w:t xml:space="preserve">In the first half of 2019, China’s economic growth remained resilient. Its economic performance was within a reasonable range, featuring </w:t>
      </w:r>
      <w:r>
        <w:rPr>
          <w:rFonts w:ascii="Times New Roman" w:hAnsi="Times New Roman" w:cs="Times New Roman"/>
          <w:sz w:val="24"/>
        </w:rPr>
        <w:t>overall stability and solid progress. Structural adjustment</w:t>
      </w:r>
      <w:r>
        <w:rPr>
          <w:rFonts w:hint="eastAsia" w:ascii="Times New Roman" w:hAnsi="Times New Roman" w:cs="Times New Roman"/>
          <w:sz w:val="24"/>
        </w:rPr>
        <w:t>s</w:t>
      </w:r>
      <w:r>
        <w:rPr>
          <w:rFonts w:ascii="Times New Roman" w:hAnsi="Times New Roman" w:cs="Times New Roman"/>
          <w:sz w:val="24"/>
        </w:rPr>
        <w:t xml:space="preserve"> continued and supply and demand were generally </w:t>
      </w:r>
      <w:r>
        <w:rPr>
          <w:rFonts w:hint="eastAsia" w:ascii="Times New Roman" w:hAnsi="Times New Roman" w:cs="Times New Roman"/>
          <w:sz w:val="24"/>
        </w:rPr>
        <w:t>in equilibrium</w:t>
      </w:r>
      <w:r>
        <w:rPr>
          <w:rFonts w:ascii="Times New Roman" w:hAnsi="Times New Roman" w:cs="Times New Roman"/>
          <w:sz w:val="24"/>
        </w:rPr>
        <w:t>. Consumption and investment registered steady growth, the trade surplus was expanding moderately year on year, and consumer prices and employment remained stable. However, with increasing uncertainties and destabilizing factors at home and abroad, the economy faced downward pressures.</w:t>
      </w:r>
    </w:p>
    <w:p>
      <w:pPr>
        <w:rPr>
          <w:rFonts w:ascii="Times New Roman" w:hAnsi="Times New Roman" w:cs="Times New Roman"/>
          <w:kern w:val="0"/>
          <w:sz w:val="24"/>
        </w:rPr>
      </w:pPr>
    </w:p>
    <w:p>
      <w:pPr>
        <w:rPr>
          <w:rFonts w:ascii="Times New Roman" w:hAnsi="Times New Roman" w:cs="Times New Roman"/>
          <w:kern w:val="0"/>
          <w:sz w:val="24"/>
        </w:rPr>
      </w:pPr>
      <w:r>
        <w:rPr>
          <w:rFonts w:ascii="Times New Roman" w:hAnsi="Times New Roman" w:cs="Times New Roman"/>
          <w:kern w:val="0"/>
          <w:sz w:val="24"/>
        </w:rPr>
        <w:t>In view of the complicated and grim situations at home and abroad, and according to the arrangements of the CPC Central Committee and the State Council, the PBC followed the strategy of seeking progress while maintaining stability</w:t>
      </w:r>
      <w:r>
        <w:rPr>
          <w:rFonts w:hint="eastAsia" w:ascii="Times New Roman" w:hAnsi="Times New Roman" w:cs="Times New Roman"/>
          <w:kern w:val="0"/>
          <w:sz w:val="24"/>
        </w:rPr>
        <w:t>,</w:t>
      </w:r>
      <w:r>
        <w:rPr>
          <w:rFonts w:ascii="Times New Roman" w:hAnsi="Times New Roman" w:cs="Times New Roman"/>
          <w:kern w:val="0"/>
          <w:sz w:val="24"/>
        </w:rPr>
        <w:t xml:space="preserve"> </w:t>
      </w:r>
      <w:r>
        <w:rPr>
          <w:rFonts w:hint="eastAsia" w:ascii="Times New Roman" w:hAnsi="Times New Roman" w:cs="Times New Roman"/>
          <w:kern w:val="0"/>
          <w:sz w:val="24"/>
        </w:rPr>
        <w:t>focused on promoting</w:t>
      </w:r>
      <w:r>
        <w:rPr>
          <w:rFonts w:ascii="Times New Roman" w:hAnsi="Times New Roman" w:cs="Times New Roman"/>
          <w:kern w:val="0"/>
          <w:sz w:val="24"/>
        </w:rPr>
        <w:t xml:space="preserve"> the financial </w:t>
      </w:r>
      <w:r>
        <w:rPr>
          <w:rFonts w:hint="eastAsia" w:ascii="Times New Roman" w:hAnsi="Times New Roman" w:cs="Times New Roman"/>
          <w:kern w:val="0"/>
          <w:sz w:val="24"/>
        </w:rPr>
        <w:t>industry to</w:t>
      </w:r>
      <w:r>
        <w:rPr>
          <w:rFonts w:ascii="Times New Roman" w:hAnsi="Times New Roman" w:cs="Times New Roman"/>
          <w:kern w:val="0"/>
          <w:sz w:val="24"/>
        </w:rPr>
        <w:t xml:space="preserve"> serv</w:t>
      </w:r>
      <w:r>
        <w:rPr>
          <w:rFonts w:hint="eastAsia" w:ascii="Times New Roman" w:hAnsi="Times New Roman" w:cs="Times New Roman"/>
          <w:kern w:val="0"/>
          <w:sz w:val="24"/>
        </w:rPr>
        <w:t>e</w:t>
      </w:r>
      <w:r>
        <w:rPr>
          <w:rFonts w:ascii="Times New Roman" w:hAnsi="Times New Roman" w:cs="Times New Roman"/>
          <w:kern w:val="0"/>
          <w:sz w:val="24"/>
        </w:rPr>
        <w:t xml:space="preserve"> the real economy, continued </w:t>
      </w:r>
      <w:r>
        <w:rPr>
          <w:rFonts w:hint="eastAsia" w:ascii="Times New Roman" w:hAnsi="Times New Roman" w:cs="Times New Roman"/>
          <w:kern w:val="0"/>
          <w:sz w:val="24"/>
        </w:rPr>
        <w:t>its</w:t>
      </w:r>
      <w:r>
        <w:rPr>
          <w:rFonts w:ascii="Times New Roman" w:hAnsi="Times New Roman" w:cs="Times New Roman"/>
          <w:kern w:val="0"/>
          <w:sz w:val="24"/>
        </w:rPr>
        <w:t xml:space="preserve"> macroeconomic </w:t>
      </w:r>
      <w:r>
        <w:rPr>
          <w:rFonts w:hint="eastAsia" w:ascii="Times New Roman" w:hAnsi="Times New Roman" w:cs="Times New Roman"/>
          <w:kern w:val="0"/>
          <w:sz w:val="24"/>
        </w:rPr>
        <w:t>adjustment</w:t>
      </w:r>
      <w:r>
        <w:rPr>
          <w:rFonts w:ascii="Times New Roman" w:hAnsi="Times New Roman" w:cs="Times New Roman"/>
          <w:kern w:val="0"/>
          <w:sz w:val="24"/>
        </w:rPr>
        <w:t xml:space="preserve">s and </w:t>
      </w:r>
      <w:r>
        <w:rPr>
          <w:rFonts w:hint="eastAsia" w:ascii="Times New Roman" w:hAnsi="Times New Roman" w:cs="Times New Roman"/>
          <w:kern w:val="0"/>
          <w:sz w:val="24"/>
        </w:rPr>
        <w:t xml:space="preserve">sound </w:t>
      </w:r>
      <w:r>
        <w:rPr>
          <w:rFonts w:ascii="Times New Roman" w:hAnsi="Times New Roman" w:cs="Times New Roman"/>
          <w:kern w:val="0"/>
          <w:sz w:val="24"/>
        </w:rPr>
        <w:t>monetary policy, adopted measures in a self-initiated and targeted manner to maintain the stable growth of money, credit, and aggregate financing so as to promote the optimization of the credit structure, to reverse the trend of shrinking social credit in certain areas, to alleviate the lack of access to and the high costs of financing for micro and</w:t>
      </w:r>
      <w:r>
        <w:rPr>
          <w:rFonts w:hint="eastAsia" w:ascii="Times New Roman" w:hAnsi="Times New Roman" w:cs="Times New Roman"/>
          <w:kern w:val="0"/>
          <w:sz w:val="24"/>
        </w:rPr>
        <w:t xml:space="preserve"> small</w:t>
      </w:r>
      <w:r>
        <w:rPr>
          <w:rFonts w:ascii="Times New Roman" w:hAnsi="Times New Roman" w:cs="Times New Roman"/>
          <w:kern w:val="0"/>
          <w:sz w:val="24"/>
        </w:rPr>
        <w:t xml:space="preserve"> businesses (M</w:t>
      </w:r>
      <w:r>
        <w:rPr>
          <w:rFonts w:hint="eastAsia" w:ascii="Times New Roman" w:hAnsi="Times New Roman" w:cs="Times New Roman"/>
          <w:kern w:val="0"/>
          <w:sz w:val="24"/>
        </w:rPr>
        <w:t>S</w:t>
      </w:r>
      <w:r>
        <w:rPr>
          <w:rFonts w:ascii="Times New Roman" w:hAnsi="Times New Roman" w:cs="Times New Roman"/>
          <w:kern w:val="0"/>
          <w:sz w:val="24"/>
        </w:rPr>
        <w:t xml:space="preserve">Bs) and private </w:t>
      </w:r>
      <w:r>
        <w:rPr>
          <w:rFonts w:hint="eastAsia" w:ascii="Times New Roman" w:hAnsi="Times New Roman" w:cs="Times New Roman"/>
          <w:kern w:val="0"/>
          <w:sz w:val="24"/>
        </w:rPr>
        <w:t>firm</w:t>
      </w:r>
      <w:r>
        <w:rPr>
          <w:rFonts w:ascii="Times New Roman" w:hAnsi="Times New Roman" w:cs="Times New Roman"/>
          <w:kern w:val="0"/>
          <w:sz w:val="24"/>
        </w:rPr>
        <w:t xml:space="preserve">s, to properly resolve the partial and structural liquidity risks of small and medium-sized banks, and to deepen the supply-side structural reforms in the financial sector. All these measures have contributed to a favorable monetary and financial environment for achieving the “six stabilities,” i.e., </w:t>
      </w:r>
      <w:r>
        <w:rPr>
          <w:rFonts w:hint="eastAsia" w:ascii="Times New Roman" w:hAnsi="Times New Roman" w:cs="Times New Roman"/>
          <w:kern w:val="0"/>
          <w:sz w:val="24"/>
        </w:rPr>
        <w:t>stability of</w:t>
      </w:r>
      <w:r>
        <w:rPr>
          <w:rFonts w:ascii="Times New Roman" w:hAnsi="Times New Roman" w:cs="Times New Roman"/>
          <w:kern w:val="0"/>
          <w:sz w:val="24"/>
        </w:rPr>
        <w:t xml:space="preserve"> employment, the financial sector, foreign trade, foreign investment, domestic investment, and </w:t>
      </w:r>
      <w:r>
        <w:rPr>
          <w:rFonts w:hint="eastAsia" w:ascii="Times New Roman" w:hAnsi="Times New Roman" w:cs="Times New Roman"/>
          <w:kern w:val="0"/>
          <w:sz w:val="24"/>
        </w:rPr>
        <w:t xml:space="preserve">market </w:t>
      </w:r>
      <w:r>
        <w:rPr>
          <w:rFonts w:ascii="Times New Roman" w:hAnsi="Times New Roman" w:cs="Times New Roman"/>
          <w:kern w:val="0"/>
          <w:sz w:val="24"/>
        </w:rPr>
        <w:t>expectations” and high-quality economic development.</w:t>
      </w:r>
    </w:p>
    <w:p>
      <w:pPr>
        <w:rPr>
          <w:rFonts w:ascii="Times New Roman" w:hAnsi="Times New Roman" w:cs="Times New Roman"/>
          <w:kern w:val="0"/>
          <w:sz w:val="24"/>
        </w:rPr>
      </w:pPr>
    </w:p>
    <w:p>
      <w:pPr>
        <w:rPr>
          <w:rFonts w:ascii="Times New Roman" w:hAnsi="Times New Roman" w:cs="Times New Roman"/>
          <w:sz w:val="24"/>
        </w:rPr>
      </w:pPr>
      <w:r>
        <w:rPr>
          <w:rFonts w:ascii="Times New Roman" w:hAnsi="Times New Roman" w:cs="Times New Roman"/>
          <w:b/>
          <w:bCs/>
          <w:kern w:val="0"/>
          <w:sz w:val="24"/>
        </w:rPr>
        <w:t xml:space="preserve">First, the PBC remained focused </w:t>
      </w:r>
      <w:r>
        <w:rPr>
          <w:rFonts w:hint="eastAsia" w:ascii="Times New Roman" w:hAnsi="Times New Roman" w:cs="Times New Roman"/>
          <w:b/>
          <w:bCs/>
          <w:kern w:val="0"/>
          <w:sz w:val="24"/>
        </w:rPr>
        <w:t>on its mandate while</w:t>
      </w:r>
      <w:r>
        <w:rPr>
          <w:rFonts w:ascii="Times New Roman" w:hAnsi="Times New Roman" w:cs="Times New Roman"/>
          <w:b/>
          <w:bCs/>
          <w:kern w:val="0"/>
          <w:sz w:val="24"/>
        </w:rPr>
        <w:t xml:space="preserve"> </w:t>
      </w:r>
      <w:r>
        <w:rPr>
          <w:rFonts w:hint="eastAsia" w:ascii="Times New Roman" w:hAnsi="Times New Roman" w:cs="Times New Roman"/>
          <w:b/>
          <w:bCs/>
          <w:kern w:val="0"/>
          <w:sz w:val="24"/>
        </w:rPr>
        <w:t>effectively</w:t>
      </w:r>
      <w:r>
        <w:rPr>
          <w:rFonts w:ascii="Times New Roman" w:hAnsi="Times New Roman" w:cs="Times New Roman"/>
          <w:b/>
          <w:bCs/>
          <w:kern w:val="0"/>
          <w:sz w:val="24"/>
        </w:rPr>
        <w:t xml:space="preserve"> handl</w:t>
      </w:r>
      <w:r>
        <w:rPr>
          <w:rFonts w:hint="eastAsia" w:ascii="Times New Roman" w:hAnsi="Times New Roman" w:cs="Times New Roman"/>
          <w:b/>
          <w:bCs/>
          <w:kern w:val="0"/>
          <w:sz w:val="24"/>
        </w:rPr>
        <w:t>ing</w:t>
      </w:r>
      <w:r>
        <w:rPr>
          <w:rFonts w:ascii="Times New Roman" w:hAnsi="Times New Roman" w:cs="Times New Roman"/>
          <w:b/>
          <w:bCs/>
          <w:kern w:val="0"/>
          <w:sz w:val="24"/>
        </w:rPr>
        <w:t xml:space="preserve"> the internal and external uncertainties.</w:t>
      </w:r>
      <w:r>
        <w:rPr>
          <w:rFonts w:ascii="Times New Roman" w:hAnsi="Times New Roman" w:cs="Times New Roman"/>
          <w:kern w:val="0"/>
          <w:sz w:val="24"/>
        </w:rPr>
        <w:t xml:space="preserve"> The </w:t>
      </w:r>
      <w:r>
        <w:rPr>
          <w:rFonts w:hint="eastAsia" w:ascii="Times New Roman" w:hAnsi="Times New Roman" w:cs="Times New Roman"/>
          <w:kern w:val="0"/>
          <w:sz w:val="24"/>
        </w:rPr>
        <w:t>sound</w:t>
      </w:r>
      <w:r>
        <w:rPr>
          <w:rFonts w:ascii="Times New Roman" w:hAnsi="Times New Roman" w:cs="Times New Roman"/>
          <w:kern w:val="0"/>
          <w:sz w:val="24"/>
        </w:rPr>
        <w:t xml:space="preserve"> monetary policy was kept neither too tight nor too loose. Since banks play a major role in money creation and monetary- policy transmission, the PBC took measures to alleviate constraints in credit supply in terms of liquidity, interest rates, and capital. </w:t>
      </w:r>
      <w:r>
        <w:rPr>
          <w:rFonts w:hint="eastAsia" w:ascii="Times New Roman" w:hAnsi="Times New Roman" w:cs="Times New Roman"/>
          <w:kern w:val="0"/>
          <w:sz w:val="24"/>
        </w:rPr>
        <w:t>A</w:t>
      </w:r>
      <w:r>
        <w:rPr>
          <w:rFonts w:ascii="Times New Roman" w:hAnsi="Times New Roman" w:cs="Times New Roman"/>
          <w:kern w:val="0"/>
          <w:sz w:val="24"/>
        </w:rPr>
        <w:t xml:space="preserve"> </w:t>
      </w:r>
      <w:r>
        <w:rPr>
          <w:rFonts w:hint="eastAsia" w:ascii="Times New Roman" w:hAnsi="Times New Roman" w:cs="Times New Roman"/>
          <w:kern w:val="0"/>
          <w:sz w:val="24"/>
        </w:rPr>
        <w:t>series</w:t>
      </w:r>
      <w:r>
        <w:rPr>
          <w:rFonts w:ascii="Times New Roman" w:hAnsi="Times New Roman" w:cs="Times New Roman"/>
          <w:kern w:val="0"/>
          <w:sz w:val="24"/>
        </w:rPr>
        <w:t xml:space="preserve"> of monetary-policy instruments, including</w:t>
      </w:r>
      <w:r>
        <w:rPr>
          <w:rFonts w:ascii="Times New Roman" w:hAnsi="Times New Roman" w:cs="Times New Roman"/>
          <w:sz w:val="24"/>
        </w:rPr>
        <w:t xml:space="preserve"> reserve requirement ratios (RRR), the Medium-term Lending Facility (MLF), the Standing Lending Facility (SLF), and open market operations,</w:t>
      </w:r>
      <w:r>
        <w:rPr>
          <w:rFonts w:hint="eastAsia" w:ascii="Times New Roman" w:hAnsi="Times New Roman" w:cs="Times New Roman"/>
          <w:sz w:val="24"/>
        </w:rPr>
        <w:t xml:space="preserve"> was employed</w:t>
      </w:r>
      <w:r>
        <w:rPr>
          <w:rFonts w:ascii="Times New Roman" w:hAnsi="Times New Roman" w:cs="Times New Roman"/>
          <w:sz w:val="24"/>
        </w:rPr>
        <w:t xml:space="preserve"> to keep liquidity at a reasonable and adequate level so as</w:t>
      </w:r>
      <w:r>
        <w:rPr>
          <w:rFonts w:hint="eastAsia" w:ascii="Times New Roman" w:hAnsi="Times New Roman" w:cs="Times New Roman"/>
          <w:sz w:val="24"/>
        </w:rPr>
        <w:t xml:space="preserve"> to</w:t>
      </w:r>
      <w:r>
        <w:rPr>
          <w:rFonts w:ascii="Times New Roman" w:hAnsi="Times New Roman" w:cs="Times New Roman"/>
          <w:sz w:val="24"/>
        </w:rPr>
        <w:t xml:space="preserve"> guide the downward movement of interest rates</w:t>
      </w:r>
      <w:r>
        <w:rPr>
          <w:rFonts w:hint="eastAsia" w:ascii="Times New Roman" w:hAnsi="Times New Roman" w:cs="Times New Roman"/>
          <w:sz w:val="24"/>
        </w:rPr>
        <w:t xml:space="preserve">. </w:t>
      </w:r>
      <w:r>
        <w:rPr>
          <w:rFonts w:ascii="Times New Roman" w:hAnsi="Times New Roman" w:cs="Times New Roman"/>
          <w:sz w:val="24"/>
        </w:rPr>
        <w:t>The PBC</w:t>
      </w:r>
      <w:r>
        <w:rPr>
          <w:rFonts w:hint="eastAsia" w:ascii="Times New Roman" w:hAnsi="Times New Roman" w:cs="Times New Roman"/>
          <w:sz w:val="24"/>
        </w:rPr>
        <w:t xml:space="preserve"> also</w:t>
      </w:r>
      <w:r>
        <w:rPr>
          <w:rFonts w:ascii="Times New Roman" w:hAnsi="Times New Roman" w:cs="Times New Roman"/>
          <w:sz w:val="24"/>
        </w:rPr>
        <w:t xml:space="preserve"> improved the transmission of money-market rates to lending rates</w:t>
      </w:r>
      <w:r>
        <w:rPr>
          <w:rFonts w:hint="eastAsia" w:ascii="Times New Roman" w:hAnsi="Times New Roman" w:cs="Times New Roman"/>
          <w:sz w:val="24"/>
        </w:rPr>
        <w:t xml:space="preserve"> to lift</w:t>
      </w:r>
      <w:r>
        <w:rPr>
          <w:rFonts w:ascii="Times New Roman" w:hAnsi="Times New Roman" w:cs="Times New Roman"/>
          <w:sz w:val="24"/>
        </w:rPr>
        <w:t xml:space="preserve"> the interest-rate constraints. Perpetual bonds were </w:t>
      </w:r>
      <w:r>
        <w:rPr>
          <w:rFonts w:hint="eastAsia" w:ascii="Times New Roman" w:hAnsi="Times New Roman" w:cs="Times New Roman"/>
          <w:sz w:val="24"/>
        </w:rPr>
        <w:t>introduced</w:t>
      </w:r>
      <w:r>
        <w:rPr>
          <w:rFonts w:ascii="Times New Roman" w:hAnsi="Times New Roman" w:cs="Times New Roman"/>
          <w:sz w:val="24"/>
        </w:rPr>
        <w:t xml:space="preserve"> as an effective instrument for replenishing the tier-one capital of commercial banks, supported by central-bank bill swap</w:t>
      </w:r>
      <w:r>
        <w:rPr>
          <w:rFonts w:hint="eastAsia" w:ascii="Times New Roman" w:hAnsi="Times New Roman" w:cs="Times New Roman"/>
          <w:sz w:val="24"/>
        </w:rPr>
        <w:t>s</w:t>
      </w:r>
      <w:r>
        <w:rPr>
          <w:rFonts w:ascii="Times New Roman" w:hAnsi="Times New Roman" w:cs="Times New Roman"/>
          <w:sz w:val="24"/>
        </w:rPr>
        <w:t xml:space="preserve">, which represented a new </w:t>
      </w:r>
      <w:r>
        <w:rPr>
          <w:rFonts w:hint="eastAsia" w:ascii="Times New Roman" w:hAnsi="Times New Roman" w:cs="Times New Roman"/>
          <w:sz w:val="24"/>
        </w:rPr>
        <w:t>operation</w:t>
      </w:r>
      <w:r>
        <w:rPr>
          <w:rFonts w:ascii="Times New Roman" w:hAnsi="Times New Roman" w:cs="Times New Roman"/>
          <w:sz w:val="24"/>
        </w:rPr>
        <w:t xml:space="preserve"> designed for this purpose. </w:t>
      </w:r>
    </w:p>
    <w:p>
      <w:pPr>
        <w:rPr>
          <w:rFonts w:ascii="Times New Roman" w:hAnsi="Times New Roman" w:cs="Times New Roman"/>
          <w:sz w:val="24"/>
        </w:rPr>
      </w:pPr>
    </w:p>
    <w:p>
      <w:pPr>
        <w:rPr>
          <w:rFonts w:ascii="Times New Roman" w:hAnsi="Times New Roman" w:cs="Times New Roman"/>
          <w:sz w:val="24"/>
        </w:rPr>
      </w:pPr>
      <w:r>
        <w:rPr>
          <w:rFonts w:ascii="Times New Roman" w:hAnsi="Times New Roman" w:cs="Times New Roman"/>
          <w:b/>
          <w:bCs/>
          <w:sz w:val="24"/>
        </w:rPr>
        <w:t>Second, the PBC took action in a well-targeted manner to step up support for the real economy.</w:t>
      </w:r>
      <w:r>
        <w:rPr>
          <w:rFonts w:ascii="Times New Roman" w:hAnsi="Times New Roman" w:cs="Times New Roman"/>
          <w:sz w:val="24"/>
        </w:rPr>
        <w:t xml:space="preserve"> </w:t>
      </w:r>
      <w:r>
        <w:rPr>
          <w:rFonts w:hint="eastAsia" w:ascii="Times New Roman" w:hAnsi="Times New Roman" w:cs="Times New Roman"/>
          <w:sz w:val="24"/>
        </w:rPr>
        <w:t>The PBC</w:t>
      </w:r>
      <w:r>
        <w:rPr>
          <w:rFonts w:ascii="Times New Roman" w:hAnsi="Times New Roman" w:cs="Times New Roman"/>
          <w:sz w:val="24"/>
        </w:rPr>
        <w:t xml:space="preserve"> used tools such as </w:t>
      </w:r>
      <w:r>
        <w:rPr>
          <w:rFonts w:ascii="Times New Roman" w:hAnsi="Times New Roman" w:cs="Times New Roman"/>
          <w:color w:val="000000"/>
          <w:sz w:val="24"/>
        </w:rPr>
        <w:t>central-bank lend</w:t>
      </w:r>
      <w:r>
        <w:rPr>
          <w:rFonts w:ascii="Times New Roman" w:hAnsi="Times New Roman" w:cs="Times New Roman"/>
          <w:sz w:val="24"/>
        </w:rPr>
        <w:t xml:space="preserve">ing, central-bank discounts, targeted RRR reductions, and the Targeted Medium-term Lending Facility (TMLF) to </w:t>
      </w:r>
      <w:r>
        <w:rPr>
          <w:rFonts w:hint="eastAsia" w:ascii="Times New Roman" w:hAnsi="Times New Roman" w:cs="Times New Roman"/>
          <w:sz w:val="24"/>
        </w:rPr>
        <w:t>promote</w:t>
      </w:r>
      <w:r>
        <w:rPr>
          <w:rFonts w:ascii="Times New Roman" w:hAnsi="Times New Roman" w:cs="Times New Roman"/>
          <w:sz w:val="24"/>
        </w:rPr>
        <w:t xml:space="preserve"> optimization of the credit structure</w:t>
      </w:r>
      <w:r>
        <w:rPr>
          <w:rFonts w:hint="eastAsia" w:ascii="Times New Roman" w:hAnsi="Times New Roman" w:cs="Times New Roman"/>
          <w:sz w:val="24"/>
        </w:rPr>
        <w:t>. It</w:t>
      </w:r>
      <w:r>
        <w:rPr>
          <w:rFonts w:ascii="Times New Roman" w:hAnsi="Times New Roman" w:cs="Times New Roman"/>
          <w:sz w:val="24"/>
        </w:rPr>
        <w:t xml:space="preserve"> </w:t>
      </w:r>
      <w:r>
        <w:rPr>
          <w:rFonts w:hint="eastAsia" w:ascii="Times New Roman" w:hAnsi="Times New Roman" w:cs="Times New Roman"/>
          <w:sz w:val="24"/>
        </w:rPr>
        <w:t>p</w:t>
      </w:r>
      <w:r>
        <w:rPr>
          <w:rFonts w:ascii="Times New Roman" w:hAnsi="Times New Roman" w:cs="Times New Roman"/>
          <w:sz w:val="24"/>
        </w:rPr>
        <w:t xml:space="preserve">romoted financial-sector supply-side structural reforms and put in place a </w:t>
      </w:r>
      <w:r>
        <w:rPr>
          <w:rFonts w:hint="eastAsia" w:ascii="Times New Roman" w:hAnsi="Times New Roman" w:cs="Times New Roman"/>
          <w:sz w:val="24"/>
        </w:rPr>
        <w:t>new</w:t>
      </w:r>
      <w:r>
        <w:rPr>
          <w:rFonts w:ascii="Times New Roman" w:hAnsi="Times New Roman" w:cs="Times New Roman"/>
          <w:sz w:val="24"/>
        </w:rPr>
        <w:t xml:space="preserve"> RRR framework featuring “three tranches of reserve requirements and two additional preferential treatments” to guide small and medium-sized banks to provide services to local enterprises and to the real economy.</w:t>
      </w:r>
      <w:r>
        <w:rPr>
          <w:rFonts w:hint="eastAsia" w:ascii="Times New Roman" w:hAnsi="Times New Roman" w:cs="Times New Roman"/>
          <w:sz w:val="24"/>
        </w:rPr>
        <w:t xml:space="preserve"> </w:t>
      </w:r>
      <w:r>
        <w:rPr>
          <w:rFonts w:ascii="Times New Roman" w:hAnsi="Times New Roman" w:cs="Times New Roman"/>
          <w:sz w:val="24"/>
        </w:rPr>
        <w:t xml:space="preserve">It also adjusted the criteria for assessing </w:t>
      </w:r>
      <w:r>
        <w:rPr>
          <w:rFonts w:hint="eastAsia" w:ascii="Times New Roman" w:hAnsi="Times New Roman" w:cs="Times New Roman"/>
          <w:sz w:val="24"/>
        </w:rPr>
        <w:t>inclusive</w:t>
      </w:r>
      <w:r>
        <w:rPr>
          <w:rFonts w:ascii="Times New Roman" w:hAnsi="Times New Roman" w:cs="Times New Roman"/>
          <w:sz w:val="24"/>
        </w:rPr>
        <w:t xml:space="preserve"> M</w:t>
      </w:r>
      <w:r>
        <w:rPr>
          <w:rFonts w:hint="eastAsia" w:ascii="Times New Roman" w:hAnsi="Times New Roman" w:cs="Times New Roman"/>
          <w:sz w:val="24"/>
        </w:rPr>
        <w:t>S</w:t>
      </w:r>
      <w:r>
        <w:rPr>
          <w:rFonts w:ascii="Times New Roman" w:hAnsi="Times New Roman" w:cs="Times New Roman"/>
          <w:sz w:val="24"/>
        </w:rPr>
        <w:t xml:space="preserve">B loans to expand coverage of the preferential policy </w:t>
      </w:r>
      <w:r>
        <w:rPr>
          <w:rFonts w:hint="eastAsia" w:ascii="Times New Roman" w:hAnsi="Times New Roman" w:cs="Times New Roman"/>
          <w:sz w:val="24"/>
        </w:rPr>
        <w:t>on</w:t>
      </w:r>
      <w:r>
        <w:rPr>
          <w:rFonts w:ascii="Times New Roman" w:hAnsi="Times New Roman" w:cs="Times New Roman"/>
          <w:sz w:val="24"/>
        </w:rPr>
        <w:t xml:space="preserve"> targeted reserve requirement ratio cut</w:t>
      </w:r>
      <w:r>
        <w:rPr>
          <w:rFonts w:hint="eastAsia" w:ascii="Times New Roman" w:hAnsi="Times New Roman" w:cs="Times New Roman"/>
          <w:sz w:val="24"/>
        </w:rPr>
        <w:t>s</w:t>
      </w:r>
      <w:r>
        <w:rPr>
          <w:rFonts w:ascii="Times New Roman" w:hAnsi="Times New Roman" w:cs="Times New Roman"/>
          <w:sz w:val="24"/>
        </w:rPr>
        <w:t xml:space="preserve"> for inclusive financing</w:t>
      </w:r>
      <w:r>
        <w:rPr>
          <w:rFonts w:hint="eastAsia" w:ascii="Times New Roman" w:hAnsi="Times New Roman" w:cs="Times New Roman"/>
          <w:sz w:val="24"/>
        </w:rPr>
        <w:t>. I</w:t>
      </w:r>
      <w:r>
        <w:rPr>
          <w:rFonts w:ascii="Times New Roman" w:hAnsi="Times New Roman" w:cs="Times New Roman"/>
          <w:sz w:val="24"/>
        </w:rPr>
        <w:t>n addition it</w:t>
      </w:r>
      <w:r>
        <w:rPr>
          <w:rFonts w:hint="eastAsia" w:ascii="Times New Roman" w:hAnsi="Times New Roman" w:cs="Times New Roman"/>
          <w:sz w:val="24"/>
        </w:rPr>
        <w:t xml:space="preserve"> </w:t>
      </w:r>
      <w:r>
        <w:rPr>
          <w:rFonts w:ascii="Times New Roman" w:hAnsi="Times New Roman" w:cs="Times New Roman"/>
          <w:sz w:val="24"/>
        </w:rPr>
        <w:t xml:space="preserve">expanded </w:t>
      </w:r>
      <w:r>
        <w:rPr>
          <w:rFonts w:hint="eastAsia" w:ascii="Times New Roman" w:hAnsi="Times New Roman" w:cs="Times New Roman"/>
          <w:sz w:val="24"/>
        </w:rPr>
        <w:t>its</w:t>
      </w:r>
      <w:r>
        <w:rPr>
          <w:rFonts w:ascii="Times New Roman" w:hAnsi="Times New Roman" w:cs="Times New Roman"/>
          <w:sz w:val="24"/>
        </w:rPr>
        <w:t xml:space="preserve"> pilot</w:t>
      </w:r>
      <w:r>
        <w:rPr>
          <w:rFonts w:hint="eastAsia" w:ascii="Times New Roman" w:hAnsi="Times New Roman" w:cs="Times New Roman"/>
          <w:sz w:val="24"/>
        </w:rPr>
        <w:t xml:space="preserve"> </w:t>
      </w:r>
      <w:r>
        <w:rPr>
          <w:rFonts w:ascii="Times New Roman" w:hAnsi="Times New Roman" w:cs="Times New Roman"/>
          <w:sz w:val="24"/>
        </w:rPr>
        <w:t xml:space="preserve">program </w:t>
      </w:r>
      <w:r>
        <w:rPr>
          <w:rFonts w:hint="eastAsia" w:ascii="Times New Roman" w:hAnsi="Times New Roman" w:cs="Times New Roman"/>
          <w:sz w:val="24"/>
        </w:rPr>
        <w:t>o</w:t>
      </w:r>
      <w:r>
        <w:rPr>
          <w:rFonts w:ascii="Times New Roman" w:hAnsi="Times New Roman" w:cs="Times New Roman"/>
          <w:sz w:val="24"/>
        </w:rPr>
        <w:t>f</w:t>
      </w:r>
      <w:r>
        <w:rPr>
          <w:rFonts w:hint="eastAsia" w:ascii="Times New Roman" w:hAnsi="Times New Roman" w:cs="Times New Roman"/>
          <w:sz w:val="24"/>
        </w:rPr>
        <w:t xml:space="preserve"> </w:t>
      </w:r>
      <w:r>
        <w:rPr>
          <w:rFonts w:ascii="Times New Roman" w:hAnsi="Times New Roman" w:cs="Times New Roman"/>
          <w:sz w:val="24"/>
        </w:rPr>
        <w:t xml:space="preserve">using </w:t>
      </w:r>
      <w:r>
        <w:rPr>
          <w:rFonts w:hint="eastAsia" w:ascii="Times New Roman" w:hAnsi="Times New Roman" w:cs="Times New Roman"/>
          <w:sz w:val="24"/>
        </w:rPr>
        <w:t>various tools to support</w:t>
      </w:r>
      <w:r>
        <w:rPr>
          <w:rFonts w:ascii="Times New Roman" w:hAnsi="Times New Roman" w:cs="Times New Roman"/>
          <w:sz w:val="24"/>
        </w:rPr>
        <w:t xml:space="preserve"> private-firm bond financing. In terms of the Macro-prudential Assessment (MPA), parameters for medium and long-term loans and credit loans to the manufacturing sector were added, and parameters for loans to M</w:t>
      </w:r>
      <w:r>
        <w:rPr>
          <w:rFonts w:hint="eastAsia" w:ascii="Times New Roman" w:hAnsi="Times New Roman" w:cs="Times New Roman"/>
          <w:sz w:val="24"/>
        </w:rPr>
        <w:t>S</w:t>
      </w:r>
      <w:r>
        <w:rPr>
          <w:rFonts w:ascii="Times New Roman" w:hAnsi="Times New Roman" w:cs="Times New Roman"/>
          <w:sz w:val="24"/>
        </w:rPr>
        <w:t>Bs and private firms were adjusted to guide financial institutions to step up credit support for the real economy.</w:t>
      </w:r>
    </w:p>
    <w:p>
      <w:pPr>
        <w:rPr>
          <w:rFonts w:ascii="Times New Roman" w:hAnsi="Times New Roman" w:cs="Times New Roman"/>
          <w:sz w:val="24"/>
        </w:rPr>
      </w:pPr>
    </w:p>
    <w:p>
      <w:pPr>
        <w:rPr>
          <w:rFonts w:ascii="Times New Roman" w:hAnsi="Times New Roman" w:cs="Times New Roman"/>
          <w:b/>
          <w:sz w:val="24"/>
        </w:rPr>
      </w:pPr>
      <w:r>
        <w:rPr>
          <w:rFonts w:ascii="Times New Roman" w:hAnsi="Times New Roman" w:cs="Times New Roman"/>
          <w:b/>
          <w:sz w:val="24"/>
        </w:rPr>
        <w:t xml:space="preserve">Third, the PBC continued to deepen the market-based interest-rate reform and the RMB exchange-rate regime reform. </w:t>
      </w:r>
      <w:r>
        <w:rPr>
          <w:rFonts w:ascii="Times New Roman" w:hAnsi="Times New Roman" w:cs="Times New Roman"/>
          <w:sz w:val="24"/>
        </w:rPr>
        <w:t xml:space="preserve">Efforts were made to promote convergence of the benchmark lending interest rate with the market interest rate and to improve the market-based mechanism </w:t>
      </w:r>
      <w:r>
        <w:rPr>
          <w:rFonts w:hint="eastAsia" w:ascii="Times New Roman" w:hAnsi="Times New Roman" w:cs="Times New Roman"/>
          <w:sz w:val="24"/>
        </w:rPr>
        <w:t>of</w:t>
      </w:r>
      <w:r>
        <w:rPr>
          <w:rFonts w:ascii="Times New Roman" w:hAnsi="Times New Roman" w:cs="Times New Roman"/>
          <w:sz w:val="24"/>
        </w:rPr>
        <w:t xml:space="preserve"> interest-rate pricing, adjustments, and transmissions. The RMB exchange rate fluctuated in both ways </w:t>
      </w:r>
      <w:r>
        <w:rPr>
          <w:rFonts w:ascii="Times New Roman" w:hAnsi="Times New Roman" w:cs="Times New Roman"/>
          <w:color w:val="000000"/>
          <w:sz w:val="24"/>
        </w:rPr>
        <w:t xml:space="preserve">based on market supply and demand </w:t>
      </w:r>
      <w:r>
        <w:rPr>
          <w:rFonts w:hint="eastAsia" w:ascii="Times New Roman" w:hAnsi="Times New Roman" w:cs="Times New Roman"/>
          <w:color w:val="000000"/>
          <w:sz w:val="24"/>
        </w:rPr>
        <w:t>in</w:t>
      </w:r>
      <w:r>
        <w:rPr>
          <w:rFonts w:ascii="Times New Roman" w:hAnsi="Times New Roman" w:cs="Times New Roman"/>
          <w:color w:val="000000"/>
          <w:sz w:val="24"/>
        </w:rPr>
        <w:t xml:space="preserve"> reference to a basket of currencies and it was </w:t>
      </w:r>
      <w:r>
        <w:rPr>
          <w:rFonts w:ascii="Times New Roman" w:hAnsi="Times New Roman" w:cs="Times New Roman"/>
          <w:sz w:val="24"/>
        </w:rPr>
        <w:t xml:space="preserve">basically stable at a reasonable and equilibrium level. A regular </w:t>
      </w:r>
      <w:r>
        <w:rPr>
          <w:rFonts w:ascii="Times New Roman" w:hAnsi="Times New Roman" w:cs="Times New Roman"/>
          <w:color w:val="000000"/>
          <w:sz w:val="24"/>
        </w:rPr>
        <w:t>mechanism of central-bank bill</w:t>
      </w:r>
      <w:r>
        <w:rPr>
          <w:rFonts w:hint="eastAsia" w:ascii="Times New Roman" w:hAnsi="Times New Roman" w:cs="Times New Roman"/>
          <w:color w:val="000000"/>
          <w:sz w:val="24"/>
        </w:rPr>
        <w:t xml:space="preserve"> issuance</w:t>
      </w:r>
      <w:r>
        <w:rPr>
          <w:rFonts w:ascii="Times New Roman" w:hAnsi="Times New Roman" w:cs="Times New Roman"/>
          <w:color w:val="000000"/>
          <w:sz w:val="24"/>
        </w:rPr>
        <w:t xml:space="preserve">s in Hong Kong was established to help improve the Hong Kong RMB bond yield curve. </w:t>
      </w:r>
    </w:p>
    <w:p>
      <w:pPr>
        <w:rPr>
          <w:rFonts w:ascii="Times New Roman" w:hAnsi="Times New Roman" w:cs="Times New Roman"/>
          <w:sz w:val="24"/>
        </w:rPr>
      </w:pPr>
    </w:p>
    <w:p>
      <w:pPr>
        <w:rPr>
          <w:rFonts w:ascii="Times New Roman" w:hAnsi="Times New Roman" w:cs="Times New Roman"/>
          <w:sz w:val="24"/>
        </w:rPr>
      </w:pPr>
      <w:r>
        <w:rPr>
          <w:rFonts w:ascii="Times New Roman" w:hAnsi="Times New Roman" w:cs="Times New Roman"/>
          <w:b/>
          <w:sz w:val="24"/>
        </w:rPr>
        <w:t xml:space="preserve">Four, the PBC stuck to the bottom line to prevent and resolve major financial risks. </w:t>
      </w:r>
      <w:r>
        <w:rPr>
          <w:rFonts w:ascii="Times New Roman" w:hAnsi="Times New Roman" w:cs="Times New Roman"/>
          <w:sz w:val="24"/>
        </w:rPr>
        <w:t>The takeover of the Baoshang Bank was carried out prudently and orderly in accordance with the law and regulations to protect as much as possible the legitimate rights and interests of the depositors. The four lines of defense, i.e., central-bank discounts, the standing lending facility (SLF), the required reserve</w:t>
      </w:r>
      <w:r>
        <w:rPr>
          <w:rFonts w:hint="eastAsia" w:ascii="Times New Roman" w:hAnsi="Times New Roman" w:cs="Times New Roman"/>
          <w:sz w:val="24"/>
        </w:rPr>
        <w:t xml:space="preserve"> ratio</w:t>
      </w:r>
      <w:r>
        <w:rPr>
          <w:rFonts w:ascii="Times New Roman" w:hAnsi="Times New Roman" w:cs="Times New Roman"/>
          <w:sz w:val="24"/>
        </w:rPr>
        <w:t xml:space="preserve">, and central-bank lending </w:t>
      </w:r>
      <w:r>
        <w:rPr>
          <w:rFonts w:hint="eastAsia" w:ascii="Times New Roman" w:hAnsi="Times New Roman" w:cs="Times New Roman"/>
          <w:sz w:val="24"/>
        </w:rPr>
        <w:t>to provide liquidity</w:t>
      </w:r>
      <w:r>
        <w:rPr>
          <w:rFonts w:ascii="Times New Roman" w:hAnsi="Times New Roman" w:cs="Times New Roman"/>
          <w:sz w:val="24"/>
        </w:rPr>
        <w:t xml:space="preserve">, were improved and innovative </w:t>
      </w:r>
      <w:r>
        <w:rPr>
          <w:rFonts w:hint="eastAsia" w:ascii="Times New Roman" w:hAnsi="Times New Roman" w:cs="Times New Roman"/>
          <w:sz w:val="24"/>
        </w:rPr>
        <w:t>instruments</w:t>
      </w:r>
      <w:r>
        <w:rPr>
          <w:rFonts w:ascii="Times New Roman" w:hAnsi="Times New Roman" w:cs="Times New Roman"/>
          <w:sz w:val="24"/>
        </w:rPr>
        <w:t xml:space="preserve"> were applied to restore confidence in the interbank market,</w:t>
      </w:r>
      <w:r>
        <w:rPr>
          <w:rFonts w:hint="eastAsia" w:ascii="Times New Roman" w:hAnsi="Times New Roman" w:cs="Times New Roman"/>
          <w:sz w:val="24"/>
        </w:rPr>
        <w:t xml:space="preserve"> reduce</w:t>
      </w:r>
      <w:r>
        <w:rPr>
          <w:rFonts w:ascii="Times New Roman" w:hAnsi="Times New Roman" w:cs="Times New Roman"/>
          <w:sz w:val="24"/>
        </w:rPr>
        <w:t xml:space="preserve"> and resolve the liquidity risks of </w:t>
      </w:r>
      <w:r>
        <w:rPr>
          <w:rFonts w:hint="eastAsia" w:ascii="Times New Roman" w:hAnsi="Times New Roman" w:cs="Times New Roman"/>
          <w:sz w:val="24"/>
        </w:rPr>
        <w:t xml:space="preserve">small </w:t>
      </w:r>
      <w:r>
        <w:rPr>
          <w:rFonts w:ascii="Times New Roman" w:hAnsi="Times New Roman" w:cs="Times New Roman"/>
          <w:sz w:val="24"/>
        </w:rPr>
        <w:t>and medium banks,</w:t>
      </w:r>
      <w:r>
        <w:rPr>
          <w:rFonts w:hint="eastAsia" w:ascii="Times New Roman" w:hAnsi="Times New Roman" w:cs="Times New Roman"/>
          <w:sz w:val="24"/>
        </w:rPr>
        <w:t xml:space="preserve"> and </w:t>
      </w:r>
      <w:r>
        <w:rPr>
          <w:rFonts w:ascii="Times New Roman" w:hAnsi="Times New Roman" w:cs="Times New Roman"/>
          <w:sz w:val="24"/>
        </w:rPr>
        <w:t xml:space="preserve">to </w:t>
      </w:r>
      <w:r>
        <w:rPr>
          <w:rFonts w:hint="eastAsia" w:ascii="Times New Roman" w:hAnsi="Times New Roman" w:cs="Times New Roman"/>
          <w:sz w:val="24"/>
        </w:rPr>
        <w:t xml:space="preserve">prevent </w:t>
      </w:r>
      <w:r>
        <w:rPr>
          <w:rFonts w:ascii="Times New Roman" w:hAnsi="Times New Roman" w:cs="Times New Roman"/>
          <w:sz w:val="24"/>
        </w:rPr>
        <w:t xml:space="preserve">moral hazards. </w:t>
      </w:r>
      <w:r>
        <w:rPr>
          <w:rFonts w:hint="eastAsia" w:ascii="Times New Roman" w:hAnsi="Times New Roman" w:cs="Times New Roman"/>
          <w:sz w:val="24"/>
        </w:rPr>
        <w:t>Such measures</w:t>
      </w:r>
      <w:r>
        <w:rPr>
          <w:rFonts w:ascii="Times New Roman" w:hAnsi="Times New Roman" w:cs="Times New Roman"/>
          <w:sz w:val="24"/>
        </w:rPr>
        <w:t xml:space="preserve"> effectively maintained market stability and prevented risk spillovers.</w:t>
      </w:r>
    </w:p>
    <w:p>
      <w:pPr>
        <w:rPr>
          <w:rFonts w:ascii="Times New Roman" w:hAnsi="Times New Roman" w:cs="Times New Roman"/>
          <w:sz w:val="24"/>
        </w:rPr>
      </w:pPr>
    </w:p>
    <w:p>
      <w:pPr>
        <w:rPr>
          <w:rFonts w:ascii="Times New Roman" w:hAnsi="Times New Roman" w:cs="Times New Roman"/>
          <w:kern w:val="0"/>
          <w:sz w:val="24"/>
        </w:rPr>
      </w:pPr>
      <w:r>
        <w:rPr>
          <w:rFonts w:ascii="Times New Roman" w:hAnsi="Times New Roman" w:cs="Times New Roman"/>
          <w:sz w:val="24"/>
        </w:rPr>
        <w:t xml:space="preserve">Overall, the sound monetary policy has achieved good results. Liquidity in the banking system was reasonable and adequate </w:t>
      </w:r>
      <w:r>
        <w:rPr>
          <w:rFonts w:hint="eastAsia" w:ascii="Times New Roman" w:hAnsi="Times New Roman" w:cs="Times New Roman"/>
          <w:sz w:val="24"/>
        </w:rPr>
        <w:t>and</w:t>
      </w:r>
      <w:r>
        <w:rPr>
          <w:rFonts w:ascii="Times New Roman" w:hAnsi="Times New Roman" w:cs="Times New Roman"/>
          <w:sz w:val="24"/>
        </w:rPr>
        <w:t xml:space="preserve"> money-market interest rates remained stable. Money supply and aggregate financing increased moderately. </w:t>
      </w:r>
      <w:r>
        <w:rPr>
          <w:rFonts w:hint="eastAsia" w:ascii="Times New Roman" w:hAnsi="Times New Roman" w:cs="Times New Roman"/>
          <w:sz w:val="24"/>
        </w:rPr>
        <w:t>L</w:t>
      </w:r>
      <w:r>
        <w:rPr>
          <w:rFonts w:ascii="Times New Roman" w:hAnsi="Times New Roman" w:cs="Times New Roman"/>
          <w:sz w:val="24"/>
        </w:rPr>
        <w:t xml:space="preserve">ending </w:t>
      </w:r>
      <w:r>
        <w:rPr>
          <w:rFonts w:hint="eastAsia" w:ascii="Times New Roman" w:hAnsi="Times New Roman" w:cs="Times New Roman"/>
          <w:sz w:val="24"/>
        </w:rPr>
        <w:t xml:space="preserve">by financial institutions </w:t>
      </w:r>
      <w:r>
        <w:rPr>
          <w:rFonts w:ascii="Times New Roman" w:hAnsi="Times New Roman" w:cs="Times New Roman"/>
          <w:sz w:val="24"/>
        </w:rPr>
        <w:t>grew rapidly as the credit structure continued to improve and financial support to the real economy, especially private companies and micro and</w:t>
      </w:r>
      <w:r>
        <w:rPr>
          <w:rFonts w:hint="eastAsia" w:ascii="Times New Roman" w:hAnsi="Times New Roman" w:cs="Times New Roman"/>
          <w:sz w:val="24"/>
        </w:rPr>
        <w:t xml:space="preserve"> small </w:t>
      </w:r>
      <w:r>
        <w:rPr>
          <w:rFonts w:ascii="Times New Roman" w:hAnsi="Times New Roman" w:cs="Times New Roman"/>
          <w:sz w:val="24"/>
        </w:rPr>
        <w:t xml:space="preserve">businesses, remained stable. While promoting high-quality development, financial risks in key areas were effectively </w:t>
      </w:r>
      <w:r>
        <w:rPr>
          <w:rFonts w:hint="eastAsia" w:ascii="Times New Roman" w:hAnsi="Times New Roman" w:cs="Times New Roman"/>
          <w:sz w:val="24"/>
        </w:rPr>
        <w:t>prevented and resolved</w:t>
      </w:r>
      <w:r>
        <w:rPr>
          <w:rFonts w:ascii="Times New Roman" w:hAnsi="Times New Roman" w:cs="Times New Roman"/>
          <w:sz w:val="24"/>
        </w:rPr>
        <w:t>. At end-June, growth of broad money (M2) and aggregate financing to the real economy (AFRE) reached 8.5 percent and 10.9 percent respectively, basically in line with nominal GDP</w:t>
      </w:r>
      <w:r>
        <w:rPr>
          <w:rFonts w:hint="eastAsia" w:ascii="Times New Roman" w:hAnsi="Times New Roman" w:cs="Times New Roman"/>
          <w:sz w:val="24"/>
        </w:rPr>
        <w:t xml:space="preserve"> growth</w:t>
      </w:r>
      <w:r>
        <w:rPr>
          <w:rFonts w:ascii="Times New Roman" w:hAnsi="Times New Roman" w:cs="Times New Roman"/>
          <w:sz w:val="24"/>
        </w:rPr>
        <w:t xml:space="preserve">. The first half of 2019 witnessed an increase in RMB loans by RMB 9.7 trillion, up by RMB 644.0 billion </w:t>
      </w:r>
      <w:r>
        <w:rPr>
          <w:rFonts w:hint="eastAsia" w:ascii="Times New Roman" w:hAnsi="Times New Roman" w:cs="Times New Roman"/>
          <w:sz w:val="24"/>
        </w:rPr>
        <w:t>over</w:t>
      </w:r>
      <w:r>
        <w:rPr>
          <w:rFonts w:ascii="Times New Roman" w:hAnsi="Times New Roman" w:cs="Times New Roman"/>
          <w:sz w:val="24"/>
        </w:rPr>
        <w:t xml:space="preserve"> growth during the previous year. The increased amount mainly went to the weak areas in the economy, such as private firms and </w:t>
      </w:r>
      <w:r>
        <w:rPr>
          <w:rFonts w:hint="eastAsia" w:ascii="Times New Roman" w:hAnsi="Times New Roman" w:cs="Times New Roman"/>
          <w:sz w:val="24"/>
        </w:rPr>
        <w:t>MBS</w:t>
      </w:r>
      <w:r>
        <w:rPr>
          <w:rFonts w:ascii="Times New Roman" w:hAnsi="Times New Roman" w:cs="Times New Roman"/>
          <w:sz w:val="24"/>
        </w:rPr>
        <w:t xml:space="preserve">s. In June, the weighted average interest rate of corporate loans fell by 0.32 percentage point from the last year’s peak. At end-June, </w:t>
      </w:r>
      <w:r>
        <w:rPr>
          <w:rFonts w:ascii="Times New Roman" w:hAnsi="Times New Roman" w:eastAsia="KaiTi_GB2312" w:cs="Times New Roman"/>
          <w:kern w:val="0"/>
          <w:sz w:val="24"/>
        </w:rPr>
        <w:t xml:space="preserve">the CFETS RMB exchange-rate index was </w:t>
      </w:r>
      <w:r>
        <w:rPr>
          <w:rFonts w:ascii="Times New Roman" w:hAnsi="Times New Roman" w:cs="Times New Roman"/>
          <w:kern w:val="0"/>
          <w:sz w:val="24"/>
        </w:rPr>
        <w:t xml:space="preserve">92.66 and market </w:t>
      </w:r>
      <w:r>
        <w:rPr>
          <w:rFonts w:ascii="Times New Roman" w:hAnsi="Times New Roman" w:eastAsia="KaiTi_GB2312" w:cs="Times New Roman"/>
          <w:kern w:val="0"/>
          <w:sz w:val="24"/>
        </w:rPr>
        <w:t xml:space="preserve">expectations were stable. The main </w:t>
      </w:r>
      <w:r>
        <w:rPr>
          <w:rFonts w:ascii="Times New Roman" w:hAnsi="Times New Roman" w:cs="Times New Roman"/>
          <w:kern w:val="0"/>
          <w:sz w:val="24"/>
        </w:rPr>
        <w:t xml:space="preserve">macroeconomic indicators remained within a reasonable range. In the first half of the year, </w:t>
      </w:r>
      <w:r>
        <w:rPr>
          <w:rFonts w:ascii="Times New Roman" w:hAnsi="Times New Roman" w:eastAsia="KaiTi_GB2312" w:cs="Times New Roman"/>
          <w:kern w:val="0"/>
          <w:sz w:val="24"/>
        </w:rPr>
        <w:t>GDP grew 6.</w:t>
      </w:r>
      <w:r>
        <w:rPr>
          <w:rFonts w:ascii="Times New Roman" w:hAnsi="Times New Roman" w:cs="Times New Roman"/>
          <w:kern w:val="0"/>
          <w:sz w:val="24"/>
        </w:rPr>
        <w:t>3</w:t>
      </w:r>
      <w:r>
        <w:rPr>
          <w:rFonts w:ascii="Times New Roman" w:hAnsi="Times New Roman" w:eastAsia="KaiTi_GB2312" w:cs="Times New Roman"/>
          <w:kern w:val="0"/>
          <w:sz w:val="24"/>
        </w:rPr>
        <w:t xml:space="preserve"> percent</w:t>
      </w:r>
      <w:r>
        <w:rPr>
          <w:rFonts w:ascii="Times New Roman" w:hAnsi="Times New Roman" w:cs="Times New Roman"/>
          <w:kern w:val="0"/>
          <w:sz w:val="24"/>
        </w:rPr>
        <w:t xml:space="preserve"> </w:t>
      </w:r>
      <w:r>
        <w:rPr>
          <w:rFonts w:ascii="Times New Roman" w:hAnsi="Times New Roman" w:eastAsia="KaiTi_GB2312" w:cs="Times New Roman"/>
          <w:kern w:val="0"/>
          <w:sz w:val="24"/>
        </w:rPr>
        <w:t xml:space="preserve">and the CPI rose </w:t>
      </w:r>
      <w:r>
        <w:rPr>
          <w:rFonts w:ascii="Times New Roman" w:hAnsi="Times New Roman" w:cs="Times New Roman"/>
          <w:kern w:val="0"/>
          <w:sz w:val="24"/>
        </w:rPr>
        <w:t>2.2</w:t>
      </w:r>
      <w:r>
        <w:rPr>
          <w:rFonts w:ascii="Times New Roman" w:hAnsi="Times New Roman" w:eastAsia="KaiTi_GB2312" w:cs="Times New Roman"/>
          <w:kern w:val="0"/>
          <w:sz w:val="24"/>
        </w:rPr>
        <w:t xml:space="preserve"> percent year on year. </w:t>
      </w:r>
    </w:p>
    <w:p>
      <w:pPr>
        <w:rPr>
          <w:rFonts w:ascii="Times New Roman" w:hAnsi="Times New Roman" w:cs="Times New Roman"/>
          <w:sz w:val="24"/>
        </w:rPr>
      </w:pPr>
    </w:p>
    <w:p>
      <w:pPr>
        <w:rPr>
          <w:rFonts w:ascii="Times New Roman" w:hAnsi="Times New Roman" w:cs="Times New Roman"/>
          <w:color w:val="000000"/>
          <w:sz w:val="24"/>
        </w:rPr>
      </w:pPr>
      <w:r>
        <w:rPr>
          <w:rFonts w:ascii="Times New Roman" w:hAnsi="Times New Roman" w:cs="Times New Roman"/>
          <w:sz w:val="24"/>
        </w:rPr>
        <w:t xml:space="preserve">At present, numerous factors are favorable to </w:t>
      </w:r>
      <w:r>
        <w:rPr>
          <w:rFonts w:hint="eastAsia" w:ascii="Times New Roman" w:hAnsi="Times New Roman" w:cs="Times New Roman"/>
          <w:sz w:val="24"/>
        </w:rPr>
        <w:t xml:space="preserve">the </w:t>
      </w:r>
      <w:r>
        <w:rPr>
          <w:rFonts w:ascii="Times New Roman" w:hAnsi="Times New Roman" w:cs="Times New Roman"/>
          <w:sz w:val="24"/>
        </w:rPr>
        <w:t>stable growth of the Chinese economy. Good progress has been made in the “</w:t>
      </w:r>
      <w:r>
        <w:rPr>
          <w:rFonts w:hint="eastAsia" w:ascii="Times New Roman" w:hAnsi="Times New Roman" w:cs="Times New Roman"/>
          <w:sz w:val="24"/>
        </w:rPr>
        <w:t>T</w:t>
      </w:r>
      <w:r>
        <w:rPr>
          <w:rFonts w:ascii="Times New Roman" w:hAnsi="Times New Roman" w:cs="Times New Roman"/>
          <w:sz w:val="24"/>
        </w:rPr>
        <w:t xml:space="preserve">hree </w:t>
      </w:r>
      <w:r>
        <w:rPr>
          <w:rFonts w:hint="eastAsia" w:ascii="Times New Roman" w:hAnsi="Times New Roman" w:cs="Times New Roman"/>
          <w:sz w:val="24"/>
        </w:rPr>
        <w:t>C</w:t>
      </w:r>
      <w:r>
        <w:rPr>
          <w:rFonts w:ascii="Times New Roman" w:hAnsi="Times New Roman" w:cs="Times New Roman"/>
          <w:sz w:val="24"/>
        </w:rPr>
        <w:t xml:space="preserve">ritical </w:t>
      </w:r>
      <w:r>
        <w:rPr>
          <w:rFonts w:hint="eastAsia" w:ascii="Times New Roman" w:hAnsi="Times New Roman" w:cs="Times New Roman"/>
          <w:sz w:val="24"/>
        </w:rPr>
        <w:t>B</w:t>
      </w:r>
      <w:r>
        <w:rPr>
          <w:rFonts w:ascii="Times New Roman" w:hAnsi="Times New Roman" w:cs="Times New Roman"/>
          <w:sz w:val="24"/>
        </w:rPr>
        <w:t>attles,” and supply-side structural reforms have been deepened.  Reform and opening-up have been furthered. Economic growth has remained resilient and macroeconomic policies</w:t>
      </w:r>
      <w:r>
        <w:rPr>
          <w:rFonts w:hint="eastAsia" w:ascii="Times New Roman" w:hAnsi="Times New Roman" w:cs="Times New Roman"/>
          <w:sz w:val="24"/>
        </w:rPr>
        <w:t xml:space="preserve"> </w:t>
      </w:r>
      <w:r>
        <w:rPr>
          <w:rFonts w:ascii="Times New Roman" w:hAnsi="Times New Roman" w:cs="Times New Roman"/>
          <w:sz w:val="24"/>
        </w:rPr>
        <w:t xml:space="preserve">have gradually </w:t>
      </w:r>
      <w:r>
        <w:rPr>
          <w:rFonts w:hint="eastAsia" w:ascii="Times New Roman" w:hAnsi="Times New Roman" w:cs="Times New Roman"/>
          <w:sz w:val="24"/>
        </w:rPr>
        <w:t>yielded good results</w:t>
      </w:r>
      <w:r>
        <w:rPr>
          <w:rFonts w:ascii="Times New Roman" w:hAnsi="Times New Roman" w:cs="Times New Roman"/>
          <w:sz w:val="24"/>
        </w:rPr>
        <w:t xml:space="preserve">. That said, as the global economic situation remains complicated and external uncertainties have increased, China will face </w:t>
      </w:r>
      <w:r>
        <w:rPr>
          <w:rFonts w:hint="eastAsia" w:ascii="Times New Roman" w:hAnsi="Times New Roman" w:cs="Times New Roman"/>
          <w:sz w:val="24"/>
        </w:rPr>
        <w:t>more</w:t>
      </w:r>
      <w:r>
        <w:rPr>
          <w:rFonts w:ascii="Times New Roman" w:hAnsi="Times New Roman" w:cs="Times New Roman"/>
          <w:sz w:val="24"/>
        </w:rPr>
        <w:t xml:space="preserve"> challenges at home and abroad both in the long and short term. </w:t>
      </w:r>
      <w:r>
        <w:rPr>
          <w:rFonts w:hint="eastAsia" w:ascii="Times New Roman" w:hAnsi="Times New Roman" w:cs="Times New Roman"/>
          <w:sz w:val="24"/>
        </w:rPr>
        <w:t>Such</w:t>
      </w:r>
      <w:r>
        <w:rPr>
          <w:rFonts w:ascii="Times New Roman" w:hAnsi="Times New Roman" w:cs="Times New Roman"/>
          <w:sz w:val="24"/>
        </w:rPr>
        <w:t xml:space="preserve"> challenges place downward pressures on the </w:t>
      </w:r>
      <w:r>
        <w:rPr>
          <w:rFonts w:hint="eastAsia" w:ascii="Times New Roman" w:hAnsi="Times New Roman" w:cs="Times New Roman"/>
          <w:sz w:val="24"/>
        </w:rPr>
        <w:t>domestic</w:t>
      </w:r>
      <w:r>
        <w:rPr>
          <w:rFonts w:ascii="Times New Roman" w:hAnsi="Times New Roman" w:cs="Times New Roman"/>
          <w:sz w:val="24"/>
        </w:rPr>
        <w:t xml:space="preserve"> economy and call for stronger momentum </w:t>
      </w:r>
      <w:r>
        <w:rPr>
          <w:rFonts w:hint="eastAsia" w:ascii="Times New Roman" w:hAnsi="Times New Roman" w:cs="Times New Roman"/>
          <w:sz w:val="24"/>
        </w:rPr>
        <w:t>for</w:t>
      </w:r>
      <w:r>
        <w:rPr>
          <w:rFonts w:ascii="Times New Roman" w:hAnsi="Times New Roman" w:cs="Times New Roman"/>
          <w:sz w:val="24"/>
        </w:rPr>
        <w:t xml:space="preserve"> endogenous growth. We should </w:t>
      </w:r>
      <w:r>
        <w:rPr>
          <w:rFonts w:hint="eastAsia" w:ascii="Times New Roman" w:hAnsi="Times New Roman" w:cs="Times New Roman"/>
          <w:sz w:val="24"/>
        </w:rPr>
        <w:t>make</w:t>
      </w:r>
      <w:r>
        <w:rPr>
          <w:rFonts w:ascii="Times New Roman" w:hAnsi="Times New Roman" w:cs="Times New Roman"/>
          <w:sz w:val="24"/>
        </w:rPr>
        <w:t xml:space="preserve"> objective and rational assessments</w:t>
      </w:r>
      <w:r>
        <w:rPr>
          <w:rFonts w:hint="eastAsia" w:ascii="Times New Roman" w:hAnsi="Times New Roman" w:cs="Times New Roman"/>
          <w:sz w:val="24"/>
        </w:rPr>
        <w:t xml:space="preserve"> and</w:t>
      </w:r>
      <w:r>
        <w:rPr>
          <w:rFonts w:ascii="Times New Roman" w:hAnsi="Times New Roman" w:cs="Times New Roman"/>
          <w:sz w:val="24"/>
        </w:rPr>
        <w:t xml:space="preserve"> adequate preparations for various scenarios,</w:t>
      </w:r>
      <w:r>
        <w:rPr>
          <w:rFonts w:hint="eastAsia" w:ascii="Times New Roman" w:hAnsi="Times New Roman" w:cs="Times New Roman"/>
          <w:sz w:val="24"/>
        </w:rPr>
        <w:t xml:space="preserve"> while focusing on our own priorities with confidence for the future.</w:t>
      </w:r>
      <w:r>
        <w:rPr>
          <w:rFonts w:ascii="Times New Roman" w:hAnsi="Times New Roman" w:cs="Times New Roman"/>
          <w:sz w:val="24"/>
        </w:rPr>
        <w:t xml:space="preserve"> </w:t>
      </w:r>
      <w:r>
        <w:rPr>
          <w:rFonts w:hint="eastAsia" w:ascii="Times New Roman" w:hAnsi="Times New Roman" w:cs="Times New Roman"/>
          <w:sz w:val="24"/>
        </w:rPr>
        <w:t>Targeted m</w:t>
      </w:r>
      <w:r>
        <w:rPr>
          <w:rFonts w:ascii="Times New Roman" w:hAnsi="Times New Roman" w:cs="Times New Roman"/>
          <w:sz w:val="24"/>
        </w:rPr>
        <w:t xml:space="preserve">easures </w:t>
      </w:r>
      <w:r>
        <w:rPr>
          <w:rFonts w:hint="eastAsia" w:ascii="Times New Roman" w:hAnsi="Times New Roman" w:cs="Times New Roman"/>
          <w:sz w:val="24"/>
        </w:rPr>
        <w:t>should be adopted taking into account both t</w:t>
      </w:r>
      <w:r>
        <w:rPr>
          <w:rFonts w:ascii="Times New Roman" w:hAnsi="Times New Roman" w:cs="Times New Roman"/>
          <w:sz w:val="24"/>
        </w:rPr>
        <w:t xml:space="preserve">he short-term </w:t>
      </w:r>
      <w:r>
        <w:rPr>
          <w:rFonts w:hint="eastAsia" w:ascii="Times New Roman" w:hAnsi="Times New Roman" w:cs="Times New Roman"/>
          <w:sz w:val="24"/>
        </w:rPr>
        <w:t>and</w:t>
      </w:r>
      <w:r>
        <w:rPr>
          <w:rFonts w:ascii="Times New Roman" w:hAnsi="Times New Roman" w:cs="Times New Roman"/>
          <w:sz w:val="24"/>
        </w:rPr>
        <w:t xml:space="preserve"> the long-term</w:t>
      </w:r>
      <w:r>
        <w:rPr>
          <w:rFonts w:hint="eastAsia" w:ascii="Times New Roman" w:hAnsi="Times New Roman" w:cs="Times New Roman"/>
          <w:sz w:val="24"/>
        </w:rPr>
        <w:t xml:space="preserve"> views</w:t>
      </w:r>
      <w:r>
        <w:rPr>
          <w:rFonts w:ascii="Times New Roman" w:hAnsi="Times New Roman" w:cs="Times New Roman"/>
          <w:sz w:val="24"/>
        </w:rPr>
        <w:t xml:space="preserve"> </w:t>
      </w:r>
      <w:r>
        <w:rPr>
          <w:rFonts w:hint="eastAsia" w:ascii="Times New Roman" w:hAnsi="Times New Roman" w:cs="Times New Roman"/>
          <w:sz w:val="24"/>
        </w:rPr>
        <w:t xml:space="preserve">as well as </w:t>
      </w:r>
      <w:r>
        <w:rPr>
          <w:rFonts w:ascii="Times New Roman" w:hAnsi="Times New Roman" w:cs="Times New Roman"/>
          <w:sz w:val="24"/>
        </w:rPr>
        <w:t xml:space="preserve">the micro </w:t>
      </w:r>
      <w:r>
        <w:rPr>
          <w:rFonts w:hint="eastAsia" w:ascii="Times New Roman" w:hAnsi="Times New Roman" w:cs="Times New Roman"/>
          <w:sz w:val="24"/>
        </w:rPr>
        <w:t>and</w:t>
      </w:r>
      <w:r>
        <w:rPr>
          <w:rFonts w:ascii="Times New Roman" w:hAnsi="Times New Roman" w:cs="Times New Roman"/>
          <w:sz w:val="24"/>
        </w:rPr>
        <w:t xml:space="preserve"> macro</w:t>
      </w:r>
      <w:r>
        <w:rPr>
          <w:rFonts w:hint="eastAsia" w:ascii="Times New Roman" w:hAnsi="Times New Roman" w:cs="Times New Roman"/>
          <w:sz w:val="24"/>
        </w:rPr>
        <w:t xml:space="preserve"> factors in efforts</w:t>
      </w:r>
      <w:r>
        <w:rPr>
          <w:rFonts w:ascii="Times New Roman" w:hAnsi="Times New Roman" w:cs="Times New Roman"/>
          <w:sz w:val="24"/>
        </w:rPr>
        <w:t xml:space="preserve"> to </w:t>
      </w:r>
      <w:r>
        <w:rPr>
          <w:rFonts w:hint="eastAsia" w:ascii="Times New Roman" w:hAnsi="Times New Roman" w:cs="Times New Roman"/>
          <w:sz w:val="24"/>
        </w:rPr>
        <w:t xml:space="preserve">generate </w:t>
      </w:r>
      <w:r>
        <w:rPr>
          <w:rFonts w:ascii="Times New Roman" w:hAnsi="Times New Roman" w:cs="Times New Roman"/>
          <w:sz w:val="24"/>
        </w:rPr>
        <w:t xml:space="preserve">effective final demand and new </w:t>
      </w:r>
      <w:r>
        <w:rPr>
          <w:rFonts w:hint="eastAsia" w:ascii="Times New Roman" w:hAnsi="Times New Roman" w:cs="Times New Roman"/>
          <w:sz w:val="24"/>
        </w:rPr>
        <w:t>engines</w:t>
      </w:r>
      <w:r>
        <w:rPr>
          <w:rFonts w:ascii="Times New Roman" w:hAnsi="Times New Roman" w:cs="Times New Roman"/>
          <w:sz w:val="24"/>
        </w:rPr>
        <w:t xml:space="preserve"> of growth.</w:t>
      </w:r>
    </w:p>
    <w:p>
      <w:pPr>
        <w:rPr>
          <w:rFonts w:ascii="Times New Roman" w:hAnsi="Times New Roman" w:cs="Times New Roman"/>
          <w:sz w:val="24"/>
        </w:rPr>
      </w:pPr>
    </w:p>
    <w:p>
      <w:pPr>
        <w:rPr>
          <w:rFonts w:ascii="Times New Roman" w:hAnsi="Times New Roman" w:cs="Times New Roman"/>
          <w:sz w:val="24"/>
        </w:rPr>
      </w:pPr>
      <w:r>
        <w:rPr>
          <w:rFonts w:ascii="Times New Roman" w:hAnsi="Times New Roman" w:cs="Times New Roman"/>
          <w:sz w:val="24"/>
        </w:rPr>
        <w:t xml:space="preserve">Going forward, under the guidance of </w:t>
      </w:r>
      <w:r>
        <w:rPr>
          <w:rFonts w:ascii="Times New Roman" w:hAnsi="Times New Roman" w:cs="Times New Roman"/>
          <w:iCs/>
          <w:sz w:val="24"/>
        </w:rPr>
        <w:t>Xi Jinping Thought on Socialism with Chinese Characteristics for a New Era</w:t>
      </w:r>
      <w:r>
        <w:rPr>
          <w:rFonts w:ascii="Times New Roman" w:hAnsi="Times New Roman" w:cs="Times New Roman"/>
          <w:sz w:val="24"/>
        </w:rPr>
        <w:t xml:space="preserve">, the PBC will fully implement the overall arrangements of the CPC Central Committee and the State Council. We will adhere to the new development concept and promote reform and opening-up as well as coordinated domestic and international </w:t>
      </w:r>
      <w:r>
        <w:rPr>
          <w:rFonts w:hint="eastAsia" w:ascii="Times New Roman" w:hAnsi="Times New Roman" w:cs="Times New Roman"/>
          <w:sz w:val="24"/>
        </w:rPr>
        <w:t>strategie</w:t>
      </w:r>
      <w:r>
        <w:rPr>
          <w:rFonts w:ascii="Times New Roman" w:hAnsi="Times New Roman" w:cs="Times New Roman"/>
          <w:sz w:val="24"/>
        </w:rPr>
        <w:t>s. We will give comprehensive consideration to achieve the goals of promoting stable growth, reform, structural adjustments, improving the people’s livelihood, preventing risks, and safeguarding stability, in order to achieve the “six stabilities” (</w:t>
      </w:r>
      <w:r>
        <w:rPr>
          <w:rFonts w:ascii="Times New Roman" w:hAnsi="Times New Roman" w:cs="Times New Roman"/>
          <w:kern w:val="0"/>
          <w:sz w:val="24"/>
        </w:rPr>
        <w:t>stable employment, financial sector, foreign trade, foreign investment, domestic investment, and expectations)</w:t>
      </w:r>
      <w:r>
        <w:rPr>
          <w:rFonts w:ascii="Times New Roman" w:hAnsi="Times New Roman" w:cs="Times New Roman"/>
          <w:sz w:val="24"/>
        </w:rPr>
        <w:t xml:space="preserve">. We will endeavor to stabilize demand through supply-side structural reforms and prevent and diffuse risks while promoting high-quality development. We will continue the sound monetary policy with appropriate intensity, ensure reasonable and adequate liquidity, and conduct timely and proper counter-cyclical adjustments to guide the growth of broad money (M2) and aggregate financing to the real economy to be compatible with nominal GDP growth. We will strengthen coordination of macroeconomic policies, improve transmission of monetary policy, and make innovations in policy instruments and systems to guide financial institutions to increase medium- and long-term financing to the manufacturing industry and private companies. We will promote the role of the loan prime rate (LPR) in the pricing of real interest rates and will lower the real financing rates for small and micro businesses. We will strengthen guidance and stabilize market expectations. We will properly manage the pace and strength of risk disposals, defuse liquidity risks of medium and small financial institutions, prevent risks from spreading, improve macro-prudential management and combine it with financial micro-prudential regulation and functional regulation, and promote a healthy and stable financial market. We will coordinate domestic and external policies to strike a balance between the internal and external equilibrium and keep the RMB exchange rate basically stable at a reasonable and equilibrium level. We will deepen supply-side structural reforms in the financial sector, improve the intrinsic functions of the financial system, and form a triangular virtuous cycle </w:t>
      </w:r>
      <w:r>
        <w:rPr>
          <w:rFonts w:hint="eastAsia" w:ascii="Times New Roman" w:hAnsi="Times New Roman" w:cs="Times New Roman"/>
          <w:sz w:val="24"/>
        </w:rPr>
        <w:t>among</w:t>
      </w:r>
      <w:r>
        <w:rPr>
          <w:rFonts w:ascii="Times New Roman" w:hAnsi="Times New Roman" w:cs="Times New Roman"/>
          <w:sz w:val="24"/>
        </w:rPr>
        <w:t xml:space="preserve"> the supply</w:t>
      </w:r>
      <w:r>
        <w:rPr>
          <w:rFonts w:hint="eastAsia" w:ascii="Times New Roman" w:hAnsi="Times New Roman" w:cs="Times New Roman"/>
          <w:sz w:val="24"/>
        </w:rPr>
        <w:t xml:space="preserve"> system,</w:t>
      </w:r>
      <w:r>
        <w:rPr>
          <w:rFonts w:ascii="Times New Roman" w:hAnsi="Times New Roman" w:cs="Times New Roman"/>
          <w:sz w:val="24"/>
        </w:rPr>
        <w:t xml:space="preserve"> the demand system of the real economy, and the financial system.</w:t>
      </w:r>
    </w:p>
    <w:p>
      <w:pPr>
        <w:widowControl/>
        <w:jc w:val="center"/>
        <w:rPr>
          <w:rFonts w:ascii="Times New Roman" w:hAnsi="Times New Roman" w:cs="Times New Roman"/>
          <w:i/>
          <w:sz w:val="36"/>
          <w:szCs w:val="36"/>
        </w:rPr>
      </w:pPr>
      <w:r>
        <w:rPr>
          <w:rFonts w:ascii="Times New Roman" w:hAnsi="Times New Roman" w:cs="Times New Roman"/>
          <w:sz w:val="24"/>
        </w:rPr>
        <w:br w:type="page"/>
      </w:r>
      <w:r>
        <w:rPr>
          <w:rFonts w:ascii="Times New Roman" w:hAnsi="Times New Roman" w:cs="Times New Roman"/>
          <w:i/>
          <w:sz w:val="36"/>
          <w:szCs w:val="36"/>
        </w:rPr>
        <w:t>C</w:t>
      </w:r>
      <w:r>
        <w:rPr>
          <w:rFonts w:hint="eastAsia" w:ascii="Times New Roman" w:hAnsi="Times New Roman" w:cs="Times New Roman"/>
          <w:i/>
          <w:sz w:val="36"/>
          <w:szCs w:val="36"/>
        </w:rPr>
        <w:t>ontents</w:t>
      </w:r>
    </w:p>
    <w:sdt>
      <w:sdtPr>
        <w:rPr>
          <w:rFonts w:asciiTheme="minorHAnsi" w:hAnsiTheme="minorHAnsi" w:eastAsiaTheme="minorEastAsia" w:cstheme="minorBidi"/>
          <w:b w:val="0"/>
          <w:bCs w:val="0"/>
          <w:color w:val="auto"/>
          <w:kern w:val="2"/>
          <w:sz w:val="21"/>
          <w:szCs w:val="22"/>
          <w:lang w:val="zh-CN"/>
        </w:rPr>
        <w:id w:val="53255216"/>
        <w:docPartObj>
          <w:docPartGallery w:val="Table of Contents"/>
          <w:docPartUnique/>
        </w:docPartObj>
      </w:sdtPr>
      <w:sdtEndPr>
        <w:rPr>
          <w:rFonts w:asciiTheme="minorHAnsi" w:hAnsiTheme="minorHAnsi" w:eastAsiaTheme="minorEastAsia" w:cstheme="minorBidi"/>
          <w:b w:val="0"/>
          <w:bCs w:val="0"/>
          <w:color w:val="auto"/>
          <w:kern w:val="2"/>
          <w:sz w:val="24"/>
          <w:szCs w:val="24"/>
          <w:lang w:val="en-US"/>
        </w:rPr>
      </w:sdtEndPr>
      <w:sdtContent>
        <w:p>
          <w:pPr>
            <w:pStyle w:val="27"/>
          </w:pPr>
        </w:p>
        <w:p>
          <w:pPr>
            <w:pStyle w:val="10"/>
            <w:rPr>
              <w:rFonts w:asciiTheme="minorHAnsi" w:hAnsiTheme="minorHAnsi" w:cstheme="minorBidi"/>
              <w:sz w:val="24"/>
              <w:szCs w:val="24"/>
            </w:rPr>
          </w:pPr>
          <w:r>
            <w:rPr>
              <w:sz w:val="24"/>
              <w:szCs w:val="24"/>
            </w:rPr>
            <w:fldChar w:fldCharType="begin"/>
          </w:r>
          <w:r>
            <w:rPr>
              <w:sz w:val="24"/>
              <w:szCs w:val="24"/>
            </w:rPr>
            <w:instrText xml:space="preserve"> TOC \o "1-3" \h \z \u </w:instrText>
          </w:r>
          <w:r>
            <w:rPr>
              <w:sz w:val="24"/>
              <w:szCs w:val="24"/>
            </w:rPr>
            <w:fldChar w:fldCharType="separate"/>
          </w:r>
          <w:r>
            <w:fldChar w:fldCharType="begin"/>
          </w:r>
          <w:r>
            <w:instrText xml:space="preserve"> HYPERLINK \l "_Toc17808061" </w:instrText>
          </w:r>
          <w:r>
            <w:fldChar w:fldCharType="separate"/>
          </w:r>
          <w:r>
            <w:rPr>
              <w:rStyle w:val="17"/>
              <w:sz w:val="24"/>
              <w:szCs w:val="24"/>
            </w:rPr>
            <w:t>Part 1. Money and Credit Analysis</w:t>
          </w:r>
          <w:r>
            <w:rPr>
              <w:sz w:val="24"/>
              <w:szCs w:val="24"/>
            </w:rPr>
            <w:tab/>
          </w:r>
          <w:r>
            <w:rPr>
              <w:sz w:val="24"/>
              <w:szCs w:val="24"/>
            </w:rPr>
            <w:fldChar w:fldCharType="begin"/>
          </w:r>
          <w:r>
            <w:rPr>
              <w:sz w:val="24"/>
              <w:szCs w:val="24"/>
            </w:rPr>
            <w:instrText xml:space="preserve"> PAGEREF _Toc17808061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12"/>
            <w:tabs>
              <w:tab w:val="right" w:leader="dot" w:pos="8296"/>
            </w:tabs>
            <w:rPr>
              <w:sz w:val="24"/>
              <w:szCs w:val="24"/>
            </w:rPr>
          </w:pPr>
          <w:r>
            <w:fldChar w:fldCharType="begin"/>
          </w:r>
          <w:r>
            <w:instrText xml:space="preserve"> HYPERLINK \l "_Toc17808062" </w:instrText>
          </w:r>
          <w:r>
            <w:fldChar w:fldCharType="separate"/>
          </w:r>
          <w:r>
            <w:rPr>
              <w:rStyle w:val="17"/>
              <w:rFonts w:ascii="Times New Roman" w:hAnsi="Times New Roman" w:eastAsia="黑体"/>
              <w:kern w:val="0"/>
              <w:sz w:val="24"/>
              <w:szCs w:val="24"/>
            </w:rPr>
            <w:t>I. Liquidity in the banking system was adequat</w:t>
          </w:r>
          <w:r>
            <w:rPr>
              <w:rStyle w:val="17"/>
              <w:rFonts w:eastAsia="黑体"/>
              <w:kern w:val="0"/>
              <w:sz w:val="24"/>
              <w:szCs w:val="24"/>
            </w:rPr>
            <w:t>e</w:t>
          </w:r>
          <w:r>
            <w:rPr>
              <w:sz w:val="24"/>
              <w:szCs w:val="24"/>
            </w:rPr>
            <w:tab/>
          </w:r>
          <w:r>
            <w:rPr>
              <w:sz w:val="24"/>
              <w:szCs w:val="24"/>
            </w:rPr>
            <w:fldChar w:fldCharType="begin"/>
          </w:r>
          <w:r>
            <w:rPr>
              <w:sz w:val="24"/>
              <w:szCs w:val="24"/>
            </w:rPr>
            <w:instrText xml:space="preserve"> PAGEREF _Toc17808062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12"/>
            <w:tabs>
              <w:tab w:val="right" w:leader="dot" w:pos="8296"/>
            </w:tabs>
            <w:rPr>
              <w:sz w:val="24"/>
              <w:szCs w:val="24"/>
            </w:rPr>
          </w:pPr>
          <w:r>
            <w:fldChar w:fldCharType="begin"/>
          </w:r>
          <w:r>
            <w:instrText xml:space="preserve"> HYPERLINK \l "_Toc17808063" </w:instrText>
          </w:r>
          <w:r>
            <w:fldChar w:fldCharType="separate"/>
          </w:r>
          <w:r>
            <w:rPr>
              <w:rStyle w:val="17"/>
              <w:rFonts w:ascii="Times New Roman" w:hAnsi="Times New Roman" w:eastAsia="黑体"/>
              <w:kern w:val="0"/>
              <w:sz w:val="24"/>
              <w:szCs w:val="24"/>
            </w:rPr>
            <w:t>II. Lending by financial institutions grew quite rapidly, whereas lending rates dipped slightly</w:t>
          </w:r>
          <w:r>
            <w:rPr>
              <w:sz w:val="24"/>
              <w:szCs w:val="24"/>
            </w:rPr>
            <w:tab/>
          </w:r>
          <w:r>
            <w:rPr>
              <w:sz w:val="24"/>
              <w:szCs w:val="24"/>
            </w:rPr>
            <w:fldChar w:fldCharType="begin"/>
          </w:r>
          <w:r>
            <w:rPr>
              <w:sz w:val="24"/>
              <w:szCs w:val="24"/>
            </w:rPr>
            <w:instrText xml:space="preserve"> PAGEREF _Toc17808063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12"/>
            <w:tabs>
              <w:tab w:val="right" w:leader="dot" w:pos="8296"/>
            </w:tabs>
            <w:rPr>
              <w:sz w:val="24"/>
              <w:szCs w:val="24"/>
            </w:rPr>
          </w:pPr>
          <w:r>
            <w:fldChar w:fldCharType="begin"/>
          </w:r>
          <w:r>
            <w:instrText xml:space="preserve"> HYPERLINK \l "_Toc17808065" </w:instrText>
          </w:r>
          <w:r>
            <w:fldChar w:fldCharType="separate"/>
          </w:r>
          <w:r>
            <w:rPr>
              <w:rStyle w:val="17"/>
              <w:rFonts w:ascii="Times New Roman" w:hAnsi="Times New Roman" w:eastAsia="黑体"/>
              <w:kern w:val="0"/>
              <w:sz w:val="24"/>
              <w:szCs w:val="24"/>
            </w:rPr>
            <w:t>III. The money supply and aggregate financing increased moderately</w:t>
          </w:r>
          <w:r>
            <w:rPr>
              <w:sz w:val="24"/>
              <w:szCs w:val="24"/>
            </w:rPr>
            <w:tab/>
          </w:r>
          <w:r>
            <w:rPr>
              <w:sz w:val="24"/>
              <w:szCs w:val="24"/>
            </w:rPr>
            <w:fldChar w:fldCharType="begin"/>
          </w:r>
          <w:r>
            <w:rPr>
              <w:sz w:val="24"/>
              <w:szCs w:val="24"/>
            </w:rPr>
            <w:instrText xml:space="preserve"> PAGEREF _Toc17808065 \h </w:instrText>
          </w:r>
          <w:r>
            <w:rPr>
              <w:sz w:val="24"/>
              <w:szCs w:val="24"/>
            </w:rPr>
            <w:fldChar w:fldCharType="separate"/>
          </w:r>
          <w:r>
            <w:rPr>
              <w:sz w:val="24"/>
              <w:szCs w:val="24"/>
            </w:rPr>
            <w:t>14</w:t>
          </w:r>
          <w:r>
            <w:rPr>
              <w:sz w:val="24"/>
              <w:szCs w:val="24"/>
            </w:rPr>
            <w:fldChar w:fldCharType="end"/>
          </w:r>
          <w:r>
            <w:rPr>
              <w:sz w:val="24"/>
              <w:szCs w:val="24"/>
            </w:rPr>
            <w:fldChar w:fldCharType="end"/>
          </w:r>
        </w:p>
        <w:p>
          <w:pPr>
            <w:pStyle w:val="12"/>
            <w:tabs>
              <w:tab w:val="right" w:leader="dot" w:pos="8296"/>
            </w:tabs>
            <w:rPr>
              <w:rStyle w:val="17"/>
              <w:sz w:val="24"/>
              <w:szCs w:val="24"/>
            </w:rPr>
          </w:pPr>
          <w:r>
            <w:fldChar w:fldCharType="begin"/>
          </w:r>
          <w:r>
            <w:instrText xml:space="preserve"> HYPERLINK \l "_Toc17808066" </w:instrText>
          </w:r>
          <w:r>
            <w:fldChar w:fldCharType="separate"/>
          </w:r>
          <w:r>
            <w:rPr>
              <w:rStyle w:val="17"/>
              <w:rFonts w:ascii="Times New Roman" w:hAnsi="Times New Roman" w:eastAsia="黑体"/>
              <w:kern w:val="0"/>
              <w:sz w:val="24"/>
              <w:szCs w:val="24"/>
            </w:rPr>
            <w:t>IV. The RMB exchange rate was basically stable, with generally balanced cross-border capital flows</w:t>
          </w:r>
          <w:r>
            <w:rPr>
              <w:sz w:val="24"/>
              <w:szCs w:val="24"/>
            </w:rPr>
            <w:tab/>
          </w:r>
          <w:r>
            <w:rPr>
              <w:sz w:val="24"/>
              <w:szCs w:val="24"/>
            </w:rPr>
            <w:fldChar w:fldCharType="begin"/>
          </w:r>
          <w:r>
            <w:rPr>
              <w:sz w:val="24"/>
              <w:szCs w:val="24"/>
            </w:rPr>
            <w:instrText xml:space="preserve"> PAGEREF _Toc17808066 \h </w:instrText>
          </w:r>
          <w:r>
            <w:rPr>
              <w:sz w:val="24"/>
              <w:szCs w:val="24"/>
            </w:rPr>
            <w:fldChar w:fldCharType="separate"/>
          </w:r>
          <w:r>
            <w:rPr>
              <w:sz w:val="24"/>
              <w:szCs w:val="24"/>
            </w:rPr>
            <w:t>16</w:t>
          </w:r>
          <w:r>
            <w:rPr>
              <w:sz w:val="24"/>
              <w:szCs w:val="24"/>
            </w:rPr>
            <w:fldChar w:fldCharType="end"/>
          </w:r>
          <w:r>
            <w:rPr>
              <w:sz w:val="24"/>
              <w:szCs w:val="24"/>
            </w:rPr>
            <w:fldChar w:fldCharType="end"/>
          </w:r>
        </w:p>
        <w:p/>
        <w:p>
          <w:pPr>
            <w:pStyle w:val="10"/>
            <w:rPr>
              <w:rFonts w:asciiTheme="minorHAnsi" w:hAnsiTheme="minorHAnsi" w:cstheme="minorBidi"/>
              <w:sz w:val="24"/>
              <w:szCs w:val="24"/>
            </w:rPr>
          </w:pPr>
          <w:r>
            <w:fldChar w:fldCharType="begin"/>
          </w:r>
          <w:r>
            <w:instrText xml:space="preserve"> HYPERLINK \l "_Toc17808067" </w:instrText>
          </w:r>
          <w:r>
            <w:fldChar w:fldCharType="separate"/>
          </w:r>
          <w:r>
            <w:rPr>
              <w:rStyle w:val="17"/>
              <w:sz w:val="24"/>
              <w:szCs w:val="24"/>
            </w:rPr>
            <w:t>Part 2 Monetary-Policy Operations</w:t>
          </w:r>
          <w:r>
            <w:rPr>
              <w:sz w:val="24"/>
              <w:szCs w:val="24"/>
            </w:rPr>
            <w:tab/>
          </w:r>
          <w:r>
            <w:rPr>
              <w:sz w:val="24"/>
              <w:szCs w:val="24"/>
            </w:rPr>
            <w:fldChar w:fldCharType="begin"/>
          </w:r>
          <w:r>
            <w:rPr>
              <w:sz w:val="24"/>
              <w:szCs w:val="24"/>
            </w:rPr>
            <w:instrText xml:space="preserve"> PAGEREF _Toc17808067 \h </w:instrText>
          </w:r>
          <w:r>
            <w:rPr>
              <w:sz w:val="24"/>
              <w:szCs w:val="24"/>
            </w:rPr>
            <w:fldChar w:fldCharType="separate"/>
          </w:r>
          <w:r>
            <w:rPr>
              <w:sz w:val="24"/>
              <w:szCs w:val="24"/>
            </w:rPr>
            <w:t>19</w:t>
          </w:r>
          <w:r>
            <w:rPr>
              <w:sz w:val="24"/>
              <w:szCs w:val="24"/>
            </w:rPr>
            <w:fldChar w:fldCharType="end"/>
          </w:r>
          <w:r>
            <w:rPr>
              <w:sz w:val="24"/>
              <w:szCs w:val="24"/>
            </w:rPr>
            <w:fldChar w:fldCharType="end"/>
          </w:r>
        </w:p>
        <w:p>
          <w:pPr>
            <w:pStyle w:val="12"/>
            <w:tabs>
              <w:tab w:val="right" w:leader="dot" w:pos="8296"/>
            </w:tabs>
            <w:rPr>
              <w:sz w:val="24"/>
              <w:szCs w:val="24"/>
            </w:rPr>
          </w:pPr>
          <w:r>
            <w:fldChar w:fldCharType="begin"/>
          </w:r>
          <w:r>
            <w:instrText xml:space="preserve"> HYPERLINK \l "_Toc17808068" </w:instrText>
          </w:r>
          <w:r>
            <w:fldChar w:fldCharType="separate"/>
          </w:r>
          <w:r>
            <w:rPr>
              <w:rStyle w:val="17"/>
              <w:rFonts w:ascii="Times New Roman" w:hAnsi="Times New Roman" w:eastAsia="黑体"/>
              <w:kern w:val="0"/>
              <w:sz w:val="24"/>
              <w:szCs w:val="24"/>
            </w:rPr>
            <w:t>I. Conducting Open Market Operations (OMOs) in a Flexible Manner</w:t>
          </w:r>
          <w:r>
            <w:rPr>
              <w:sz w:val="24"/>
              <w:szCs w:val="24"/>
            </w:rPr>
            <w:tab/>
          </w:r>
          <w:r>
            <w:rPr>
              <w:sz w:val="24"/>
              <w:szCs w:val="24"/>
            </w:rPr>
            <w:fldChar w:fldCharType="begin"/>
          </w:r>
          <w:r>
            <w:rPr>
              <w:sz w:val="24"/>
              <w:szCs w:val="24"/>
            </w:rPr>
            <w:instrText xml:space="preserve"> PAGEREF _Toc17808068 \h </w:instrText>
          </w:r>
          <w:r>
            <w:rPr>
              <w:sz w:val="24"/>
              <w:szCs w:val="24"/>
            </w:rPr>
            <w:fldChar w:fldCharType="separate"/>
          </w:r>
          <w:r>
            <w:rPr>
              <w:sz w:val="24"/>
              <w:szCs w:val="24"/>
            </w:rPr>
            <w:t>19</w:t>
          </w:r>
          <w:r>
            <w:rPr>
              <w:sz w:val="24"/>
              <w:szCs w:val="24"/>
            </w:rPr>
            <w:fldChar w:fldCharType="end"/>
          </w:r>
          <w:r>
            <w:rPr>
              <w:sz w:val="24"/>
              <w:szCs w:val="24"/>
            </w:rPr>
            <w:fldChar w:fldCharType="end"/>
          </w:r>
        </w:p>
        <w:p>
          <w:pPr>
            <w:pStyle w:val="12"/>
            <w:tabs>
              <w:tab w:val="right" w:leader="dot" w:pos="8296"/>
            </w:tabs>
            <w:rPr>
              <w:sz w:val="24"/>
              <w:szCs w:val="24"/>
            </w:rPr>
          </w:pPr>
          <w:r>
            <w:fldChar w:fldCharType="begin"/>
          </w:r>
          <w:r>
            <w:instrText xml:space="preserve"> HYPERLINK \l "_Toc17808069" </w:instrText>
          </w:r>
          <w:r>
            <w:fldChar w:fldCharType="separate"/>
          </w:r>
          <w:r>
            <w:rPr>
              <w:rStyle w:val="17"/>
              <w:rFonts w:ascii="Times New Roman" w:hAnsi="Times New Roman" w:eastAsia="黑体"/>
              <w:kern w:val="0"/>
              <w:sz w:val="24"/>
              <w:szCs w:val="24"/>
            </w:rPr>
            <w:t>II. Conducting the Medium-term Lending Facility (MLF) and the Standing Lending Facility (SLF)</w:t>
          </w:r>
          <w:r>
            <w:rPr>
              <w:sz w:val="24"/>
              <w:szCs w:val="24"/>
            </w:rPr>
            <w:tab/>
          </w:r>
          <w:r>
            <w:rPr>
              <w:sz w:val="24"/>
              <w:szCs w:val="24"/>
            </w:rPr>
            <w:fldChar w:fldCharType="begin"/>
          </w:r>
          <w:r>
            <w:rPr>
              <w:sz w:val="24"/>
              <w:szCs w:val="24"/>
            </w:rPr>
            <w:instrText xml:space="preserve"> PAGEREF _Toc17808069 \h </w:instrText>
          </w:r>
          <w:r>
            <w:rPr>
              <w:sz w:val="24"/>
              <w:szCs w:val="24"/>
            </w:rPr>
            <w:fldChar w:fldCharType="separate"/>
          </w:r>
          <w:r>
            <w:rPr>
              <w:sz w:val="24"/>
              <w:szCs w:val="24"/>
            </w:rPr>
            <w:t>20</w:t>
          </w:r>
          <w:r>
            <w:rPr>
              <w:sz w:val="24"/>
              <w:szCs w:val="24"/>
            </w:rPr>
            <w:fldChar w:fldCharType="end"/>
          </w:r>
          <w:r>
            <w:rPr>
              <w:sz w:val="24"/>
              <w:szCs w:val="24"/>
            </w:rPr>
            <w:fldChar w:fldCharType="end"/>
          </w:r>
        </w:p>
        <w:p>
          <w:pPr>
            <w:pStyle w:val="12"/>
            <w:tabs>
              <w:tab w:val="right" w:leader="dot" w:pos="8296"/>
            </w:tabs>
            <w:rPr>
              <w:sz w:val="24"/>
              <w:szCs w:val="24"/>
            </w:rPr>
          </w:pPr>
          <w:r>
            <w:fldChar w:fldCharType="begin"/>
          </w:r>
          <w:r>
            <w:instrText xml:space="preserve"> HYPERLINK \l "_Toc17808070" </w:instrText>
          </w:r>
          <w:r>
            <w:fldChar w:fldCharType="separate"/>
          </w:r>
          <w:r>
            <w:rPr>
              <w:rStyle w:val="17"/>
              <w:rFonts w:ascii="Times New Roman" w:hAnsi="Times New Roman" w:eastAsia="黑体"/>
              <w:kern w:val="0"/>
              <w:sz w:val="24"/>
              <w:szCs w:val="24"/>
            </w:rPr>
            <w:t>III. Establishing a New RRR Framework Featuring “Three Tranches and Two Preferential Treatments.”</w:t>
          </w:r>
          <w:r>
            <w:rPr>
              <w:sz w:val="24"/>
              <w:szCs w:val="24"/>
            </w:rPr>
            <w:tab/>
          </w:r>
          <w:r>
            <w:rPr>
              <w:sz w:val="24"/>
              <w:szCs w:val="24"/>
            </w:rPr>
            <w:fldChar w:fldCharType="begin"/>
          </w:r>
          <w:r>
            <w:rPr>
              <w:sz w:val="24"/>
              <w:szCs w:val="24"/>
            </w:rPr>
            <w:instrText xml:space="preserve"> PAGEREF _Toc17808070 \h </w:instrText>
          </w:r>
          <w:r>
            <w:rPr>
              <w:sz w:val="24"/>
              <w:szCs w:val="24"/>
            </w:rPr>
            <w:fldChar w:fldCharType="separate"/>
          </w:r>
          <w:r>
            <w:rPr>
              <w:sz w:val="24"/>
              <w:szCs w:val="24"/>
            </w:rPr>
            <w:t>20</w:t>
          </w:r>
          <w:r>
            <w:rPr>
              <w:sz w:val="24"/>
              <w:szCs w:val="24"/>
            </w:rPr>
            <w:fldChar w:fldCharType="end"/>
          </w:r>
          <w:r>
            <w:rPr>
              <w:sz w:val="24"/>
              <w:szCs w:val="24"/>
            </w:rPr>
            <w:fldChar w:fldCharType="end"/>
          </w:r>
        </w:p>
        <w:p>
          <w:pPr>
            <w:pStyle w:val="12"/>
            <w:tabs>
              <w:tab w:val="right" w:leader="dot" w:pos="8296"/>
            </w:tabs>
            <w:rPr>
              <w:sz w:val="24"/>
              <w:szCs w:val="24"/>
            </w:rPr>
          </w:pPr>
          <w:r>
            <w:fldChar w:fldCharType="begin"/>
          </w:r>
          <w:r>
            <w:instrText xml:space="preserve"> HYPERLINK \l "_Toc17808071" </w:instrText>
          </w:r>
          <w:r>
            <w:fldChar w:fldCharType="separate"/>
          </w:r>
          <w:r>
            <w:rPr>
              <w:rStyle w:val="17"/>
              <w:rFonts w:ascii="Times New Roman" w:hAnsi="Times New Roman" w:eastAsia="黑体"/>
              <w:kern w:val="0"/>
              <w:sz w:val="24"/>
              <w:szCs w:val="24"/>
            </w:rPr>
            <w:t>IV. Continuing to improve the Macro-Prudential Policy Framework</w:t>
          </w:r>
          <w:r>
            <w:rPr>
              <w:sz w:val="24"/>
              <w:szCs w:val="24"/>
            </w:rPr>
            <w:tab/>
          </w:r>
          <w:r>
            <w:rPr>
              <w:sz w:val="24"/>
              <w:szCs w:val="24"/>
            </w:rPr>
            <w:fldChar w:fldCharType="begin"/>
          </w:r>
          <w:r>
            <w:rPr>
              <w:sz w:val="24"/>
              <w:szCs w:val="24"/>
            </w:rPr>
            <w:instrText xml:space="preserve"> PAGEREF _Toc17808071 \h </w:instrText>
          </w:r>
          <w:r>
            <w:rPr>
              <w:sz w:val="24"/>
              <w:szCs w:val="24"/>
            </w:rPr>
            <w:fldChar w:fldCharType="separate"/>
          </w:r>
          <w:r>
            <w:rPr>
              <w:sz w:val="24"/>
              <w:szCs w:val="24"/>
            </w:rPr>
            <w:t>21</w:t>
          </w:r>
          <w:r>
            <w:rPr>
              <w:sz w:val="24"/>
              <w:szCs w:val="24"/>
            </w:rPr>
            <w:fldChar w:fldCharType="end"/>
          </w:r>
          <w:r>
            <w:rPr>
              <w:sz w:val="24"/>
              <w:szCs w:val="24"/>
            </w:rPr>
            <w:fldChar w:fldCharType="end"/>
          </w:r>
        </w:p>
        <w:p>
          <w:pPr>
            <w:pStyle w:val="12"/>
            <w:tabs>
              <w:tab w:val="right" w:leader="dot" w:pos="8296"/>
            </w:tabs>
            <w:rPr>
              <w:sz w:val="24"/>
              <w:szCs w:val="24"/>
            </w:rPr>
          </w:pPr>
          <w:r>
            <w:fldChar w:fldCharType="begin"/>
          </w:r>
          <w:r>
            <w:instrText xml:space="preserve"> HYPERLINK \l "_Toc17808072" </w:instrText>
          </w:r>
          <w:r>
            <w:fldChar w:fldCharType="separate"/>
          </w:r>
          <w:r>
            <w:rPr>
              <w:rStyle w:val="17"/>
              <w:rFonts w:ascii="Times New Roman" w:hAnsi="Times New Roman" w:eastAsia="黑体"/>
              <w:kern w:val="0"/>
              <w:sz w:val="24"/>
              <w:szCs w:val="24"/>
            </w:rPr>
            <w:t>V. Expanding the Credit Supply for Key Sectors and Weak Links in the National Economy through Multiple Measures</w:t>
          </w:r>
          <w:r>
            <w:rPr>
              <w:sz w:val="24"/>
              <w:szCs w:val="24"/>
            </w:rPr>
            <w:tab/>
          </w:r>
          <w:r>
            <w:rPr>
              <w:sz w:val="24"/>
              <w:szCs w:val="24"/>
            </w:rPr>
            <w:fldChar w:fldCharType="begin"/>
          </w:r>
          <w:r>
            <w:rPr>
              <w:sz w:val="24"/>
              <w:szCs w:val="24"/>
            </w:rPr>
            <w:instrText xml:space="preserve"> PAGEREF _Toc17808072 \h </w:instrText>
          </w:r>
          <w:r>
            <w:rPr>
              <w:sz w:val="24"/>
              <w:szCs w:val="24"/>
            </w:rPr>
            <w:fldChar w:fldCharType="separate"/>
          </w:r>
          <w:r>
            <w:rPr>
              <w:sz w:val="24"/>
              <w:szCs w:val="24"/>
            </w:rPr>
            <w:t>22</w:t>
          </w:r>
          <w:r>
            <w:rPr>
              <w:sz w:val="24"/>
              <w:szCs w:val="24"/>
            </w:rPr>
            <w:fldChar w:fldCharType="end"/>
          </w:r>
          <w:r>
            <w:rPr>
              <w:sz w:val="24"/>
              <w:szCs w:val="24"/>
            </w:rPr>
            <w:fldChar w:fldCharType="end"/>
          </w:r>
        </w:p>
        <w:p>
          <w:pPr>
            <w:pStyle w:val="12"/>
            <w:tabs>
              <w:tab w:val="right" w:leader="dot" w:pos="8296"/>
            </w:tabs>
            <w:rPr>
              <w:sz w:val="24"/>
              <w:szCs w:val="24"/>
            </w:rPr>
          </w:pPr>
          <w:r>
            <w:fldChar w:fldCharType="begin"/>
          </w:r>
          <w:r>
            <w:instrText xml:space="preserve"> HYPERLINK \l "_Toc17808073" </w:instrText>
          </w:r>
          <w:r>
            <w:fldChar w:fldCharType="separate"/>
          </w:r>
          <w:r>
            <w:rPr>
              <w:rStyle w:val="17"/>
              <w:rFonts w:ascii="Times New Roman" w:hAnsi="Times New Roman" w:eastAsia="黑体"/>
              <w:kern w:val="0"/>
              <w:sz w:val="24"/>
              <w:szCs w:val="24"/>
            </w:rPr>
            <w:t>VI. Leveraging the Structural Guidance Role of Credit Policies</w:t>
          </w:r>
          <w:r>
            <w:rPr>
              <w:sz w:val="24"/>
              <w:szCs w:val="24"/>
            </w:rPr>
            <w:tab/>
          </w:r>
          <w:r>
            <w:rPr>
              <w:sz w:val="24"/>
              <w:szCs w:val="24"/>
            </w:rPr>
            <w:fldChar w:fldCharType="begin"/>
          </w:r>
          <w:r>
            <w:rPr>
              <w:sz w:val="24"/>
              <w:szCs w:val="24"/>
            </w:rPr>
            <w:instrText xml:space="preserve"> PAGEREF _Toc17808073 \h </w:instrText>
          </w:r>
          <w:r>
            <w:rPr>
              <w:sz w:val="24"/>
              <w:szCs w:val="24"/>
            </w:rPr>
            <w:fldChar w:fldCharType="separate"/>
          </w:r>
          <w:r>
            <w:rPr>
              <w:sz w:val="24"/>
              <w:szCs w:val="24"/>
            </w:rPr>
            <w:t>22</w:t>
          </w:r>
          <w:r>
            <w:rPr>
              <w:sz w:val="24"/>
              <w:szCs w:val="24"/>
            </w:rPr>
            <w:fldChar w:fldCharType="end"/>
          </w:r>
          <w:r>
            <w:rPr>
              <w:sz w:val="24"/>
              <w:szCs w:val="24"/>
            </w:rPr>
            <w:fldChar w:fldCharType="end"/>
          </w:r>
        </w:p>
        <w:p>
          <w:pPr>
            <w:pStyle w:val="12"/>
            <w:tabs>
              <w:tab w:val="right" w:leader="dot" w:pos="8296"/>
            </w:tabs>
            <w:rPr>
              <w:sz w:val="24"/>
              <w:szCs w:val="24"/>
            </w:rPr>
          </w:pPr>
          <w:r>
            <w:fldChar w:fldCharType="begin"/>
          </w:r>
          <w:r>
            <w:instrText xml:space="preserve"> HYPERLINK \l "_Toc17808074" </w:instrText>
          </w:r>
          <w:r>
            <w:fldChar w:fldCharType="separate"/>
          </w:r>
          <w:r>
            <w:rPr>
              <w:rStyle w:val="17"/>
              <w:rFonts w:ascii="Times New Roman" w:hAnsi="Times New Roman" w:eastAsia="黑体"/>
              <w:kern w:val="0"/>
              <w:sz w:val="24"/>
              <w:szCs w:val="24"/>
            </w:rPr>
            <w:t>VII</w:t>
          </w:r>
          <w:r>
            <w:rPr>
              <w:rStyle w:val="17"/>
              <w:rFonts w:hint="eastAsia" w:ascii="宋体" w:hAnsi="宋体" w:eastAsia="宋体" w:cs="宋体"/>
              <w:kern w:val="0"/>
              <w:sz w:val="24"/>
              <w:szCs w:val="24"/>
            </w:rPr>
            <w:t>．</w:t>
          </w:r>
          <w:r>
            <w:rPr>
              <w:rStyle w:val="17"/>
              <w:rFonts w:ascii="Times New Roman" w:hAnsi="Times New Roman" w:eastAsia="黑体"/>
              <w:kern w:val="0"/>
              <w:sz w:val="24"/>
              <w:szCs w:val="24"/>
            </w:rPr>
            <w:t>Deepening the market-oriented interest-rate reform</w:t>
          </w:r>
          <w:r>
            <w:rPr>
              <w:sz w:val="24"/>
              <w:szCs w:val="24"/>
            </w:rPr>
            <w:tab/>
          </w:r>
          <w:r>
            <w:rPr>
              <w:sz w:val="24"/>
              <w:szCs w:val="24"/>
            </w:rPr>
            <w:fldChar w:fldCharType="begin"/>
          </w:r>
          <w:r>
            <w:rPr>
              <w:sz w:val="24"/>
              <w:szCs w:val="24"/>
            </w:rPr>
            <w:instrText xml:space="preserve"> PAGEREF _Toc17808074 \h </w:instrText>
          </w:r>
          <w:r>
            <w:rPr>
              <w:sz w:val="24"/>
              <w:szCs w:val="24"/>
            </w:rPr>
            <w:fldChar w:fldCharType="separate"/>
          </w:r>
          <w:r>
            <w:rPr>
              <w:sz w:val="24"/>
              <w:szCs w:val="24"/>
            </w:rPr>
            <w:t>24</w:t>
          </w:r>
          <w:r>
            <w:rPr>
              <w:sz w:val="24"/>
              <w:szCs w:val="24"/>
            </w:rPr>
            <w:fldChar w:fldCharType="end"/>
          </w:r>
          <w:r>
            <w:rPr>
              <w:sz w:val="24"/>
              <w:szCs w:val="24"/>
            </w:rPr>
            <w:fldChar w:fldCharType="end"/>
          </w:r>
        </w:p>
        <w:p>
          <w:pPr>
            <w:pStyle w:val="12"/>
            <w:tabs>
              <w:tab w:val="right" w:leader="dot" w:pos="8296"/>
            </w:tabs>
            <w:rPr>
              <w:sz w:val="24"/>
              <w:szCs w:val="24"/>
            </w:rPr>
          </w:pPr>
          <w:r>
            <w:fldChar w:fldCharType="begin"/>
          </w:r>
          <w:r>
            <w:instrText xml:space="preserve"> HYPERLINK \l "_Toc17808076" </w:instrText>
          </w:r>
          <w:r>
            <w:fldChar w:fldCharType="separate"/>
          </w:r>
          <w:r>
            <w:rPr>
              <w:rStyle w:val="17"/>
              <w:rFonts w:ascii="Times New Roman" w:hAnsi="Times New Roman" w:eastAsia="黑体"/>
              <w:kern w:val="0"/>
              <w:sz w:val="24"/>
              <w:szCs w:val="24"/>
            </w:rPr>
            <w:t>VIII. Improving the market-oriented RMB exchange-rate regime</w:t>
          </w:r>
          <w:r>
            <w:rPr>
              <w:sz w:val="24"/>
              <w:szCs w:val="24"/>
            </w:rPr>
            <w:tab/>
          </w:r>
          <w:r>
            <w:rPr>
              <w:sz w:val="24"/>
              <w:szCs w:val="24"/>
            </w:rPr>
            <w:fldChar w:fldCharType="begin"/>
          </w:r>
          <w:r>
            <w:rPr>
              <w:sz w:val="24"/>
              <w:szCs w:val="24"/>
            </w:rPr>
            <w:instrText xml:space="preserve"> PAGEREF _Toc17808076 \h </w:instrText>
          </w:r>
          <w:r>
            <w:rPr>
              <w:sz w:val="24"/>
              <w:szCs w:val="24"/>
            </w:rPr>
            <w:fldChar w:fldCharType="separate"/>
          </w:r>
          <w:r>
            <w:rPr>
              <w:sz w:val="24"/>
              <w:szCs w:val="24"/>
            </w:rPr>
            <w:t>27</w:t>
          </w:r>
          <w:r>
            <w:rPr>
              <w:sz w:val="24"/>
              <w:szCs w:val="24"/>
            </w:rPr>
            <w:fldChar w:fldCharType="end"/>
          </w:r>
          <w:r>
            <w:rPr>
              <w:sz w:val="24"/>
              <w:szCs w:val="24"/>
            </w:rPr>
            <w:fldChar w:fldCharType="end"/>
          </w:r>
        </w:p>
        <w:p>
          <w:pPr>
            <w:pStyle w:val="12"/>
            <w:tabs>
              <w:tab w:val="right" w:leader="dot" w:pos="8296"/>
            </w:tabs>
            <w:rPr>
              <w:sz w:val="24"/>
              <w:szCs w:val="24"/>
            </w:rPr>
          </w:pPr>
          <w:r>
            <w:fldChar w:fldCharType="begin"/>
          </w:r>
          <w:r>
            <w:instrText xml:space="preserve"> HYPERLINK \l "_Toc17808077" </w:instrText>
          </w:r>
          <w:r>
            <w:fldChar w:fldCharType="separate"/>
          </w:r>
          <w:r>
            <w:rPr>
              <w:rStyle w:val="17"/>
              <w:rFonts w:ascii="Times New Roman" w:hAnsi="Times New Roman" w:eastAsia="黑体"/>
              <w:kern w:val="0"/>
              <w:sz w:val="24"/>
              <w:szCs w:val="24"/>
            </w:rPr>
            <w:t>IX. Deepening the reforms of financial institutions</w:t>
          </w:r>
          <w:r>
            <w:rPr>
              <w:sz w:val="24"/>
              <w:szCs w:val="24"/>
            </w:rPr>
            <w:tab/>
          </w:r>
          <w:r>
            <w:rPr>
              <w:sz w:val="24"/>
              <w:szCs w:val="24"/>
            </w:rPr>
            <w:fldChar w:fldCharType="begin"/>
          </w:r>
          <w:r>
            <w:rPr>
              <w:sz w:val="24"/>
              <w:szCs w:val="24"/>
            </w:rPr>
            <w:instrText xml:space="preserve"> PAGEREF _Toc17808077 \h </w:instrText>
          </w:r>
          <w:r>
            <w:rPr>
              <w:sz w:val="24"/>
              <w:szCs w:val="24"/>
            </w:rPr>
            <w:fldChar w:fldCharType="separate"/>
          </w:r>
          <w:r>
            <w:rPr>
              <w:sz w:val="24"/>
              <w:szCs w:val="24"/>
            </w:rPr>
            <w:t>29</w:t>
          </w:r>
          <w:r>
            <w:rPr>
              <w:sz w:val="24"/>
              <w:szCs w:val="24"/>
            </w:rPr>
            <w:fldChar w:fldCharType="end"/>
          </w:r>
          <w:r>
            <w:rPr>
              <w:sz w:val="24"/>
              <w:szCs w:val="24"/>
            </w:rPr>
            <w:fldChar w:fldCharType="end"/>
          </w:r>
        </w:p>
        <w:p>
          <w:pPr>
            <w:pStyle w:val="12"/>
            <w:tabs>
              <w:tab w:val="right" w:leader="dot" w:pos="8296"/>
            </w:tabs>
            <w:rPr>
              <w:rStyle w:val="17"/>
              <w:sz w:val="24"/>
              <w:szCs w:val="24"/>
            </w:rPr>
          </w:pPr>
          <w:r>
            <w:fldChar w:fldCharType="begin"/>
          </w:r>
          <w:r>
            <w:instrText xml:space="preserve"> HYPERLINK \l "_Toc17808079" </w:instrText>
          </w:r>
          <w:r>
            <w:fldChar w:fldCharType="separate"/>
          </w:r>
          <w:r>
            <w:rPr>
              <w:rStyle w:val="17"/>
              <w:rFonts w:ascii="Times New Roman" w:hAnsi="Times New Roman" w:eastAsia="黑体"/>
              <w:kern w:val="0"/>
              <w:sz w:val="24"/>
              <w:szCs w:val="24"/>
            </w:rPr>
            <w:t>X. Deepening reforms of foreign-exchange administration</w:t>
          </w:r>
          <w:r>
            <w:rPr>
              <w:sz w:val="24"/>
              <w:szCs w:val="24"/>
            </w:rPr>
            <w:tab/>
          </w:r>
          <w:r>
            <w:rPr>
              <w:sz w:val="24"/>
              <w:szCs w:val="24"/>
            </w:rPr>
            <w:fldChar w:fldCharType="begin"/>
          </w:r>
          <w:r>
            <w:rPr>
              <w:sz w:val="24"/>
              <w:szCs w:val="24"/>
            </w:rPr>
            <w:instrText xml:space="preserve"> PAGEREF _Toc17808079 \h </w:instrText>
          </w:r>
          <w:r>
            <w:rPr>
              <w:sz w:val="24"/>
              <w:szCs w:val="24"/>
            </w:rPr>
            <w:fldChar w:fldCharType="separate"/>
          </w:r>
          <w:r>
            <w:rPr>
              <w:sz w:val="24"/>
              <w:szCs w:val="24"/>
            </w:rPr>
            <w:t>33</w:t>
          </w:r>
          <w:r>
            <w:rPr>
              <w:sz w:val="24"/>
              <w:szCs w:val="24"/>
            </w:rPr>
            <w:fldChar w:fldCharType="end"/>
          </w:r>
          <w:r>
            <w:rPr>
              <w:sz w:val="24"/>
              <w:szCs w:val="24"/>
            </w:rPr>
            <w:fldChar w:fldCharType="end"/>
          </w:r>
        </w:p>
        <w:p/>
        <w:p>
          <w:pPr>
            <w:pStyle w:val="10"/>
            <w:rPr>
              <w:rFonts w:asciiTheme="minorHAnsi" w:hAnsiTheme="minorHAnsi" w:cstheme="minorBidi"/>
              <w:sz w:val="24"/>
              <w:szCs w:val="24"/>
            </w:rPr>
          </w:pPr>
          <w:r>
            <w:fldChar w:fldCharType="begin"/>
          </w:r>
          <w:r>
            <w:instrText xml:space="preserve"> HYPERLINK \l "_Toc17808080" </w:instrText>
          </w:r>
          <w:r>
            <w:fldChar w:fldCharType="separate"/>
          </w:r>
          <w:r>
            <w:rPr>
              <w:rStyle w:val="17"/>
              <w:sz w:val="24"/>
              <w:szCs w:val="24"/>
            </w:rPr>
            <w:t>Part 3.  Financial Market Analysis</w:t>
          </w:r>
          <w:r>
            <w:rPr>
              <w:sz w:val="24"/>
              <w:szCs w:val="24"/>
            </w:rPr>
            <w:tab/>
          </w:r>
          <w:r>
            <w:rPr>
              <w:sz w:val="24"/>
              <w:szCs w:val="24"/>
            </w:rPr>
            <w:fldChar w:fldCharType="begin"/>
          </w:r>
          <w:r>
            <w:rPr>
              <w:sz w:val="24"/>
              <w:szCs w:val="24"/>
            </w:rPr>
            <w:instrText xml:space="preserve"> PAGEREF _Toc17808080 \h </w:instrText>
          </w:r>
          <w:r>
            <w:rPr>
              <w:sz w:val="24"/>
              <w:szCs w:val="24"/>
            </w:rPr>
            <w:fldChar w:fldCharType="separate"/>
          </w:r>
          <w:r>
            <w:rPr>
              <w:sz w:val="24"/>
              <w:szCs w:val="24"/>
            </w:rPr>
            <w:t>35</w:t>
          </w:r>
          <w:r>
            <w:rPr>
              <w:sz w:val="24"/>
              <w:szCs w:val="24"/>
            </w:rPr>
            <w:fldChar w:fldCharType="end"/>
          </w:r>
          <w:r>
            <w:rPr>
              <w:sz w:val="24"/>
              <w:szCs w:val="24"/>
            </w:rPr>
            <w:fldChar w:fldCharType="end"/>
          </w:r>
        </w:p>
        <w:p>
          <w:pPr>
            <w:pStyle w:val="12"/>
            <w:tabs>
              <w:tab w:val="right" w:leader="dot" w:pos="8296"/>
            </w:tabs>
            <w:rPr>
              <w:sz w:val="24"/>
              <w:szCs w:val="24"/>
            </w:rPr>
          </w:pPr>
          <w:r>
            <w:fldChar w:fldCharType="begin"/>
          </w:r>
          <w:r>
            <w:instrText xml:space="preserve"> HYPERLINK \l "_Toc17808081" </w:instrText>
          </w:r>
          <w:r>
            <w:fldChar w:fldCharType="separate"/>
          </w:r>
          <w:r>
            <w:rPr>
              <w:rStyle w:val="17"/>
              <w:rFonts w:ascii="Times New Roman" w:hAnsi="Times New Roman" w:eastAsia="宋体"/>
              <w:sz w:val="24"/>
              <w:szCs w:val="24"/>
            </w:rPr>
            <w:t>I. Financial market analysis</w:t>
          </w:r>
          <w:r>
            <w:rPr>
              <w:sz w:val="24"/>
              <w:szCs w:val="24"/>
            </w:rPr>
            <w:tab/>
          </w:r>
          <w:r>
            <w:rPr>
              <w:sz w:val="24"/>
              <w:szCs w:val="24"/>
            </w:rPr>
            <w:fldChar w:fldCharType="begin"/>
          </w:r>
          <w:r>
            <w:rPr>
              <w:sz w:val="24"/>
              <w:szCs w:val="24"/>
            </w:rPr>
            <w:instrText xml:space="preserve"> PAGEREF _Toc17808081 \h </w:instrText>
          </w:r>
          <w:r>
            <w:rPr>
              <w:sz w:val="24"/>
              <w:szCs w:val="24"/>
            </w:rPr>
            <w:fldChar w:fldCharType="separate"/>
          </w:r>
          <w:r>
            <w:rPr>
              <w:sz w:val="24"/>
              <w:szCs w:val="24"/>
            </w:rPr>
            <w:t>35</w:t>
          </w:r>
          <w:r>
            <w:rPr>
              <w:sz w:val="24"/>
              <w:szCs w:val="24"/>
            </w:rPr>
            <w:fldChar w:fldCharType="end"/>
          </w:r>
          <w:r>
            <w:rPr>
              <w:sz w:val="24"/>
              <w:szCs w:val="24"/>
            </w:rPr>
            <w:fldChar w:fldCharType="end"/>
          </w:r>
        </w:p>
        <w:p>
          <w:pPr>
            <w:pStyle w:val="12"/>
            <w:tabs>
              <w:tab w:val="right" w:leader="dot" w:pos="8296"/>
            </w:tabs>
            <w:rPr>
              <w:rStyle w:val="17"/>
              <w:sz w:val="24"/>
              <w:szCs w:val="24"/>
            </w:rPr>
          </w:pPr>
          <w:r>
            <w:fldChar w:fldCharType="begin"/>
          </w:r>
          <w:r>
            <w:instrText xml:space="preserve"> HYPERLINK \l "_Toc17808083" </w:instrText>
          </w:r>
          <w:r>
            <w:fldChar w:fldCharType="separate"/>
          </w:r>
          <w:r>
            <w:rPr>
              <w:rStyle w:val="17"/>
              <w:rFonts w:ascii="Times New Roman" w:hAnsi="Times New Roman" w:eastAsia="宋体"/>
              <w:sz w:val="24"/>
              <w:szCs w:val="24"/>
            </w:rPr>
            <w:t>II. Development of institutional arrangements in the financial markets</w:t>
          </w:r>
          <w:r>
            <w:rPr>
              <w:sz w:val="24"/>
              <w:szCs w:val="24"/>
            </w:rPr>
            <w:tab/>
          </w:r>
          <w:r>
            <w:rPr>
              <w:sz w:val="24"/>
              <w:szCs w:val="24"/>
            </w:rPr>
            <w:fldChar w:fldCharType="begin"/>
          </w:r>
          <w:r>
            <w:rPr>
              <w:sz w:val="24"/>
              <w:szCs w:val="24"/>
            </w:rPr>
            <w:instrText xml:space="preserve"> PAGEREF _Toc17808083 \h </w:instrText>
          </w:r>
          <w:r>
            <w:rPr>
              <w:sz w:val="24"/>
              <w:szCs w:val="24"/>
            </w:rPr>
            <w:fldChar w:fldCharType="separate"/>
          </w:r>
          <w:r>
            <w:rPr>
              <w:sz w:val="24"/>
              <w:szCs w:val="24"/>
            </w:rPr>
            <w:t>42</w:t>
          </w:r>
          <w:r>
            <w:rPr>
              <w:sz w:val="24"/>
              <w:szCs w:val="24"/>
            </w:rPr>
            <w:fldChar w:fldCharType="end"/>
          </w:r>
          <w:r>
            <w:rPr>
              <w:sz w:val="24"/>
              <w:szCs w:val="24"/>
            </w:rPr>
            <w:fldChar w:fldCharType="end"/>
          </w:r>
          <w:r>
            <w:rPr>
              <w:rStyle w:val="17"/>
              <w:rFonts w:hint="eastAsia"/>
              <w:sz w:val="24"/>
              <w:szCs w:val="24"/>
            </w:rPr>
            <w:t>\</w:t>
          </w:r>
        </w:p>
        <w:p/>
        <w:p>
          <w:pPr>
            <w:pStyle w:val="10"/>
            <w:rPr>
              <w:rFonts w:asciiTheme="minorHAnsi" w:hAnsiTheme="minorHAnsi" w:cstheme="minorBidi"/>
              <w:sz w:val="24"/>
              <w:szCs w:val="24"/>
            </w:rPr>
          </w:pPr>
          <w:r>
            <w:fldChar w:fldCharType="begin"/>
          </w:r>
          <w:r>
            <w:instrText xml:space="preserve"> HYPERLINK \l "_Toc17808084" </w:instrText>
          </w:r>
          <w:r>
            <w:fldChar w:fldCharType="separate"/>
          </w:r>
          <w:r>
            <w:rPr>
              <w:rStyle w:val="17"/>
              <w:sz w:val="24"/>
              <w:szCs w:val="24"/>
            </w:rPr>
            <w:t>Part 4. Macroeconomic Overview</w:t>
          </w:r>
          <w:r>
            <w:rPr>
              <w:sz w:val="24"/>
              <w:szCs w:val="24"/>
            </w:rPr>
            <w:tab/>
          </w:r>
          <w:r>
            <w:rPr>
              <w:sz w:val="24"/>
              <w:szCs w:val="24"/>
            </w:rPr>
            <w:fldChar w:fldCharType="begin"/>
          </w:r>
          <w:r>
            <w:rPr>
              <w:sz w:val="24"/>
              <w:szCs w:val="24"/>
            </w:rPr>
            <w:instrText xml:space="preserve"> PAGEREF _Toc17808084 \h </w:instrText>
          </w:r>
          <w:r>
            <w:rPr>
              <w:sz w:val="24"/>
              <w:szCs w:val="24"/>
            </w:rPr>
            <w:fldChar w:fldCharType="separate"/>
          </w:r>
          <w:r>
            <w:rPr>
              <w:sz w:val="24"/>
              <w:szCs w:val="24"/>
            </w:rPr>
            <w:t>44</w:t>
          </w:r>
          <w:r>
            <w:rPr>
              <w:sz w:val="24"/>
              <w:szCs w:val="24"/>
            </w:rPr>
            <w:fldChar w:fldCharType="end"/>
          </w:r>
          <w:r>
            <w:rPr>
              <w:sz w:val="24"/>
              <w:szCs w:val="24"/>
            </w:rPr>
            <w:fldChar w:fldCharType="end"/>
          </w:r>
        </w:p>
        <w:p>
          <w:pPr>
            <w:pStyle w:val="12"/>
            <w:tabs>
              <w:tab w:val="right" w:leader="dot" w:pos="8296"/>
            </w:tabs>
            <w:rPr>
              <w:sz w:val="24"/>
              <w:szCs w:val="24"/>
            </w:rPr>
          </w:pPr>
          <w:r>
            <w:fldChar w:fldCharType="begin"/>
          </w:r>
          <w:r>
            <w:instrText xml:space="preserve"> HYPERLINK \l "_Toc17808085" </w:instrText>
          </w:r>
          <w:r>
            <w:fldChar w:fldCharType="separate"/>
          </w:r>
          <w:r>
            <w:rPr>
              <w:rStyle w:val="17"/>
              <w:rFonts w:ascii="Times New Roman" w:hAnsi="Times New Roman" w:eastAsia="宋体"/>
              <w:sz w:val="24"/>
              <w:szCs w:val="24"/>
            </w:rPr>
            <w:t>I. Global economic and financial developments</w:t>
          </w:r>
          <w:r>
            <w:rPr>
              <w:sz w:val="24"/>
              <w:szCs w:val="24"/>
            </w:rPr>
            <w:tab/>
          </w:r>
          <w:r>
            <w:rPr>
              <w:sz w:val="24"/>
              <w:szCs w:val="24"/>
            </w:rPr>
            <w:fldChar w:fldCharType="begin"/>
          </w:r>
          <w:r>
            <w:rPr>
              <w:sz w:val="24"/>
              <w:szCs w:val="24"/>
            </w:rPr>
            <w:instrText xml:space="preserve"> PAGEREF _Toc17808085 \h </w:instrText>
          </w:r>
          <w:r>
            <w:rPr>
              <w:sz w:val="24"/>
              <w:szCs w:val="24"/>
            </w:rPr>
            <w:fldChar w:fldCharType="separate"/>
          </w:r>
          <w:r>
            <w:rPr>
              <w:sz w:val="24"/>
              <w:szCs w:val="24"/>
            </w:rPr>
            <w:t>44</w:t>
          </w:r>
          <w:r>
            <w:rPr>
              <w:sz w:val="24"/>
              <w:szCs w:val="24"/>
            </w:rPr>
            <w:fldChar w:fldCharType="end"/>
          </w:r>
          <w:r>
            <w:rPr>
              <w:sz w:val="24"/>
              <w:szCs w:val="24"/>
            </w:rPr>
            <w:fldChar w:fldCharType="end"/>
          </w:r>
        </w:p>
        <w:p>
          <w:pPr>
            <w:pStyle w:val="12"/>
            <w:tabs>
              <w:tab w:val="right" w:leader="dot" w:pos="8296"/>
            </w:tabs>
            <w:rPr>
              <w:rStyle w:val="17"/>
              <w:sz w:val="24"/>
              <w:szCs w:val="24"/>
            </w:rPr>
          </w:pPr>
          <w:r>
            <w:fldChar w:fldCharType="begin"/>
          </w:r>
          <w:r>
            <w:instrText xml:space="preserve"> HYPERLINK \l "_Toc17808086" </w:instrText>
          </w:r>
          <w:r>
            <w:fldChar w:fldCharType="separate"/>
          </w:r>
          <w:r>
            <w:rPr>
              <w:rStyle w:val="17"/>
              <w:rFonts w:ascii="Times New Roman" w:hAnsi="Times New Roman" w:eastAsia="宋体"/>
              <w:sz w:val="24"/>
              <w:szCs w:val="24"/>
            </w:rPr>
            <w:t>II. Macroeconomic developments in China</w:t>
          </w:r>
          <w:r>
            <w:rPr>
              <w:sz w:val="24"/>
              <w:szCs w:val="24"/>
            </w:rPr>
            <w:tab/>
          </w:r>
          <w:r>
            <w:rPr>
              <w:sz w:val="24"/>
              <w:szCs w:val="24"/>
            </w:rPr>
            <w:fldChar w:fldCharType="begin"/>
          </w:r>
          <w:r>
            <w:rPr>
              <w:sz w:val="24"/>
              <w:szCs w:val="24"/>
            </w:rPr>
            <w:instrText xml:space="preserve"> PAGEREF _Toc17808086 \h </w:instrText>
          </w:r>
          <w:r>
            <w:rPr>
              <w:sz w:val="24"/>
              <w:szCs w:val="24"/>
            </w:rPr>
            <w:fldChar w:fldCharType="separate"/>
          </w:r>
          <w:r>
            <w:rPr>
              <w:sz w:val="24"/>
              <w:szCs w:val="24"/>
            </w:rPr>
            <w:t>49</w:t>
          </w:r>
          <w:r>
            <w:rPr>
              <w:sz w:val="24"/>
              <w:szCs w:val="24"/>
            </w:rPr>
            <w:fldChar w:fldCharType="end"/>
          </w:r>
          <w:r>
            <w:rPr>
              <w:sz w:val="24"/>
              <w:szCs w:val="24"/>
            </w:rPr>
            <w:fldChar w:fldCharType="end"/>
          </w:r>
        </w:p>
        <w:p/>
        <w:p>
          <w:pPr>
            <w:pStyle w:val="10"/>
            <w:rPr>
              <w:rFonts w:asciiTheme="minorHAnsi" w:hAnsiTheme="minorHAnsi" w:cstheme="minorBidi"/>
              <w:sz w:val="24"/>
              <w:szCs w:val="24"/>
            </w:rPr>
          </w:pPr>
          <w:r>
            <w:fldChar w:fldCharType="begin"/>
          </w:r>
          <w:r>
            <w:instrText xml:space="preserve"> HYPERLINK \l "_Toc17808088" </w:instrText>
          </w:r>
          <w:r>
            <w:fldChar w:fldCharType="separate"/>
          </w:r>
          <w:r>
            <w:rPr>
              <w:rStyle w:val="17"/>
              <w:sz w:val="24"/>
              <w:szCs w:val="24"/>
            </w:rPr>
            <w:t>PART 5. Monetary Policy Stance to be Adopted at the Next Stage</w:t>
          </w:r>
          <w:r>
            <w:rPr>
              <w:sz w:val="24"/>
              <w:szCs w:val="24"/>
            </w:rPr>
            <w:tab/>
          </w:r>
          <w:r>
            <w:rPr>
              <w:sz w:val="24"/>
              <w:szCs w:val="24"/>
            </w:rPr>
            <w:fldChar w:fldCharType="begin"/>
          </w:r>
          <w:r>
            <w:rPr>
              <w:sz w:val="24"/>
              <w:szCs w:val="24"/>
            </w:rPr>
            <w:instrText xml:space="preserve"> PAGEREF _Toc17808088 \h </w:instrText>
          </w:r>
          <w:r>
            <w:rPr>
              <w:sz w:val="24"/>
              <w:szCs w:val="24"/>
            </w:rPr>
            <w:fldChar w:fldCharType="separate"/>
          </w:r>
          <w:r>
            <w:rPr>
              <w:sz w:val="24"/>
              <w:szCs w:val="24"/>
            </w:rPr>
            <w:t>59</w:t>
          </w:r>
          <w:r>
            <w:rPr>
              <w:sz w:val="24"/>
              <w:szCs w:val="24"/>
            </w:rPr>
            <w:fldChar w:fldCharType="end"/>
          </w:r>
          <w:r>
            <w:rPr>
              <w:sz w:val="24"/>
              <w:szCs w:val="24"/>
            </w:rPr>
            <w:fldChar w:fldCharType="end"/>
          </w:r>
        </w:p>
        <w:p>
          <w:pPr>
            <w:pStyle w:val="12"/>
            <w:tabs>
              <w:tab w:val="left" w:pos="840"/>
              <w:tab w:val="right" w:leader="dot" w:pos="8296"/>
            </w:tabs>
            <w:rPr>
              <w:sz w:val="24"/>
              <w:szCs w:val="24"/>
            </w:rPr>
          </w:pPr>
          <w:r>
            <w:fldChar w:fldCharType="begin"/>
          </w:r>
          <w:r>
            <w:instrText xml:space="preserve"> HYPERLINK \l "_Toc17808089" </w:instrText>
          </w:r>
          <w:r>
            <w:fldChar w:fldCharType="separate"/>
          </w:r>
          <w:r>
            <w:rPr>
              <w:rStyle w:val="17"/>
              <w:rFonts w:ascii="Times New Roman" w:hAnsi="Times New Roman"/>
              <w:sz w:val="24"/>
              <w:szCs w:val="24"/>
            </w:rPr>
            <w:t>I.</w:t>
          </w:r>
          <w:r>
            <w:rPr>
              <w:sz w:val="24"/>
              <w:szCs w:val="24"/>
            </w:rPr>
            <w:tab/>
          </w:r>
          <w:r>
            <w:rPr>
              <w:rStyle w:val="17"/>
              <w:rFonts w:ascii="Times New Roman" w:hAnsi="Times New Roman" w:eastAsia="宋体"/>
              <w:sz w:val="24"/>
              <w:szCs w:val="24"/>
            </w:rPr>
            <w:t>Outlook for the Chinese Economy</w:t>
          </w:r>
          <w:r>
            <w:rPr>
              <w:sz w:val="24"/>
              <w:szCs w:val="24"/>
            </w:rPr>
            <w:tab/>
          </w:r>
          <w:r>
            <w:rPr>
              <w:sz w:val="24"/>
              <w:szCs w:val="24"/>
            </w:rPr>
            <w:fldChar w:fldCharType="begin"/>
          </w:r>
          <w:r>
            <w:rPr>
              <w:sz w:val="24"/>
              <w:szCs w:val="24"/>
            </w:rPr>
            <w:instrText xml:space="preserve"> PAGEREF _Toc17808089 \h </w:instrText>
          </w:r>
          <w:r>
            <w:rPr>
              <w:sz w:val="24"/>
              <w:szCs w:val="24"/>
            </w:rPr>
            <w:fldChar w:fldCharType="separate"/>
          </w:r>
          <w:r>
            <w:rPr>
              <w:sz w:val="24"/>
              <w:szCs w:val="24"/>
            </w:rPr>
            <w:t>59</w:t>
          </w:r>
          <w:r>
            <w:rPr>
              <w:sz w:val="24"/>
              <w:szCs w:val="24"/>
            </w:rPr>
            <w:fldChar w:fldCharType="end"/>
          </w:r>
          <w:r>
            <w:rPr>
              <w:sz w:val="24"/>
              <w:szCs w:val="24"/>
            </w:rPr>
            <w:fldChar w:fldCharType="end"/>
          </w:r>
        </w:p>
        <w:p>
          <w:pPr>
            <w:pStyle w:val="12"/>
            <w:tabs>
              <w:tab w:val="left" w:pos="840"/>
              <w:tab w:val="right" w:leader="dot" w:pos="8296"/>
            </w:tabs>
            <w:rPr>
              <w:sz w:val="24"/>
              <w:szCs w:val="24"/>
            </w:rPr>
          </w:pPr>
          <w:r>
            <w:fldChar w:fldCharType="begin"/>
          </w:r>
          <w:r>
            <w:instrText xml:space="preserve"> HYPERLINK \l "_Toc17808090" </w:instrText>
          </w:r>
          <w:r>
            <w:fldChar w:fldCharType="separate"/>
          </w:r>
          <w:r>
            <w:rPr>
              <w:rStyle w:val="17"/>
              <w:rFonts w:ascii="Times New Roman" w:hAnsi="Times New Roman"/>
              <w:sz w:val="24"/>
              <w:szCs w:val="24"/>
            </w:rPr>
            <w:t>II.</w:t>
          </w:r>
          <w:r>
            <w:rPr>
              <w:sz w:val="24"/>
              <w:szCs w:val="24"/>
            </w:rPr>
            <w:tab/>
          </w:r>
          <w:r>
            <w:rPr>
              <w:rStyle w:val="17"/>
              <w:rFonts w:ascii="Times New Roman" w:hAnsi="Times New Roman" w:eastAsia="宋体"/>
              <w:sz w:val="24"/>
              <w:szCs w:val="24"/>
            </w:rPr>
            <w:t>Monetary policy during the next stage</w:t>
          </w:r>
          <w:r>
            <w:rPr>
              <w:sz w:val="24"/>
              <w:szCs w:val="24"/>
            </w:rPr>
            <w:tab/>
          </w:r>
          <w:r>
            <w:rPr>
              <w:sz w:val="24"/>
              <w:szCs w:val="24"/>
            </w:rPr>
            <w:fldChar w:fldCharType="begin"/>
          </w:r>
          <w:r>
            <w:rPr>
              <w:sz w:val="24"/>
              <w:szCs w:val="24"/>
            </w:rPr>
            <w:instrText xml:space="preserve"> PAGEREF _Toc17808090 \h </w:instrText>
          </w:r>
          <w:r>
            <w:rPr>
              <w:sz w:val="24"/>
              <w:szCs w:val="24"/>
            </w:rPr>
            <w:fldChar w:fldCharType="separate"/>
          </w:r>
          <w:r>
            <w:rPr>
              <w:sz w:val="24"/>
              <w:szCs w:val="24"/>
            </w:rPr>
            <w:t>60</w:t>
          </w:r>
          <w:r>
            <w:rPr>
              <w:sz w:val="24"/>
              <w:szCs w:val="24"/>
            </w:rPr>
            <w:fldChar w:fldCharType="end"/>
          </w:r>
          <w:r>
            <w:rPr>
              <w:sz w:val="24"/>
              <w:szCs w:val="24"/>
            </w:rPr>
            <w:fldChar w:fldCharType="end"/>
          </w:r>
        </w:p>
        <w:p>
          <w:pPr>
            <w:rPr>
              <w:sz w:val="24"/>
              <w:szCs w:val="24"/>
            </w:rPr>
          </w:pPr>
          <w:r>
            <w:rPr>
              <w:sz w:val="24"/>
              <w:szCs w:val="24"/>
            </w:rPr>
            <w:fldChar w:fldCharType="end"/>
          </w:r>
        </w:p>
      </w:sdtContent>
    </w:sdt>
    <w:p>
      <w:pPr>
        <w:widowControl/>
        <w:jc w:val="left"/>
        <w:rPr>
          <w:rFonts w:ascii="Times New Roman" w:hAnsi="Times New Roman" w:cs="Times New Roman"/>
          <w:sz w:val="24"/>
        </w:rPr>
      </w:pPr>
    </w:p>
    <w:p>
      <w:pPr>
        <w:widowControl/>
        <w:jc w:val="left"/>
        <w:rPr>
          <w:rFonts w:ascii="Times New Roman" w:hAnsi="Times New Roman" w:cs="Times New Roman"/>
          <w:sz w:val="24"/>
        </w:rPr>
      </w:pPr>
      <w:r>
        <w:rPr>
          <w:rFonts w:ascii="Times New Roman" w:hAnsi="Times New Roman" w:cs="Times New Roman"/>
          <w:sz w:val="24"/>
        </w:rPr>
        <w:br w:type="page"/>
      </w:r>
    </w:p>
    <w:p>
      <w:pPr>
        <w:widowControl/>
        <w:jc w:val="left"/>
        <w:rPr>
          <w:rStyle w:val="17"/>
          <w:rFonts w:ascii="Times New Roman" w:hAnsi="Times New Roman" w:eastAsia="宋体" w:cs="Times New Roman"/>
          <w:color w:val="auto"/>
          <w:u w:val="none"/>
        </w:rPr>
      </w:pPr>
      <w:r>
        <w:rPr>
          <w:rStyle w:val="17"/>
          <w:rFonts w:ascii="Times New Roman" w:hAnsi="Times New Roman" w:eastAsia="宋体" w:cs="Times New Roman"/>
          <w:color w:val="auto"/>
          <w:u w:val="none"/>
        </w:rPr>
        <w:t>Boxes</w:t>
      </w:r>
    </w:p>
    <w:p>
      <w:pPr>
        <w:pStyle w:val="6"/>
        <w:rPr>
          <w:rStyle w:val="17"/>
          <w:color w:val="auto"/>
          <w:u w:val="none"/>
        </w:rPr>
      </w:pPr>
      <w:r>
        <w:fldChar w:fldCharType="begin"/>
      </w:r>
      <w:r>
        <w:instrText xml:space="preserve"> HYPERLINK \l "_Toc17808064" </w:instrText>
      </w:r>
      <w:r>
        <w:fldChar w:fldCharType="separate"/>
      </w:r>
      <w:r>
        <w:rPr>
          <w:rStyle w:val="17"/>
          <w:color w:val="auto"/>
          <w:u w:val="none"/>
        </w:rPr>
        <w:t>Box 1 Reducing Financial Costs of Micro and Small Businesses (MSBs)</w:t>
      </w:r>
      <w:r>
        <w:rPr>
          <w:rStyle w:val="17"/>
          <w:color w:val="auto"/>
          <w:u w:val="none"/>
        </w:rPr>
        <w:tab/>
      </w:r>
      <w:r>
        <w:rPr>
          <w:rStyle w:val="17"/>
          <w:color w:val="auto"/>
          <w:u w:val="none"/>
        </w:rPr>
        <w:fldChar w:fldCharType="begin"/>
      </w:r>
      <w:r>
        <w:rPr>
          <w:rStyle w:val="17"/>
          <w:color w:val="auto"/>
          <w:u w:val="none"/>
        </w:rPr>
        <w:instrText xml:space="preserve"> PAGEREF _Toc17808064 \h </w:instrText>
      </w:r>
      <w:r>
        <w:rPr>
          <w:rStyle w:val="17"/>
          <w:color w:val="auto"/>
          <w:u w:val="none"/>
        </w:rPr>
        <w:fldChar w:fldCharType="separate"/>
      </w:r>
      <w:r>
        <w:rPr>
          <w:rStyle w:val="17"/>
          <w:color w:val="auto"/>
          <w:u w:val="none"/>
        </w:rPr>
        <w:t>11</w:t>
      </w:r>
      <w:r>
        <w:rPr>
          <w:rStyle w:val="17"/>
          <w:color w:val="auto"/>
          <w:u w:val="none"/>
        </w:rPr>
        <w:fldChar w:fldCharType="end"/>
      </w:r>
      <w:r>
        <w:rPr>
          <w:rStyle w:val="17"/>
          <w:color w:val="auto"/>
          <w:u w:val="none"/>
        </w:rPr>
        <w:fldChar w:fldCharType="end"/>
      </w:r>
    </w:p>
    <w:p>
      <w:pPr>
        <w:pStyle w:val="6"/>
        <w:rPr>
          <w:rStyle w:val="17"/>
          <w:color w:val="auto"/>
          <w:u w:val="none"/>
        </w:rPr>
      </w:pPr>
      <w:r>
        <w:fldChar w:fldCharType="begin"/>
      </w:r>
      <w:r>
        <w:instrText xml:space="preserve"> HYPERLINK \l "_Toc17808075" </w:instrText>
      </w:r>
      <w:r>
        <w:fldChar w:fldCharType="separate"/>
      </w:r>
      <w:r>
        <w:rPr>
          <w:rStyle w:val="17"/>
          <w:color w:val="auto"/>
          <w:u w:val="none"/>
        </w:rPr>
        <w:t>Box 2 Deepening Supply-side Structural Reforms in the Financial Sector to Support High-quality Economic Development</w:t>
      </w:r>
      <w:r>
        <w:rPr>
          <w:rStyle w:val="17"/>
          <w:color w:val="auto"/>
          <w:u w:val="none"/>
        </w:rPr>
        <w:tab/>
      </w:r>
      <w:r>
        <w:rPr>
          <w:rStyle w:val="17"/>
          <w:color w:val="auto"/>
          <w:u w:val="none"/>
        </w:rPr>
        <w:fldChar w:fldCharType="begin"/>
      </w:r>
      <w:r>
        <w:rPr>
          <w:rStyle w:val="17"/>
          <w:color w:val="auto"/>
          <w:u w:val="none"/>
        </w:rPr>
        <w:instrText xml:space="preserve"> PAGEREF _Toc17808075 \h </w:instrText>
      </w:r>
      <w:r>
        <w:rPr>
          <w:rStyle w:val="17"/>
          <w:color w:val="auto"/>
          <w:u w:val="none"/>
        </w:rPr>
        <w:fldChar w:fldCharType="separate"/>
      </w:r>
      <w:r>
        <w:rPr>
          <w:rStyle w:val="17"/>
          <w:color w:val="auto"/>
          <w:u w:val="none"/>
        </w:rPr>
        <w:t>24</w:t>
      </w:r>
      <w:r>
        <w:rPr>
          <w:rStyle w:val="17"/>
          <w:color w:val="auto"/>
          <w:u w:val="none"/>
        </w:rPr>
        <w:fldChar w:fldCharType="end"/>
      </w:r>
      <w:r>
        <w:rPr>
          <w:rStyle w:val="17"/>
          <w:color w:val="auto"/>
          <w:u w:val="none"/>
        </w:rPr>
        <w:fldChar w:fldCharType="end"/>
      </w:r>
    </w:p>
    <w:p>
      <w:pPr>
        <w:pStyle w:val="6"/>
        <w:rPr>
          <w:rStyle w:val="17"/>
          <w:color w:val="auto"/>
          <w:u w:val="none"/>
        </w:rPr>
      </w:pPr>
      <w:r>
        <w:fldChar w:fldCharType="begin"/>
      </w:r>
      <w:r>
        <w:instrText xml:space="preserve"> HYPERLINK \l "_Toc17808078" </w:instrText>
      </w:r>
      <w:r>
        <w:fldChar w:fldCharType="separate"/>
      </w:r>
      <w:r>
        <w:rPr>
          <w:rStyle w:val="17"/>
          <w:color w:val="auto"/>
          <w:u w:val="none"/>
        </w:rPr>
        <w:t>Box 3 Soundly Resolving the Partial and Structural Liquidity Risks of Small and Medium-sized Banks</w:t>
      </w:r>
      <w:r>
        <w:rPr>
          <w:rStyle w:val="17"/>
          <w:color w:val="auto"/>
          <w:u w:val="none"/>
        </w:rPr>
        <w:tab/>
      </w:r>
      <w:r>
        <w:rPr>
          <w:rStyle w:val="17"/>
          <w:color w:val="auto"/>
          <w:u w:val="none"/>
        </w:rPr>
        <w:fldChar w:fldCharType="begin"/>
      </w:r>
      <w:r>
        <w:rPr>
          <w:rStyle w:val="17"/>
          <w:color w:val="auto"/>
          <w:u w:val="none"/>
        </w:rPr>
        <w:instrText xml:space="preserve"> PAGEREF _Toc17808078 \h </w:instrText>
      </w:r>
      <w:r>
        <w:rPr>
          <w:rStyle w:val="17"/>
          <w:color w:val="auto"/>
          <w:u w:val="none"/>
        </w:rPr>
        <w:fldChar w:fldCharType="separate"/>
      </w:r>
      <w:r>
        <w:rPr>
          <w:rStyle w:val="17"/>
          <w:color w:val="auto"/>
          <w:u w:val="none"/>
        </w:rPr>
        <w:t>30</w:t>
      </w:r>
      <w:r>
        <w:rPr>
          <w:rStyle w:val="17"/>
          <w:color w:val="auto"/>
          <w:u w:val="none"/>
        </w:rPr>
        <w:fldChar w:fldCharType="end"/>
      </w:r>
      <w:r>
        <w:rPr>
          <w:rStyle w:val="17"/>
          <w:color w:val="auto"/>
          <w:u w:val="none"/>
        </w:rPr>
        <w:fldChar w:fldCharType="end"/>
      </w:r>
    </w:p>
    <w:p>
      <w:pPr>
        <w:pStyle w:val="6"/>
        <w:rPr>
          <w:rStyle w:val="17"/>
          <w:color w:val="000000" w:themeColor="text1"/>
          <w:u w:val="none"/>
          <w14:textFill>
            <w14:solidFill>
              <w14:schemeClr w14:val="tx1"/>
            </w14:solidFill>
          </w14:textFill>
        </w:rPr>
      </w:pPr>
      <w:r>
        <w:fldChar w:fldCharType="begin"/>
      </w:r>
      <w:r>
        <w:instrText xml:space="preserve"> HYPERLINK \l "_Toc17808087" </w:instrText>
      </w:r>
      <w:r>
        <w:fldChar w:fldCharType="separate"/>
      </w:r>
      <w:r>
        <w:rPr>
          <w:rStyle w:val="17"/>
          <w:color w:val="000000" w:themeColor="text1"/>
          <w:u w:val="none"/>
          <w14:textFill>
            <w14:solidFill>
              <w14:schemeClr w14:val="tx1"/>
            </w14:solidFill>
          </w14:textFill>
        </w:rPr>
        <w:t>Box 4: Global economic growth is weak and is facing downside risks</w:t>
      </w:r>
      <w:r>
        <w:rPr>
          <w:rStyle w:val="17"/>
          <w:color w:val="000000" w:themeColor="text1"/>
          <w:u w:val="none"/>
          <w14:textFill>
            <w14:solidFill>
              <w14:schemeClr w14:val="tx1"/>
            </w14:solidFill>
          </w14:textFill>
        </w:rPr>
        <w:tab/>
      </w:r>
      <w:r>
        <w:rPr>
          <w:rStyle w:val="17"/>
          <w:color w:val="000000" w:themeColor="text1"/>
          <w:u w:val="none"/>
          <w14:textFill>
            <w14:solidFill>
              <w14:schemeClr w14:val="tx1"/>
            </w14:solidFill>
          </w14:textFill>
        </w:rPr>
        <w:fldChar w:fldCharType="begin"/>
      </w:r>
      <w:r>
        <w:rPr>
          <w:rStyle w:val="17"/>
          <w:color w:val="000000" w:themeColor="text1"/>
          <w:u w:val="none"/>
          <w14:textFill>
            <w14:solidFill>
              <w14:schemeClr w14:val="tx1"/>
            </w14:solidFill>
          </w14:textFill>
        </w:rPr>
        <w:instrText xml:space="preserve"> PAGEREF _Toc17808087 \h </w:instrText>
      </w:r>
      <w:r>
        <w:rPr>
          <w:rStyle w:val="17"/>
          <w:color w:val="000000" w:themeColor="text1"/>
          <w:u w:val="none"/>
          <w14:textFill>
            <w14:solidFill>
              <w14:schemeClr w14:val="tx1"/>
            </w14:solidFill>
          </w14:textFill>
        </w:rPr>
        <w:fldChar w:fldCharType="separate"/>
      </w:r>
      <w:r>
        <w:rPr>
          <w:rStyle w:val="17"/>
          <w:color w:val="000000" w:themeColor="text1"/>
          <w:u w:val="none"/>
          <w14:textFill>
            <w14:solidFill>
              <w14:schemeClr w14:val="tx1"/>
            </w14:solidFill>
          </w14:textFill>
        </w:rPr>
        <w:t>54</w:t>
      </w:r>
      <w:r>
        <w:rPr>
          <w:rStyle w:val="17"/>
          <w:color w:val="000000" w:themeColor="text1"/>
          <w:u w:val="none"/>
          <w14:textFill>
            <w14:solidFill>
              <w14:schemeClr w14:val="tx1"/>
            </w14:solidFill>
          </w14:textFill>
        </w:rPr>
        <w:fldChar w:fldCharType="end"/>
      </w:r>
      <w:r>
        <w:rPr>
          <w:rStyle w:val="17"/>
          <w:color w:val="000000" w:themeColor="text1"/>
          <w:u w:val="none"/>
          <w14:textFill>
            <w14:solidFill>
              <w14:schemeClr w14:val="tx1"/>
            </w14:solidFill>
          </w14:textFill>
        </w:rPr>
        <w:fldChar w:fldCharType="end"/>
      </w:r>
    </w:p>
    <w:p>
      <w:pPr>
        <w:rPr>
          <w:rStyle w:val="17"/>
          <w:rFonts w:ascii="Times New Roman" w:hAnsi="Times New Roman" w:eastAsia="宋体"/>
          <w:color w:val="auto"/>
          <w:u w:val="none"/>
        </w:rPr>
      </w:pPr>
      <w:r>
        <w:rPr>
          <w:rStyle w:val="17"/>
          <w:rFonts w:ascii="Times New Roman" w:hAnsi="Times New Roman" w:eastAsia="宋体"/>
          <w:color w:val="auto"/>
          <w:u w:val="none"/>
        </w:rPr>
        <w:t>T</w:t>
      </w:r>
      <w:r>
        <w:rPr>
          <w:rStyle w:val="17"/>
          <w:rFonts w:hint="eastAsia" w:ascii="Times New Roman" w:hAnsi="Times New Roman" w:eastAsia="宋体"/>
          <w:color w:val="auto"/>
          <w:u w:val="none"/>
        </w:rPr>
        <w:t>ables</w:t>
      </w:r>
    </w:p>
    <w:p>
      <w:pPr>
        <w:pStyle w:val="11"/>
        <w:tabs>
          <w:tab w:val="right" w:leader="dot" w:pos="8296"/>
        </w:tabs>
        <w:rPr>
          <w:rStyle w:val="17"/>
          <w:rFonts w:eastAsia="宋体"/>
          <w:color w:val="auto"/>
          <w:u w:val="none"/>
        </w:rPr>
      </w:pPr>
      <w:r>
        <w:rPr>
          <w:rStyle w:val="17"/>
          <w:rFonts w:eastAsia="宋体" w:cstheme="minorBidi"/>
          <w:color w:val="auto"/>
          <w:szCs w:val="22"/>
          <w:u w:val="none"/>
        </w:rPr>
        <w:fldChar w:fldCharType="begin"/>
      </w:r>
      <w:r>
        <w:rPr>
          <w:rStyle w:val="17"/>
          <w:rFonts w:eastAsia="宋体" w:cstheme="minorBidi"/>
          <w:color w:val="auto"/>
          <w:szCs w:val="22"/>
          <w:u w:val="none"/>
        </w:rPr>
        <w:instrText xml:space="preserve"> </w:instrText>
      </w:r>
      <w:r>
        <w:rPr>
          <w:rStyle w:val="17"/>
          <w:rFonts w:hint="eastAsia" w:eastAsia="宋体" w:cstheme="minorBidi"/>
          <w:color w:val="auto"/>
          <w:szCs w:val="22"/>
          <w:u w:val="none"/>
        </w:rPr>
        <w:instrText xml:space="preserve">TOC \h \z \c "Table"</w:instrText>
      </w:r>
      <w:r>
        <w:rPr>
          <w:rStyle w:val="17"/>
          <w:rFonts w:eastAsia="宋体" w:cstheme="minorBidi"/>
          <w:color w:val="auto"/>
          <w:szCs w:val="22"/>
          <w:u w:val="none"/>
        </w:rPr>
        <w:instrText xml:space="preserve"> </w:instrText>
      </w:r>
      <w:r>
        <w:rPr>
          <w:rStyle w:val="17"/>
          <w:rFonts w:eastAsia="宋体" w:cstheme="minorBidi"/>
          <w:color w:val="auto"/>
          <w:szCs w:val="22"/>
          <w:u w:val="none"/>
        </w:rPr>
        <w:fldChar w:fldCharType="separate"/>
      </w:r>
      <w:r>
        <w:fldChar w:fldCharType="begin"/>
      </w:r>
      <w:r>
        <w:instrText xml:space="preserve"> HYPERLINK \l "_Toc17809062" </w:instrText>
      </w:r>
      <w:r>
        <w:fldChar w:fldCharType="separate"/>
      </w:r>
      <w:r>
        <w:rPr>
          <w:rStyle w:val="17"/>
          <w:rFonts w:eastAsia="宋体" w:cstheme="minorBidi"/>
          <w:color w:val="auto"/>
          <w:szCs w:val="22"/>
          <w:u w:val="none"/>
        </w:rPr>
        <w:t>Table 1 The Structure of RMB Loans in H1 2019</w:t>
      </w:r>
      <w:r>
        <w:rPr>
          <w:rStyle w:val="17"/>
          <w:rFonts w:eastAsia="宋体" w:cstheme="minorBidi"/>
          <w:color w:val="auto"/>
          <w:szCs w:val="22"/>
          <w:u w:val="none"/>
        </w:rPr>
        <w:tab/>
      </w:r>
      <w:r>
        <w:rPr>
          <w:rStyle w:val="17"/>
          <w:rFonts w:eastAsia="宋体" w:cstheme="minorBidi"/>
          <w:color w:val="auto"/>
          <w:szCs w:val="22"/>
          <w:u w:val="none"/>
        </w:rPr>
        <w:fldChar w:fldCharType="begin"/>
      </w:r>
      <w:r>
        <w:rPr>
          <w:rStyle w:val="17"/>
          <w:rFonts w:eastAsia="宋体" w:cstheme="minorBidi"/>
          <w:color w:val="auto"/>
          <w:szCs w:val="22"/>
          <w:u w:val="none"/>
        </w:rPr>
        <w:instrText xml:space="preserve"> PAGEREF _Toc17809062 \h </w:instrText>
      </w:r>
      <w:r>
        <w:rPr>
          <w:rStyle w:val="17"/>
          <w:rFonts w:eastAsia="宋体" w:cstheme="minorBidi"/>
          <w:color w:val="auto"/>
          <w:szCs w:val="22"/>
          <w:u w:val="none"/>
        </w:rPr>
        <w:fldChar w:fldCharType="separate"/>
      </w:r>
      <w:r>
        <w:rPr>
          <w:rStyle w:val="17"/>
          <w:rFonts w:eastAsia="宋体" w:cstheme="minorBidi"/>
          <w:color w:val="auto"/>
          <w:szCs w:val="22"/>
          <w:u w:val="none"/>
        </w:rPr>
        <w:t>10</w:t>
      </w:r>
      <w:r>
        <w:rPr>
          <w:rStyle w:val="17"/>
          <w:rFonts w:eastAsia="宋体" w:cstheme="minorBidi"/>
          <w:color w:val="auto"/>
          <w:szCs w:val="22"/>
          <w:u w:val="none"/>
        </w:rPr>
        <w:fldChar w:fldCharType="end"/>
      </w:r>
      <w:r>
        <w:rPr>
          <w:rStyle w:val="17"/>
          <w:rFonts w:eastAsia="宋体" w:cstheme="minorBidi"/>
          <w:color w:val="auto"/>
          <w:szCs w:val="22"/>
          <w:u w:val="none"/>
        </w:rPr>
        <w:fldChar w:fldCharType="end"/>
      </w:r>
    </w:p>
    <w:p>
      <w:pPr>
        <w:pStyle w:val="11"/>
        <w:tabs>
          <w:tab w:val="right" w:leader="dot" w:pos="8296"/>
        </w:tabs>
        <w:rPr>
          <w:rStyle w:val="17"/>
          <w:rFonts w:eastAsia="宋体"/>
          <w:color w:val="auto"/>
          <w:u w:val="none"/>
        </w:rPr>
      </w:pPr>
      <w:r>
        <w:fldChar w:fldCharType="begin"/>
      </w:r>
      <w:r>
        <w:instrText xml:space="preserve"> HYPERLINK \l "_Toc17809063" </w:instrText>
      </w:r>
      <w:r>
        <w:fldChar w:fldCharType="separate"/>
      </w:r>
      <w:r>
        <w:rPr>
          <w:rStyle w:val="17"/>
          <w:rFonts w:eastAsia="宋体" w:cstheme="minorBidi"/>
          <w:color w:val="auto"/>
          <w:szCs w:val="22"/>
          <w:u w:val="none"/>
        </w:rPr>
        <w:t>Table 2 New RMB Loans by Financial Institutions in H1 2019</w:t>
      </w:r>
      <w:r>
        <w:rPr>
          <w:rStyle w:val="17"/>
          <w:rFonts w:eastAsia="宋体" w:cstheme="minorBidi"/>
          <w:color w:val="auto"/>
          <w:szCs w:val="22"/>
          <w:u w:val="none"/>
        </w:rPr>
        <w:tab/>
      </w:r>
      <w:r>
        <w:rPr>
          <w:rStyle w:val="17"/>
          <w:rFonts w:eastAsia="宋体" w:cstheme="minorBidi"/>
          <w:color w:val="auto"/>
          <w:szCs w:val="22"/>
          <w:u w:val="none"/>
        </w:rPr>
        <w:fldChar w:fldCharType="begin"/>
      </w:r>
      <w:r>
        <w:rPr>
          <w:rStyle w:val="17"/>
          <w:rFonts w:eastAsia="宋体" w:cstheme="minorBidi"/>
          <w:color w:val="auto"/>
          <w:szCs w:val="22"/>
          <w:u w:val="none"/>
        </w:rPr>
        <w:instrText xml:space="preserve"> PAGEREF _Toc17809063 \h </w:instrText>
      </w:r>
      <w:r>
        <w:rPr>
          <w:rStyle w:val="17"/>
          <w:rFonts w:eastAsia="宋体" w:cstheme="minorBidi"/>
          <w:color w:val="auto"/>
          <w:szCs w:val="22"/>
          <w:u w:val="none"/>
        </w:rPr>
        <w:fldChar w:fldCharType="separate"/>
      </w:r>
      <w:r>
        <w:rPr>
          <w:rStyle w:val="17"/>
          <w:rFonts w:eastAsia="宋体" w:cstheme="minorBidi"/>
          <w:color w:val="auto"/>
          <w:szCs w:val="22"/>
          <w:u w:val="none"/>
        </w:rPr>
        <w:t>10</w:t>
      </w:r>
      <w:r>
        <w:rPr>
          <w:rStyle w:val="17"/>
          <w:rFonts w:eastAsia="宋体" w:cstheme="minorBidi"/>
          <w:color w:val="auto"/>
          <w:szCs w:val="22"/>
          <w:u w:val="none"/>
        </w:rPr>
        <w:fldChar w:fldCharType="end"/>
      </w:r>
      <w:r>
        <w:rPr>
          <w:rStyle w:val="17"/>
          <w:rFonts w:eastAsia="宋体" w:cstheme="minorBidi"/>
          <w:color w:val="auto"/>
          <w:szCs w:val="22"/>
          <w:u w:val="none"/>
        </w:rPr>
        <w:fldChar w:fldCharType="end"/>
      </w:r>
    </w:p>
    <w:p>
      <w:pPr>
        <w:pStyle w:val="11"/>
        <w:tabs>
          <w:tab w:val="right" w:leader="dot" w:pos="8296"/>
        </w:tabs>
        <w:rPr>
          <w:rStyle w:val="17"/>
          <w:rFonts w:eastAsia="宋体"/>
          <w:color w:val="auto"/>
          <w:u w:val="none"/>
        </w:rPr>
      </w:pPr>
      <w:r>
        <w:fldChar w:fldCharType="begin"/>
      </w:r>
      <w:r>
        <w:instrText xml:space="preserve"> HYPERLINK \l "_Toc17809064" </w:instrText>
      </w:r>
      <w:r>
        <w:fldChar w:fldCharType="separate"/>
      </w:r>
      <w:r>
        <w:rPr>
          <w:rStyle w:val="17"/>
          <w:rFonts w:eastAsia="宋体" w:cstheme="minorBidi"/>
          <w:color w:val="auto"/>
          <w:szCs w:val="22"/>
          <w:u w:val="none"/>
        </w:rPr>
        <w:t>Table 3 Shares of RMB Loans with Rates Below, At, or Above the Benchmark Rates, H1 2019</w:t>
      </w:r>
      <w:r>
        <w:rPr>
          <w:rStyle w:val="17"/>
          <w:rFonts w:eastAsia="宋体" w:cstheme="minorBidi"/>
          <w:color w:val="auto"/>
          <w:szCs w:val="22"/>
          <w:u w:val="none"/>
        </w:rPr>
        <w:tab/>
      </w:r>
      <w:r>
        <w:rPr>
          <w:rStyle w:val="17"/>
          <w:rFonts w:eastAsia="宋体" w:cstheme="minorBidi"/>
          <w:color w:val="auto"/>
          <w:szCs w:val="22"/>
          <w:u w:val="none"/>
        </w:rPr>
        <w:fldChar w:fldCharType="begin"/>
      </w:r>
      <w:r>
        <w:rPr>
          <w:rStyle w:val="17"/>
          <w:rFonts w:eastAsia="宋体" w:cstheme="minorBidi"/>
          <w:color w:val="auto"/>
          <w:szCs w:val="22"/>
          <w:u w:val="none"/>
        </w:rPr>
        <w:instrText xml:space="preserve"> PAGEREF _Toc17809064 \h </w:instrText>
      </w:r>
      <w:r>
        <w:rPr>
          <w:rStyle w:val="17"/>
          <w:rFonts w:eastAsia="宋体" w:cstheme="minorBidi"/>
          <w:color w:val="auto"/>
          <w:szCs w:val="22"/>
          <w:u w:val="none"/>
        </w:rPr>
        <w:fldChar w:fldCharType="separate"/>
      </w:r>
      <w:r>
        <w:rPr>
          <w:rStyle w:val="17"/>
          <w:rFonts w:eastAsia="宋体" w:cstheme="minorBidi"/>
          <w:color w:val="auto"/>
          <w:szCs w:val="22"/>
          <w:u w:val="none"/>
        </w:rPr>
        <w:t>12</w:t>
      </w:r>
      <w:r>
        <w:rPr>
          <w:rStyle w:val="17"/>
          <w:rFonts w:eastAsia="宋体" w:cstheme="minorBidi"/>
          <w:color w:val="auto"/>
          <w:szCs w:val="22"/>
          <w:u w:val="none"/>
        </w:rPr>
        <w:fldChar w:fldCharType="end"/>
      </w:r>
      <w:r>
        <w:rPr>
          <w:rStyle w:val="17"/>
          <w:rFonts w:eastAsia="宋体" w:cstheme="minorBidi"/>
          <w:color w:val="auto"/>
          <w:szCs w:val="22"/>
          <w:u w:val="none"/>
        </w:rPr>
        <w:fldChar w:fldCharType="end"/>
      </w:r>
    </w:p>
    <w:p>
      <w:pPr>
        <w:pStyle w:val="11"/>
        <w:tabs>
          <w:tab w:val="right" w:leader="dot" w:pos="8296"/>
        </w:tabs>
        <w:rPr>
          <w:rStyle w:val="17"/>
          <w:rFonts w:eastAsia="宋体"/>
          <w:color w:val="auto"/>
          <w:u w:val="none"/>
        </w:rPr>
      </w:pPr>
      <w:r>
        <w:fldChar w:fldCharType="begin"/>
      </w:r>
      <w:r>
        <w:instrText xml:space="preserve"> HYPERLINK \l "_Toc17809065" </w:instrText>
      </w:r>
      <w:r>
        <w:fldChar w:fldCharType="separate"/>
      </w:r>
      <w:r>
        <w:rPr>
          <w:rStyle w:val="17"/>
          <w:rFonts w:eastAsia="宋体" w:cstheme="minorBidi"/>
          <w:color w:val="auto"/>
          <w:szCs w:val="22"/>
          <w:u w:val="none"/>
        </w:rPr>
        <w:t>Table 4 Average Interest Rates of Large-Value USD-denominated</w:t>
      </w:r>
      <w:r>
        <w:rPr>
          <w:rStyle w:val="17"/>
          <w:rFonts w:eastAsia="宋体" w:cstheme="minorBidi"/>
          <w:color w:val="auto"/>
          <w:szCs w:val="22"/>
          <w:u w:val="none"/>
        </w:rPr>
        <w:tab/>
      </w:r>
      <w:r>
        <w:rPr>
          <w:rStyle w:val="17"/>
          <w:rFonts w:eastAsia="宋体" w:cstheme="minorBidi"/>
          <w:color w:val="auto"/>
          <w:szCs w:val="22"/>
          <w:u w:val="none"/>
        </w:rPr>
        <w:fldChar w:fldCharType="begin"/>
      </w:r>
      <w:r>
        <w:rPr>
          <w:rStyle w:val="17"/>
          <w:rFonts w:eastAsia="宋体" w:cstheme="minorBidi"/>
          <w:color w:val="auto"/>
          <w:szCs w:val="22"/>
          <w:u w:val="none"/>
        </w:rPr>
        <w:instrText xml:space="preserve"> PAGEREF _Toc17809065 \h </w:instrText>
      </w:r>
      <w:r>
        <w:rPr>
          <w:rStyle w:val="17"/>
          <w:rFonts w:eastAsia="宋体" w:cstheme="minorBidi"/>
          <w:color w:val="auto"/>
          <w:szCs w:val="22"/>
          <w:u w:val="none"/>
        </w:rPr>
        <w:fldChar w:fldCharType="separate"/>
      </w:r>
      <w:r>
        <w:rPr>
          <w:rStyle w:val="17"/>
          <w:rFonts w:eastAsia="宋体" w:cstheme="minorBidi"/>
          <w:color w:val="auto"/>
          <w:szCs w:val="22"/>
          <w:u w:val="none"/>
        </w:rPr>
        <w:t>13</w:t>
      </w:r>
      <w:r>
        <w:rPr>
          <w:rStyle w:val="17"/>
          <w:rFonts w:eastAsia="宋体" w:cstheme="minorBidi"/>
          <w:color w:val="auto"/>
          <w:szCs w:val="22"/>
          <w:u w:val="none"/>
        </w:rPr>
        <w:fldChar w:fldCharType="end"/>
      </w:r>
      <w:r>
        <w:rPr>
          <w:rStyle w:val="17"/>
          <w:rFonts w:eastAsia="宋体" w:cstheme="minorBidi"/>
          <w:color w:val="auto"/>
          <w:szCs w:val="22"/>
          <w:u w:val="none"/>
        </w:rPr>
        <w:fldChar w:fldCharType="end"/>
      </w:r>
    </w:p>
    <w:p>
      <w:pPr>
        <w:pStyle w:val="11"/>
        <w:tabs>
          <w:tab w:val="right" w:leader="dot" w:pos="8296"/>
        </w:tabs>
        <w:rPr>
          <w:rStyle w:val="17"/>
          <w:rFonts w:eastAsia="宋体"/>
          <w:color w:val="auto"/>
          <w:u w:val="none"/>
        </w:rPr>
      </w:pPr>
      <w:r>
        <w:fldChar w:fldCharType="begin"/>
      </w:r>
      <w:r>
        <w:instrText xml:space="preserve"> HYPERLINK \l "_Toc17809066" </w:instrText>
      </w:r>
      <w:r>
        <w:fldChar w:fldCharType="separate"/>
      </w:r>
      <w:r>
        <w:rPr>
          <w:rStyle w:val="17"/>
          <w:rFonts w:eastAsia="宋体" w:cstheme="minorBidi"/>
          <w:color w:val="auto"/>
          <w:szCs w:val="22"/>
          <w:u w:val="none"/>
        </w:rPr>
        <w:t>Table 5 The Structure of RMB Deposits during the First Half of 2019</w:t>
      </w:r>
      <w:r>
        <w:rPr>
          <w:rStyle w:val="17"/>
          <w:rFonts w:eastAsia="宋体" w:cstheme="minorBidi"/>
          <w:color w:val="auto"/>
          <w:szCs w:val="22"/>
          <w:u w:val="none"/>
        </w:rPr>
        <w:tab/>
      </w:r>
      <w:r>
        <w:rPr>
          <w:rStyle w:val="17"/>
          <w:rFonts w:eastAsia="宋体" w:cstheme="minorBidi"/>
          <w:color w:val="auto"/>
          <w:szCs w:val="22"/>
          <w:u w:val="none"/>
        </w:rPr>
        <w:fldChar w:fldCharType="begin"/>
      </w:r>
      <w:r>
        <w:rPr>
          <w:rStyle w:val="17"/>
          <w:rFonts w:eastAsia="宋体" w:cstheme="minorBidi"/>
          <w:color w:val="auto"/>
          <w:szCs w:val="22"/>
          <w:u w:val="none"/>
        </w:rPr>
        <w:instrText xml:space="preserve"> PAGEREF _Toc17809066 \h </w:instrText>
      </w:r>
      <w:r>
        <w:rPr>
          <w:rStyle w:val="17"/>
          <w:rFonts w:eastAsia="宋体" w:cstheme="minorBidi"/>
          <w:color w:val="auto"/>
          <w:szCs w:val="22"/>
          <w:u w:val="none"/>
        </w:rPr>
        <w:fldChar w:fldCharType="separate"/>
      </w:r>
      <w:r>
        <w:rPr>
          <w:rStyle w:val="17"/>
          <w:rFonts w:eastAsia="宋体" w:cstheme="minorBidi"/>
          <w:color w:val="auto"/>
          <w:szCs w:val="22"/>
          <w:u w:val="none"/>
        </w:rPr>
        <w:t>14</w:t>
      </w:r>
      <w:r>
        <w:rPr>
          <w:rStyle w:val="17"/>
          <w:rFonts w:eastAsia="宋体" w:cstheme="minorBidi"/>
          <w:color w:val="auto"/>
          <w:szCs w:val="22"/>
          <w:u w:val="none"/>
        </w:rPr>
        <w:fldChar w:fldCharType="end"/>
      </w:r>
      <w:r>
        <w:rPr>
          <w:rStyle w:val="17"/>
          <w:rFonts w:eastAsia="宋体" w:cstheme="minorBidi"/>
          <w:color w:val="auto"/>
          <w:szCs w:val="22"/>
          <w:u w:val="none"/>
        </w:rPr>
        <w:fldChar w:fldCharType="end"/>
      </w:r>
    </w:p>
    <w:p>
      <w:pPr>
        <w:pStyle w:val="11"/>
        <w:tabs>
          <w:tab w:val="right" w:leader="dot" w:pos="8296"/>
        </w:tabs>
        <w:rPr>
          <w:rStyle w:val="17"/>
          <w:rFonts w:eastAsia="宋体"/>
          <w:color w:val="auto"/>
          <w:u w:val="none"/>
        </w:rPr>
      </w:pPr>
      <w:r>
        <w:fldChar w:fldCharType="begin"/>
      </w:r>
      <w:r>
        <w:instrText xml:space="preserve"> HYPERLINK \l "_Toc17809067" </w:instrText>
      </w:r>
      <w:r>
        <w:fldChar w:fldCharType="separate"/>
      </w:r>
      <w:r>
        <w:rPr>
          <w:rStyle w:val="17"/>
          <w:rFonts w:eastAsia="宋体" w:cstheme="minorBidi"/>
          <w:color w:val="auto"/>
          <w:szCs w:val="22"/>
          <w:u w:val="none"/>
        </w:rPr>
        <w:t>Table 6  Aggregate Financing in H1 2019</w:t>
      </w:r>
      <w:r>
        <w:rPr>
          <w:rStyle w:val="17"/>
          <w:rFonts w:eastAsia="宋体" w:cstheme="minorBidi"/>
          <w:color w:val="auto"/>
          <w:szCs w:val="22"/>
          <w:u w:val="none"/>
        </w:rPr>
        <w:tab/>
      </w:r>
      <w:r>
        <w:rPr>
          <w:rStyle w:val="17"/>
          <w:rFonts w:eastAsia="宋体" w:cstheme="minorBidi"/>
          <w:color w:val="auto"/>
          <w:szCs w:val="22"/>
          <w:u w:val="none"/>
        </w:rPr>
        <w:fldChar w:fldCharType="begin"/>
      </w:r>
      <w:r>
        <w:rPr>
          <w:rStyle w:val="17"/>
          <w:rFonts w:eastAsia="宋体" w:cstheme="minorBidi"/>
          <w:color w:val="auto"/>
          <w:szCs w:val="22"/>
          <w:u w:val="none"/>
        </w:rPr>
        <w:instrText xml:space="preserve"> PAGEREF _Toc17809067 \h </w:instrText>
      </w:r>
      <w:r>
        <w:rPr>
          <w:rStyle w:val="17"/>
          <w:rFonts w:eastAsia="宋体" w:cstheme="minorBidi"/>
          <w:color w:val="auto"/>
          <w:szCs w:val="22"/>
          <w:u w:val="none"/>
        </w:rPr>
        <w:fldChar w:fldCharType="separate"/>
      </w:r>
      <w:r>
        <w:rPr>
          <w:rStyle w:val="17"/>
          <w:rFonts w:eastAsia="宋体" w:cstheme="minorBidi"/>
          <w:color w:val="auto"/>
          <w:szCs w:val="22"/>
          <w:u w:val="none"/>
        </w:rPr>
        <w:t>16</w:t>
      </w:r>
      <w:r>
        <w:rPr>
          <w:rStyle w:val="17"/>
          <w:rFonts w:eastAsia="宋体" w:cstheme="minorBidi"/>
          <w:color w:val="auto"/>
          <w:szCs w:val="22"/>
          <w:u w:val="none"/>
        </w:rPr>
        <w:fldChar w:fldCharType="end"/>
      </w:r>
      <w:r>
        <w:rPr>
          <w:rStyle w:val="17"/>
          <w:rFonts w:eastAsia="宋体" w:cstheme="minorBidi"/>
          <w:color w:val="auto"/>
          <w:szCs w:val="22"/>
          <w:u w:val="none"/>
        </w:rPr>
        <w:fldChar w:fldCharType="end"/>
      </w:r>
    </w:p>
    <w:p>
      <w:pPr>
        <w:pStyle w:val="11"/>
        <w:tabs>
          <w:tab w:val="right" w:leader="dot" w:pos="8296"/>
        </w:tabs>
        <w:rPr>
          <w:rStyle w:val="17"/>
          <w:rFonts w:eastAsia="宋体"/>
          <w:color w:val="auto"/>
          <w:u w:val="none"/>
        </w:rPr>
      </w:pPr>
      <w:r>
        <w:fldChar w:fldCharType="begin"/>
      </w:r>
      <w:r>
        <w:instrText xml:space="preserve"> HYPERLINK \l "_Toc17809068" </w:instrText>
      </w:r>
      <w:r>
        <w:fldChar w:fldCharType="separate"/>
      </w:r>
      <w:r>
        <w:rPr>
          <w:rStyle w:val="17"/>
          <w:rFonts w:eastAsia="宋体" w:cstheme="minorBidi"/>
          <w:color w:val="auto"/>
          <w:szCs w:val="22"/>
          <w:u w:val="none"/>
        </w:rPr>
        <w:t>Table 7 Trading Volume of the RMB Against Other Currencies</w:t>
      </w:r>
      <w:r>
        <w:rPr>
          <w:rStyle w:val="17"/>
          <w:rFonts w:eastAsia="宋体" w:cstheme="minorBidi"/>
          <w:color w:val="auto"/>
          <w:szCs w:val="22"/>
          <w:u w:val="none"/>
        </w:rPr>
        <w:tab/>
      </w:r>
      <w:r>
        <w:rPr>
          <w:rStyle w:val="17"/>
          <w:rFonts w:eastAsia="宋体" w:cstheme="minorBidi"/>
          <w:color w:val="auto"/>
          <w:szCs w:val="22"/>
          <w:u w:val="none"/>
        </w:rPr>
        <w:fldChar w:fldCharType="begin"/>
      </w:r>
      <w:r>
        <w:rPr>
          <w:rStyle w:val="17"/>
          <w:rFonts w:eastAsia="宋体" w:cstheme="minorBidi"/>
          <w:color w:val="auto"/>
          <w:szCs w:val="22"/>
          <w:u w:val="none"/>
        </w:rPr>
        <w:instrText xml:space="preserve"> PAGEREF _Toc17809068 \h </w:instrText>
      </w:r>
      <w:r>
        <w:rPr>
          <w:rStyle w:val="17"/>
          <w:rFonts w:eastAsia="宋体" w:cstheme="minorBidi"/>
          <w:color w:val="auto"/>
          <w:szCs w:val="22"/>
          <w:u w:val="none"/>
        </w:rPr>
        <w:fldChar w:fldCharType="separate"/>
      </w:r>
      <w:r>
        <w:rPr>
          <w:rStyle w:val="17"/>
          <w:rFonts w:eastAsia="宋体" w:cstheme="minorBidi"/>
          <w:color w:val="auto"/>
          <w:szCs w:val="22"/>
          <w:u w:val="none"/>
        </w:rPr>
        <w:t>29</w:t>
      </w:r>
      <w:r>
        <w:rPr>
          <w:rStyle w:val="17"/>
          <w:rFonts w:eastAsia="宋体" w:cstheme="minorBidi"/>
          <w:color w:val="auto"/>
          <w:szCs w:val="22"/>
          <w:u w:val="none"/>
        </w:rPr>
        <w:fldChar w:fldCharType="end"/>
      </w:r>
      <w:r>
        <w:rPr>
          <w:rStyle w:val="17"/>
          <w:rFonts w:eastAsia="宋体" w:cstheme="minorBidi"/>
          <w:color w:val="auto"/>
          <w:szCs w:val="22"/>
          <w:u w:val="none"/>
        </w:rPr>
        <w:fldChar w:fldCharType="end"/>
      </w:r>
    </w:p>
    <w:p>
      <w:pPr>
        <w:pStyle w:val="11"/>
        <w:tabs>
          <w:tab w:val="right" w:leader="dot" w:pos="8296"/>
        </w:tabs>
        <w:rPr>
          <w:rStyle w:val="17"/>
          <w:rFonts w:eastAsia="宋体"/>
          <w:color w:val="auto"/>
          <w:u w:val="none"/>
        </w:rPr>
      </w:pPr>
      <w:r>
        <w:fldChar w:fldCharType="begin"/>
      </w:r>
      <w:r>
        <w:instrText xml:space="preserve"> HYPERLINK \l "_Toc17809069" </w:instrText>
      </w:r>
      <w:r>
        <w:fldChar w:fldCharType="separate"/>
      </w:r>
      <w:r>
        <w:rPr>
          <w:rStyle w:val="17"/>
          <w:rFonts w:eastAsia="宋体" w:cstheme="minorBidi"/>
          <w:color w:val="auto"/>
          <w:szCs w:val="22"/>
          <w:u w:val="none"/>
        </w:rPr>
        <w:t>Table 8 Fund Flows among Financial Institutions, H1 2019</w:t>
      </w:r>
      <w:r>
        <w:rPr>
          <w:rStyle w:val="17"/>
          <w:rFonts w:eastAsia="宋体" w:cstheme="minorBidi"/>
          <w:color w:val="auto"/>
          <w:szCs w:val="22"/>
          <w:u w:val="none"/>
        </w:rPr>
        <w:tab/>
      </w:r>
      <w:r>
        <w:rPr>
          <w:rStyle w:val="17"/>
          <w:rFonts w:eastAsia="宋体" w:cstheme="minorBidi"/>
          <w:color w:val="auto"/>
          <w:szCs w:val="22"/>
          <w:u w:val="none"/>
        </w:rPr>
        <w:fldChar w:fldCharType="begin"/>
      </w:r>
      <w:r>
        <w:rPr>
          <w:rStyle w:val="17"/>
          <w:rFonts w:eastAsia="宋体" w:cstheme="minorBidi"/>
          <w:color w:val="auto"/>
          <w:szCs w:val="22"/>
          <w:u w:val="none"/>
        </w:rPr>
        <w:instrText xml:space="preserve"> PAGEREF _Toc17809069 \h </w:instrText>
      </w:r>
      <w:r>
        <w:rPr>
          <w:rStyle w:val="17"/>
          <w:rFonts w:eastAsia="宋体" w:cstheme="minorBidi"/>
          <w:color w:val="auto"/>
          <w:szCs w:val="22"/>
          <w:u w:val="none"/>
        </w:rPr>
        <w:fldChar w:fldCharType="separate"/>
      </w:r>
      <w:r>
        <w:rPr>
          <w:rStyle w:val="17"/>
          <w:rFonts w:eastAsia="宋体" w:cstheme="minorBidi"/>
          <w:color w:val="auto"/>
          <w:szCs w:val="22"/>
          <w:u w:val="none"/>
        </w:rPr>
        <w:t>36</w:t>
      </w:r>
      <w:r>
        <w:rPr>
          <w:rStyle w:val="17"/>
          <w:rFonts w:eastAsia="宋体" w:cstheme="minorBidi"/>
          <w:color w:val="auto"/>
          <w:szCs w:val="22"/>
          <w:u w:val="none"/>
        </w:rPr>
        <w:fldChar w:fldCharType="end"/>
      </w:r>
      <w:r>
        <w:rPr>
          <w:rStyle w:val="17"/>
          <w:rFonts w:eastAsia="宋体" w:cstheme="minorBidi"/>
          <w:color w:val="auto"/>
          <w:szCs w:val="22"/>
          <w:u w:val="none"/>
        </w:rPr>
        <w:fldChar w:fldCharType="end"/>
      </w:r>
    </w:p>
    <w:p>
      <w:pPr>
        <w:pStyle w:val="11"/>
        <w:tabs>
          <w:tab w:val="right" w:leader="dot" w:pos="8296"/>
        </w:tabs>
        <w:rPr>
          <w:rStyle w:val="17"/>
          <w:rFonts w:eastAsia="宋体"/>
          <w:color w:val="auto"/>
          <w:u w:val="none"/>
        </w:rPr>
      </w:pPr>
      <w:r>
        <w:fldChar w:fldCharType="begin"/>
      </w:r>
      <w:r>
        <w:instrText xml:space="preserve"> HYPERLINK \l "_Toc17809070" </w:instrText>
      </w:r>
      <w:r>
        <w:fldChar w:fldCharType="separate"/>
      </w:r>
      <w:r>
        <w:rPr>
          <w:rStyle w:val="17"/>
          <w:rFonts w:eastAsia="宋体" w:cstheme="minorBidi"/>
          <w:color w:val="auto"/>
          <w:szCs w:val="22"/>
          <w:u w:val="none"/>
        </w:rPr>
        <w:t>Table 9 Transactions of Interest-Rate Swaps, H1 2019</w:t>
      </w:r>
      <w:r>
        <w:rPr>
          <w:rStyle w:val="17"/>
          <w:rFonts w:eastAsia="宋体" w:cstheme="minorBidi"/>
          <w:color w:val="auto"/>
          <w:szCs w:val="22"/>
          <w:u w:val="none"/>
        </w:rPr>
        <w:tab/>
      </w:r>
      <w:r>
        <w:rPr>
          <w:rStyle w:val="17"/>
          <w:rFonts w:eastAsia="宋体" w:cstheme="minorBidi"/>
          <w:color w:val="auto"/>
          <w:szCs w:val="22"/>
          <w:u w:val="none"/>
        </w:rPr>
        <w:fldChar w:fldCharType="begin"/>
      </w:r>
      <w:r>
        <w:rPr>
          <w:rStyle w:val="17"/>
          <w:rFonts w:eastAsia="宋体" w:cstheme="minorBidi"/>
          <w:color w:val="auto"/>
          <w:szCs w:val="22"/>
          <w:u w:val="none"/>
        </w:rPr>
        <w:instrText xml:space="preserve"> PAGEREF _Toc17809070 \h </w:instrText>
      </w:r>
      <w:r>
        <w:rPr>
          <w:rStyle w:val="17"/>
          <w:rFonts w:eastAsia="宋体" w:cstheme="minorBidi"/>
          <w:color w:val="auto"/>
          <w:szCs w:val="22"/>
          <w:u w:val="none"/>
        </w:rPr>
        <w:fldChar w:fldCharType="separate"/>
      </w:r>
      <w:r>
        <w:rPr>
          <w:rStyle w:val="17"/>
          <w:rFonts w:eastAsia="宋体" w:cstheme="minorBidi"/>
          <w:color w:val="auto"/>
          <w:szCs w:val="22"/>
          <w:u w:val="none"/>
        </w:rPr>
        <w:t>37</w:t>
      </w:r>
      <w:r>
        <w:rPr>
          <w:rStyle w:val="17"/>
          <w:rFonts w:eastAsia="宋体" w:cstheme="minorBidi"/>
          <w:color w:val="auto"/>
          <w:szCs w:val="22"/>
          <w:u w:val="none"/>
        </w:rPr>
        <w:fldChar w:fldCharType="end"/>
      </w:r>
      <w:r>
        <w:rPr>
          <w:rStyle w:val="17"/>
          <w:rFonts w:eastAsia="宋体" w:cstheme="minorBidi"/>
          <w:color w:val="auto"/>
          <w:szCs w:val="22"/>
          <w:u w:val="none"/>
        </w:rPr>
        <w:fldChar w:fldCharType="end"/>
      </w:r>
    </w:p>
    <w:p>
      <w:pPr>
        <w:pStyle w:val="11"/>
        <w:tabs>
          <w:tab w:val="right" w:leader="dot" w:pos="8296"/>
        </w:tabs>
        <w:rPr>
          <w:rStyle w:val="17"/>
          <w:rFonts w:eastAsia="宋体"/>
          <w:color w:val="auto"/>
          <w:u w:val="none"/>
        </w:rPr>
      </w:pPr>
      <w:r>
        <w:fldChar w:fldCharType="begin"/>
      </w:r>
      <w:r>
        <w:instrText xml:space="preserve"> HYPERLINK \l "_Toc17809071" </w:instrText>
      </w:r>
      <w:r>
        <w:fldChar w:fldCharType="separate"/>
      </w:r>
      <w:r>
        <w:rPr>
          <w:rStyle w:val="17"/>
          <w:rFonts w:eastAsia="宋体" w:cstheme="minorBidi"/>
          <w:color w:val="auto"/>
          <w:szCs w:val="22"/>
          <w:u w:val="none"/>
        </w:rPr>
        <w:t>Table 10 Bond Issuances, H1 2019</w:t>
      </w:r>
      <w:r>
        <w:rPr>
          <w:rStyle w:val="17"/>
          <w:rFonts w:eastAsia="宋体" w:cstheme="minorBidi"/>
          <w:color w:val="auto"/>
          <w:szCs w:val="22"/>
          <w:u w:val="none"/>
        </w:rPr>
        <w:tab/>
      </w:r>
      <w:r>
        <w:rPr>
          <w:rStyle w:val="17"/>
          <w:rFonts w:eastAsia="宋体" w:cstheme="minorBidi"/>
          <w:color w:val="auto"/>
          <w:szCs w:val="22"/>
          <w:u w:val="none"/>
        </w:rPr>
        <w:fldChar w:fldCharType="begin"/>
      </w:r>
      <w:r>
        <w:rPr>
          <w:rStyle w:val="17"/>
          <w:rFonts w:eastAsia="宋体" w:cstheme="minorBidi"/>
          <w:color w:val="auto"/>
          <w:szCs w:val="22"/>
          <w:u w:val="none"/>
        </w:rPr>
        <w:instrText xml:space="preserve"> PAGEREF _Toc17809071 \h </w:instrText>
      </w:r>
      <w:r>
        <w:rPr>
          <w:rStyle w:val="17"/>
          <w:rFonts w:eastAsia="宋体" w:cstheme="minorBidi"/>
          <w:color w:val="auto"/>
          <w:szCs w:val="22"/>
          <w:u w:val="none"/>
        </w:rPr>
        <w:fldChar w:fldCharType="separate"/>
      </w:r>
      <w:r>
        <w:rPr>
          <w:rStyle w:val="17"/>
          <w:rFonts w:eastAsia="宋体" w:cstheme="minorBidi"/>
          <w:color w:val="auto"/>
          <w:szCs w:val="22"/>
          <w:u w:val="none"/>
        </w:rPr>
        <w:t>39</w:t>
      </w:r>
      <w:r>
        <w:rPr>
          <w:rStyle w:val="17"/>
          <w:rFonts w:eastAsia="宋体" w:cstheme="minorBidi"/>
          <w:color w:val="auto"/>
          <w:szCs w:val="22"/>
          <w:u w:val="none"/>
        </w:rPr>
        <w:fldChar w:fldCharType="end"/>
      </w:r>
      <w:r>
        <w:rPr>
          <w:rStyle w:val="17"/>
          <w:rFonts w:eastAsia="宋体" w:cstheme="minorBidi"/>
          <w:color w:val="auto"/>
          <w:szCs w:val="22"/>
          <w:u w:val="none"/>
        </w:rPr>
        <w:fldChar w:fldCharType="end"/>
      </w:r>
    </w:p>
    <w:p>
      <w:pPr>
        <w:pStyle w:val="11"/>
        <w:tabs>
          <w:tab w:val="right" w:leader="dot" w:pos="8296"/>
        </w:tabs>
        <w:rPr>
          <w:rStyle w:val="17"/>
          <w:rFonts w:eastAsia="宋体"/>
          <w:color w:val="auto"/>
          <w:u w:val="none"/>
        </w:rPr>
      </w:pPr>
      <w:r>
        <w:fldChar w:fldCharType="begin"/>
      </w:r>
      <w:r>
        <w:instrText xml:space="preserve"> HYPERLINK \l "_Toc17809072" </w:instrText>
      </w:r>
      <w:r>
        <w:fldChar w:fldCharType="separate"/>
      </w:r>
      <w:r>
        <w:rPr>
          <w:rStyle w:val="17"/>
          <w:rFonts w:eastAsia="宋体" w:cstheme="minorBidi"/>
          <w:color w:val="auto"/>
          <w:szCs w:val="22"/>
          <w:u w:val="none"/>
        </w:rPr>
        <w:t>Table 11 Asset Allocations in the Insurance Sector at End-June 2019</w:t>
      </w:r>
      <w:r>
        <w:rPr>
          <w:rStyle w:val="17"/>
          <w:rFonts w:eastAsia="宋体" w:cstheme="minorBidi"/>
          <w:color w:val="auto"/>
          <w:szCs w:val="22"/>
          <w:u w:val="none"/>
        </w:rPr>
        <w:tab/>
      </w:r>
      <w:r>
        <w:rPr>
          <w:rStyle w:val="17"/>
          <w:rFonts w:eastAsia="宋体" w:cstheme="minorBidi"/>
          <w:color w:val="auto"/>
          <w:szCs w:val="22"/>
          <w:u w:val="none"/>
        </w:rPr>
        <w:fldChar w:fldCharType="begin"/>
      </w:r>
      <w:r>
        <w:rPr>
          <w:rStyle w:val="17"/>
          <w:rFonts w:eastAsia="宋体" w:cstheme="minorBidi"/>
          <w:color w:val="auto"/>
          <w:szCs w:val="22"/>
          <w:u w:val="none"/>
        </w:rPr>
        <w:instrText xml:space="preserve"> PAGEREF _Toc17809072 \h </w:instrText>
      </w:r>
      <w:r>
        <w:rPr>
          <w:rStyle w:val="17"/>
          <w:rFonts w:eastAsia="宋体" w:cstheme="minorBidi"/>
          <w:color w:val="auto"/>
          <w:szCs w:val="22"/>
          <w:u w:val="none"/>
        </w:rPr>
        <w:fldChar w:fldCharType="separate"/>
      </w:r>
      <w:r>
        <w:rPr>
          <w:rStyle w:val="17"/>
          <w:rFonts w:eastAsia="宋体" w:cstheme="minorBidi"/>
          <w:color w:val="auto"/>
          <w:szCs w:val="22"/>
          <w:u w:val="none"/>
        </w:rPr>
        <w:t>41</w:t>
      </w:r>
      <w:r>
        <w:rPr>
          <w:rStyle w:val="17"/>
          <w:rFonts w:eastAsia="宋体" w:cstheme="minorBidi"/>
          <w:color w:val="auto"/>
          <w:szCs w:val="22"/>
          <w:u w:val="none"/>
        </w:rPr>
        <w:fldChar w:fldCharType="end"/>
      </w:r>
      <w:r>
        <w:rPr>
          <w:rStyle w:val="17"/>
          <w:rFonts w:eastAsia="宋体" w:cstheme="minorBidi"/>
          <w:color w:val="auto"/>
          <w:szCs w:val="22"/>
          <w:u w:val="none"/>
        </w:rPr>
        <w:fldChar w:fldCharType="end"/>
      </w:r>
    </w:p>
    <w:p>
      <w:pPr>
        <w:pStyle w:val="11"/>
        <w:tabs>
          <w:tab w:val="right" w:leader="dot" w:pos="8296"/>
        </w:tabs>
        <w:rPr>
          <w:rStyle w:val="17"/>
          <w:rFonts w:eastAsia="宋体" w:cstheme="minorBidi"/>
          <w:color w:val="auto"/>
          <w:szCs w:val="22"/>
          <w:u w:val="none"/>
        </w:rPr>
      </w:pPr>
      <w:r>
        <w:fldChar w:fldCharType="begin"/>
      </w:r>
      <w:r>
        <w:instrText xml:space="preserve"> HYPERLINK \l "_Toc17809073" </w:instrText>
      </w:r>
      <w:r>
        <w:fldChar w:fldCharType="separate"/>
      </w:r>
      <w:r>
        <w:rPr>
          <w:rStyle w:val="17"/>
          <w:rFonts w:eastAsia="宋体" w:cstheme="minorBidi"/>
          <w:color w:val="auto"/>
          <w:szCs w:val="22"/>
          <w:u w:val="none"/>
        </w:rPr>
        <w:t>Table 12 Macroeconomic and Financial Indicators in the</w:t>
      </w:r>
      <w:r>
        <w:rPr>
          <w:rStyle w:val="17"/>
          <w:rFonts w:eastAsia="宋体" w:cstheme="minorBidi"/>
          <w:color w:val="auto"/>
          <w:szCs w:val="22"/>
          <w:u w:val="none"/>
        </w:rPr>
        <w:tab/>
      </w:r>
      <w:r>
        <w:rPr>
          <w:rStyle w:val="17"/>
          <w:rFonts w:eastAsia="宋体" w:cstheme="minorBidi"/>
          <w:color w:val="auto"/>
          <w:szCs w:val="22"/>
          <w:u w:val="none"/>
        </w:rPr>
        <w:fldChar w:fldCharType="begin"/>
      </w:r>
      <w:r>
        <w:rPr>
          <w:rStyle w:val="17"/>
          <w:rFonts w:eastAsia="宋体" w:cstheme="minorBidi"/>
          <w:color w:val="auto"/>
          <w:szCs w:val="22"/>
          <w:u w:val="none"/>
        </w:rPr>
        <w:instrText xml:space="preserve"> PAGEREF _Toc17809073 \h </w:instrText>
      </w:r>
      <w:r>
        <w:rPr>
          <w:rStyle w:val="17"/>
          <w:rFonts w:eastAsia="宋体" w:cstheme="minorBidi"/>
          <w:color w:val="auto"/>
          <w:szCs w:val="22"/>
          <w:u w:val="none"/>
        </w:rPr>
        <w:fldChar w:fldCharType="separate"/>
      </w:r>
      <w:r>
        <w:rPr>
          <w:rStyle w:val="17"/>
          <w:rFonts w:eastAsia="宋体" w:cstheme="minorBidi"/>
          <w:color w:val="auto"/>
          <w:szCs w:val="22"/>
          <w:u w:val="none"/>
        </w:rPr>
        <w:t>45</w:t>
      </w:r>
      <w:r>
        <w:rPr>
          <w:rStyle w:val="17"/>
          <w:rFonts w:eastAsia="宋体" w:cstheme="minorBidi"/>
          <w:color w:val="auto"/>
          <w:szCs w:val="22"/>
          <w:u w:val="none"/>
        </w:rPr>
        <w:fldChar w:fldCharType="end"/>
      </w:r>
      <w:r>
        <w:rPr>
          <w:rStyle w:val="17"/>
          <w:rFonts w:eastAsia="宋体" w:cstheme="minorBidi"/>
          <w:color w:val="auto"/>
          <w:szCs w:val="22"/>
          <w:u w:val="none"/>
        </w:rPr>
        <w:fldChar w:fldCharType="end"/>
      </w:r>
    </w:p>
    <w:p>
      <w:pPr>
        <w:rPr>
          <w:rStyle w:val="17"/>
          <w:rFonts w:ascii="Times New Roman" w:hAnsi="Times New Roman" w:eastAsia="宋体"/>
          <w:color w:val="auto"/>
          <w:u w:val="none"/>
        </w:rPr>
      </w:pPr>
    </w:p>
    <w:p>
      <w:pPr>
        <w:widowControl/>
        <w:rPr>
          <w:rStyle w:val="17"/>
          <w:rFonts w:ascii="Times New Roman" w:hAnsi="Times New Roman" w:eastAsia="宋体" w:cs="Times New Roman"/>
          <w:color w:val="auto"/>
          <w:u w:val="none"/>
        </w:rPr>
      </w:pPr>
      <w:r>
        <w:rPr>
          <w:rStyle w:val="17"/>
          <w:rFonts w:ascii="Times New Roman" w:hAnsi="Times New Roman" w:eastAsia="宋体" w:cs="Times New Roman"/>
          <w:color w:val="auto"/>
          <w:u w:val="none"/>
        </w:rPr>
        <w:t>Figures</w:t>
      </w:r>
    </w:p>
    <w:p>
      <w:pPr>
        <w:pStyle w:val="11"/>
        <w:tabs>
          <w:tab w:val="right" w:leader="dot" w:pos="8296"/>
        </w:tabs>
        <w:rPr>
          <w:rFonts w:asciiTheme="minorHAnsi" w:hAnsiTheme="minorHAnsi" w:eastAsiaTheme="minorEastAsia" w:cstheme="minorBidi"/>
          <w:szCs w:val="22"/>
        </w:rPr>
      </w:pPr>
      <w:r>
        <w:rPr>
          <w:rStyle w:val="17"/>
          <w:rFonts w:eastAsia="宋体" w:cstheme="minorBidi"/>
          <w:color w:val="auto"/>
          <w:szCs w:val="22"/>
          <w:u w:val="none"/>
        </w:rPr>
        <w:fldChar w:fldCharType="begin"/>
      </w:r>
      <w:r>
        <w:rPr>
          <w:rStyle w:val="17"/>
          <w:rFonts w:eastAsia="宋体" w:cstheme="minorBidi"/>
          <w:color w:val="auto"/>
          <w:szCs w:val="22"/>
          <w:u w:val="none"/>
        </w:rPr>
        <w:instrText xml:space="preserve"> TOC \h \z \c "Figure" </w:instrText>
      </w:r>
      <w:r>
        <w:rPr>
          <w:rStyle w:val="17"/>
          <w:rFonts w:eastAsia="宋体" w:cstheme="minorBidi"/>
          <w:color w:val="auto"/>
          <w:szCs w:val="22"/>
          <w:u w:val="none"/>
        </w:rPr>
        <w:fldChar w:fldCharType="separate"/>
      </w:r>
      <w:r>
        <w:fldChar w:fldCharType="begin"/>
      </w:r>
      <w:r>
        <w:instrText xml:space="preserve"> HYPERLINK \l "_Toc17812261" </w:instrText>
      </w:r>
      <w:r>
        <w:fldChar w:fldCharType="separate"/>
      </w:r>
      <w:r>
        <w:rPr>
          <w:rStyle w:val="17"/>
          <w:b/>
        </w:rPr>
        <w:t>Figure 1. Money-Market Interest Rates</w:t>
      </w:r>
      <w:r>
        <w:tab/>
      </w:r>
      <w:r>
        <w:fldChar w:fldCharType="begin"/>
      </w:r>
      <w:r>
        <w:instrText xml:space="preserve"> PAGEREF _Toc17812261 \h </w:instrText>
      </w:r>
      <w:r>
        <w:fldChar w:fldCharType="separate"/>
      </w:r>
      <w:r>
        <w:t>8</w:t>
      </w:r>
      <w:r>
        <w:fldChar w:fldCharType="end"/>
      </w:r>
      <w:r>
        <w:fldChar w:fldCharType="end"/>
      </w:r>
    </w:p>
    <w:p>
      <w:pPr>
        <w:pStyle w:val="11"/>
        <w:tabs>
          <w:tab w:val="right" w:leader="dot" w:pos="8296"/>
        </w:tabs>
        <w:rPr>
          <w:rFonts w:asciiTheme="minorHAnsi" w:hAnsiTheme="minorHAnsi" w:eastAsiaTheme="minorEastAsia" w:cstheme="minorBidi"/>
          <w:szCs w:val="22"/>
        </w:rPr>
      </w:pPr>
      <w:r>
        <w:fldChar w:fldCharType="begin"/>
      </w:r>
      <w:r>
        <w:instrText xml:space="preserve"> HYPERLINK \l "_Toc17812262" </w:instrText>
      </w:r>
      <w:r>
        <w:fldChar w:fldCharType="separate"/>
      </w:r>
      <w:r>
        <w:rPr>
          <w:rStyle w:val="17"/>
          <w:b/>
        </w:rPr>
        <w:t>Figure 2 Monthly RMB Payments and Receipts under the Current Account</w:t>
      </w:r>
      <w:r>
        <w:tab/>
      </w:r>
      <w:r>
        <w:fldChar w:fldCharType="begin"/>
      </w:r>
      <w:r>
        <w:instrText xml:space="preserve"> PAGEREF _Toc17812262 \h </w:instrText>
      </w:r>
      <w:r>
        <w:fldChar w:fldCharType="separate"/>
      </w:r>
      <w:r>
        <w:t>17</w:t>
      </w:r>
      <w:r>
        <w:fldChar w:fldCharType="end"/>
      </w:r>
      <w:r>
        <w:fldChar w:fldCharType="end"/>
      </w:r>
    </w:p>
    <w:p>
      <w:pPr>
        <w:pStyle w:val="11"/>
        <w:tabs>
          <w:tab w:val="right" w:leader="dot" w:pos="8296"/>
        </w:tabs>
        <w:rPr>
          <w:rFonts w:asciiTheme="minorHAnsi" w:hAnsiTheme="minorHAnsi" w:eastAsiaTheme="minorEastAsia" w:cstheme="minorBidi"/>
          <w:szCs w:val="22"/>
        </w:rPr>
      </w:pPr>
      <w:r>
        <w:fldChar w:fldCharType="begin"/>
      </w:r>
      <w:r>
        <w:instrText xml:space="preserve"> HYPERLINK \l "_Toc17812263" </w:instrText>
      </w:r>
      <w:r>
        <w:fldChar w:fldCharType="separate"/>
      </w:r>
      <w:r>
        <w:rPr>
          <w:rStyle w:val="17"/>
          <w:b/>
          <w:bCs/>
        </w:rPr>
        <w:t>Figure 3 Yield Curves of Government Securities on the Interbank Market</w:t>
      </w:r>
      <w:r>
        <w:tab/>
      </w:r>
      <w:r>
        <w:fldChar w:fldCharType="begin"/>
      </w:r>
      <w:r>
        <w:instrText xml:space="preserve"> PAGEREF _Toc17812263 \h </w:instrText>
      </w:r>
      <w:r>
        <w:fldChar w:fldCharType="separate"/>
      </w:r>
      <w:r>
        <w:t>38</w:t>
      </w:r>
      <w:r>
        <w:fldChar w:fldCharType="end"/>
      </w:r>
      <w:r>
        <w:fldChar w:fldCharType="end"/>
      </w:r>
    </w:p>
    <w:p>
      <w:pPr>
        <w:widowControl/>
        <w:rPr>
          <w:rStyle w:val="17"/>
          <w:rFonts w:eastAsia="宋体"/>
          <w:color w:val="auto"/>
          <w:u w:val="none"/>
        </w:rPr>
      </w:pPr>
      <w:r>
        <w:rPr>
          <w:rStyle w:val="17"/>
          <w:rFonts w:eastAsia="宋体"/>
          <w:color w:val="auto"/>
          <w:u w:val="none"/>
        </w:rPr>
        <w:fldChar w:fldCharType="end"/>
      </w:r>
    </w:p>
    <w:p>
      <w:pPr>
        <w:rPr>
          <w:rStyle w:val="17"/>
          <w:rFonts w:ascii="Times New Roman" w:hAnsi="Times New Roman" w:eastAsia="宋体"/>
          <w:color w:val="auto"/>
          <w:u w:val="none"/>
        </w:rPr>
      </w:pPr>
    </w:p>
    <w:p>
      <w:pPr>
        <w:rPr>
          <w:rStyle w:val="17"/>
          <w:rFonts w:ascii="Times New Roman" w:hAnsi="Times New Roman" w:eastAsia="宋体"/>
          <w:color w:val="auto"/>
          <w:u w:val="none"/>
        </w:rPr>
      </w:pPr>
    </w:p>
    <w:p>
      <w:pPr>
        <w:rPr>
          <w:rStyle w:val="17"/>
          <w:rFonts w:ascii="Times New Roman" w:hAnsi="Times New Roman" w:eastAsia="宋体"/>
          <w:color w:val="auto"/>
          <w:u w:val="none"/>
        </w:rPr>
      </w:pPr>
    </w:p>
    <w:p>
      <w:pPr>
        <w:rPr>
          <w:rStyle w:val="17"/>
          <w:rFonts w:ascii="Times New Roman" w:hAnsi="Times New Roman"/>
        </w:rPr>
      </w:pPr>
      <w:r>
        <w:rPr>
          <w:rStyle w:val="17"/>
          <w:rFonts w:ascii="Times New Roman" w:hAnsi="Times New Roman" w:eastAsia="宋体"/>
          <w:color w:val="auto"/>
          <w:u w:val="none"/>
        </w:rPr>
        <w:fldChar w:fldCharType="end"/>
      </w:r>
    </w:p>
    <w:p>
      <w:pPr>
        <w:pStyle w:val="6"/>
      </w:pPr>
    </w:p>
    <w:p/>
    <w:p>
      <w:pPr>
        <w:widowControl/>
        <w:jc w:val="center"/>
        <w:rPr>
          <w:rFonts w:ascii="Times New Roman" w:hAnsi="Times New Roman" w:cs="Times New Roman"/>
          <w:sz w:val="24"/>
        </w:rPr>
      </w:pPr>
    </w:p>
    <w:p>
      <w:pPr>
        <w:widowControl/>
        <w:jc w:val="left"/>
        <w:rPr>
          <w:rFonts w:ascii="Times New Roman" w:hAnsi="Times New Roman" w:cs="Times New Roman"/>
          <w:sz w:val="24"/>
        </w:rPr>
      </w:pPr>
    </w:p>
    <w:p>
      <w:pPr>
        <w:widowControl/>
        <w:jc w:val="left"/>
        <w:rPr>
          <w:rFonts w:ascii="Times New Roman" w:hAnsi="Times New Roman" w:eastAsia="Times New Roman" w:cs="Times New Roman"/>
          <w:b/>
          <w:bCs/>
          <w:kern w:val="44"/>
          <w:sz w:val="24"/>
          <w:szCs w:val="44"/>
        </w:rPr>
      </w:pPr>
    </w:p>
    <w:p>
      <w:pPr>
        <w:widowControl/>
        <w:jc w:val="left"/>
        <w:rPr>
          <w:rFonts w:ascii="Times New Roman" w:hAnsi="Times New Roman" w:eastAsia="Times New Roman" w:cs="Times New Roman"/>
          <w:b/>
          <w:bCs/>
          <w:kern w:val="44"/>
          <w:sz w:val="24"/>
          <w:szCs w:val="44"/>
        </w:rPr>
      </w:pPr>
      <w:bookmarkStart w:id="0" w:name="_Toc17798253"/>
      <w:r>
        <w:rPr>
          <w:rFonts w:ascii="Times New Roman" w:hAnsi="Times New Roman" w:cs="Times New Roman"/>
        </w:rPr>
        <w:br w:type="page"/>
      </w:r>
    </w:p>
    <w:p>
      <w:pPr>
        <w:pStyle w:val="2"/>
        <w:rPr>
          <w:rFonts w:ascii="Times New Roman" w:hAnsi="Times New Roman" w:cs="Times New Roman"/>
        </w:rPr>
      </w:pPr>
      <w:bookmarkStart w:id="1" w:name="_Toc17808061"/>
      <w:bookmarkStart w:id="2" w:name="_Toc17808022"/>
      <w:bookmarkStart w:id="3" w:name="_Toc17807908"/>
      <w:r>
        <w:rPr>
          <w:rFonts w:ascii="Times New Roman" w:hAnsi="Times New Roman" w:cs="Times New Roman"/>
        </w:rPr>
        <w:t>Part 1. Money and Credit Analysis</w:t>
      </w:r>
      <w:bookmarkEnd w:id="0"/>
      <w:bookmarkEnd w:id="1"/>
      <w:bookmarkEnd w:id="2"/>
      <w:bookmarkEnd w:id="3"/>
    </w:p>
    <w:p>
      <w:pPr>
        <w:rPr>
          <w:rFonts w:ascii="Times New Roman" w:hAnsi="Times New Roman" w:cs="Times New Roman"/>
          <w:sz w:val="24"/>
          <w:szCs w:val="24"/>
        </w:rPr>
      </w:pPr>
    </w:p>
    <w:p>
      <w:pPr>
        <w:widowControl/>
        <w:rPr>
          <w:rFonts w:ascii="Times New Roman" w:hAnsi="Times New Roman" w:cs="Times New Roman"/>
          <w:sz w:val="24"/>
          <w:szCs w:val="24"/>
        </w:rPr>
      </w:pPr>
      <w:r>
        <w:rPr>
          <w:rFonts w:ascii="Times New Roman" w:hAnsi="Times New Roman" w:cs="Times New Roman"/>
          <w:sz w:val="24"/>
          <w:szCs w:val="24"/>
        </w:rPr>
        <w:t>From the beginning of 2019, following the policy arrangements of the CPC Central Committee and the State Council, the PBC pursued a sound monetary policy, deepened financial supply-side structural reforms, and maintained steady credit growth. It also promoted optimization of the credit structure, implemented a wide range of measures to effectively resolve the partial and structural liquidity risks of small and medium banks, improved the transmission of monetary policy, and reduced</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financing barriers and costs </w:t>
      </w:r>
      <w:r>
        <w:rPr>
          <w:rFonts w:hint="eastAsia" w:ascii="Times New Roman" w:hAnsi="Times New Roman" w:cs="Times New Roman"/>
          <w:sz w:val="24"/>
          <w:szCs w:val="24"/>
        </w:rPr>
        <w:t>for</w:t>
      </w:r>
      <w:r>
        <w:rPr>
          <w:rFonts w:ascii="Times New Roman" w:hAnsi="Times New Roman" w:cs="Times New Roman"/>
          <w:sz w:val="24"/>
          <w:szCs w:val="24"/>
        </w:rPr>
        <w:t xml:space="preserve"> private firms and micro and small businesses (MSBs). Market expectations improved notably and financial support for the real economy continued to be strengthened.</w:t>
      </w:r>
      <w:bookmarkStart w:id="4" w:name="_Toc11317905"/>
    </w:p>
    <w:p>
      <w:pPr>
        <w:widowControl/>
        <w:rPr>
          <w:rFonts w:ascii="Times New Roman" w:hAnsi="Times New Roman" w:cs="Times New Roman"/>
          <w:sz w:val="24"/>
          <w:szCs w:val="24"/>
        </w:rPr>
      </w:pPr>
    </w:p>
    <w:p>
      <w:pPr>
        <w:pStyle w:val="3"/>
        <w:ind w:firstLine="0" w:firstLineChars="0"/>
      </w:pPr>
      <w:bookmarkStart w:id="5" w:name="_Toc17798254"/>
      <w:bookmarkStart w:id="6" w:name="_Toc17808023"/>
      <w:bookmarkStart w:id="7" w:name="_Toc17808062"/>
      <w:bookmarkStart w:id="8" w:name="_Toc17807909"/>
      <w:r>
        <w:rPr>
          <w:rFonts w:ascii="Times New Roman" w:hAnsi="Times New Roman" w:eastAsia="黑体"/>
          <w:kern w:val="0"/>
        </w:rPr>
        <w:t xml:space="preserve">I. Liquidity in the banking system was </w:t>
      </w:r>
      <w:bookmarkEnd w:id="4"/>
      <w:r>
        <w:rPr>
          <w:rFonts w:ascii="Times New Roman" w:hAnsi="Times New Roman" w:eastAsia="黑体"/>
          <w:kern w:val="0"/>
        </w:rPr>
        <w:t>adequat</w:t>
      </w:r>
      <w:r>
        <w:rPr>
          <w:rFonts w:eastAsia="黑体"/>
          <w:kern w:val="0"/>
        </w:rPr>
        <w:t>e</w:t>
      </w:r>
      <w:bookmarkEnd w:id="5"/>
      <w:bookmarkEnd w:id="6"/>
      <w:bookmarkEnd w:id="7"/>
      <w:bookmarkEnd w:id="8"/>
    </w:p>
    <w:p>
      <w:pPr>
        <w:widowControl/>
        <w:rPr>
          <w:rFonts w:ascii="Times New Roman" w:hAnsi="Times New Roman" w:cs="Times New Roman"/>
          <w:sz w:val="24"/>
          <w:szCs w:val="24"/>
        </w:rPr>
      </w:pPr>
      <w:r>
        <w:rPr>
          <w:rFonts w:ascii="Times New Roman" w:hAnsi="Times New Roman" w:cs="Times New Roman"/>
          <w:sz w:val="24"/>
          <w:szCs w:val="24"/>
        </w:rPr>
        <w:t xml:space="preserve">In the first half of 2019, the PBC continued to pursue a sound monetary policy against the backdrop of the complicated internal and external environments. To ensure </w:t>
      </w:r>
      <w:r>
        <w:rPr>
          <w:rFonts w:ascii="Times New Roman" w:hAnsi="Times New Roman" w:eastAsia="黑体" w:cs="Times New Roman"/>
          <w:bCs/>
          <w:iCs/>
          <w:color w:val="000000" w:themeColor="text1"/>
          <w:kern w:val="0"/>
          <w:sz w:val="24"/>
          <w:szCs w:val="24"/>
          <w14:textFill>
            <w14:solidFill>
              <w14:schemeClr w14:val="tx1"/>
            </w14:solidFill>
          </w14:textFill>
        </w:rPr>
        <w:t xml:space="preserve">adequate </w:t>
      </w:r>
      <w:r>
        <w:rPr>
          <w:rFonts w:ascii="Times New Roman" w:hAnsi="Times New Roman" w:cs="Times New Roman"/>
          <w:sz w:val="24"/>
          <w:szCs w:val="24"/>
        </w:rPr>
        <w:t>liquidity in the banking system and keep money-market interest rates stable, the PBC made timely and appropriate counter-cyclical adjustments and applied various policy instruments, such as open market operations, required reserve ratio (RRR)</w:t>
      </w:r>
      <w:r>
        <w:rPr>
          <w:rFonts w:hint="eastAsia" w:ascii="Times New Roman" w:hAnsi="Times New Roman" w:cs="Times New Roman"/>
          <w:sz w:val="24"/>
          <w:szCs w:val="24"/>
        </w:rPr>
        <w:t xml:space="preserve"> cuts</w:t>
      </w:r>
      <w:r>
        <w:rPr>
          <w:rFonts w:ascii="Times New Roman" w:hAnsi="Times New Roman" w:cs="Times New Roman"/>
          <w:sz w:val="24"/>
          <w:szCs w:val="24"/>
        </w:rPr>
        <w:t xml:space="preserve">, the Targeted Medium-term Lending Facility (TMLF), and </w:t>
      </w:r>
      <w:r>
        <w:rPr>
          <w:rFonts w:hint="eastAsia" w:ascii="Times New Roman" w:hAnsi="Times New Roman" w:cs="Times New Roman"/>
          <w:sz w:val="24"/>
          <w:szCs w:val="24"/>
        </w:rPr>
        <w:t>central</w:t>
      </w:r>
      <w:r>
        <w:rPr>
          <w:rFonts w:ascii="Times New Roman" w:hAnsi="Times New Roman" w:cs="Times New Roman"/>
          <w:sz w:val="24"/>
          <w:szCs w:val="24"/>
        </w:rPr>
        <w:t>-</w:t>
      </w:r>
      <w:r>
        <w:rPr>
          <w:rFonts w:hint="eastAsia" w:ascii="Times New Roman" w:hAnsi="Times New Roman" w:cs="Times New Roman"/>
          <w:sz w:val="24"/>
          <w:szCs w:val="24"/>
        </w:rPr>
        <w:t>bank lending/discount</w:t>
      </w:r>
      <w:r>
        <w:rPr>
          <w:rFonts w:ascii="Times New Roman" w:hAnsi="Times New Roman" w:cs="Times New Roman"/>
          <w:sz w:val="24"/>
          <w:szCs w:val="24"/>
        </w:rPr>
        <w:t>s. At end-June, the excess reserve ratio for financial institutions was 2.0 percent, 0.4 percentage point lower than that at the end of the last year, though 0.2 percentage point</w:t>
      </w:r>
      <w:r>
        <w:rPr>
          <w:rFonts w:hint="eastAsia" w:ascii="Times New Roman" w:hAnsi="Times New Roman" w:cs="Times New Roman"/>
          <w:sz w:val="24"/>
          <w:szCs w:val="24"/>
        </w:rPr>
        <w:t xml:space="preserve"> higher</w:t>
      </w:r>
      <w:r>
        <w:rPr>
          <w:rFonts w:ascii="Times New Roman" w:hAnsi="Times New Roman" w:cs="Times New Roman"/>
          <w:sz w:val="24"/>
          <w:szCs w:val="24"/>
        </w:rPr>
        <w:t xml:space="preserve"> </w:t>
      </w:r>
      <w:r>
        <w:rPr>
          <w:rFonts w:hint="eastAsia" w:ascii="Times New Roman" w:hAnsi="Times New Roman" w:cs="Times New Roman"/>
          <w:sz w:val="24"/>
          <w:szCs w:val="24"/>
        </w:rPr>
        <w:t>than</w:t>
      </w:r>
      <w:r>
        <w:rPr>
          <w:rFonts w:ascii="Times New Roman" w:hAnsi="Times New Roman" w:cs="Times New Roman"/>
          <w:sz w:val="24"/>
          <w:szCs w:val="24"/>
        </w:rPr>
        <w:t xml:space="preserve"> that in the same period of the last year.</w:t>
      </w:r>
      <w:bookmarkStart w:id="9" w:name="_Toc11317464"/>
    </w:p>
    <w:p>
      <w:pPr>
        <w:widowControl/>
        <w:rPr>
          <w:rFonts w:ascii="Times New Roman" w:hAnsi="Times New Roman" w:cs="Times New Roman"/>
          <w:sz w:val="24"/>
          <w:szCs w:val="24"/>
        </w:rPr>
      </w:pPr>
    </w:p>
    <w:p>
      <w:pPr>
        <w:pStyle w:val="5"/>
        <w:jc w:val="center"/>
        <w:rPr>
          <w:rFonts w:ascii="Times New Roman" w:hAnsi="Times New Roman" w:eastAsia="宋体" w:cs="Times New Roman"/>
          <w:b/>
          <w:sz w:val="24"/>
          <w:szCs w:val="24"/>
        </w:rPr>
      </w:pPr>
      <w:bookmarkStart w:id="10" w:name="_Toc17807910"/>
      <w:bookmarkStart w:id="11" w:name="_Toc17799209"/>
      <w:bookmarkStart w:id="12" w:name="_Toc17812261"/>
      <w:r>
        <w:rPr>
          <w:b/>
          <w:sz w:val="24"/>
          <w:szCs w:val="24"/>
        </w:rPr>
        <w:t xml:space="preserve">Figure </w:t>
      </w:r>
      <w:r>
        <w:rPr>
          <w:b/>
          <w:sz w:val="24"/>
          <w:szCs w:val="24"/>
        </w:rPr>
        <w:fldChar w:fldCharType="begin"/>
      </w:r>
      <w:r>
        <w:rPr>
          <w:b/>
          <w:sz w:val="24"/>
          <w:szCs w:val="24"/>
        </w:rPr>
        <w:instrText xml:space="preserve"> SEQ Figure \* ARABIC </w:instrText>
      </w:r>
      <w:r>
        <w:rPr>
          <w:b/>
          <w:sz w:val="24"/>
          <w:szCs w:val="24"/>
        </w:rPr>
        <w:fldChar w:fldCharType="separate"/>
      </w:r>
      <w:r>
        <w:rPr>
          <w:b/>
          <w:sz w:val="24"/>
          <w:szCs w:val="24"/>
        </w:rPr>
        <w:t>1</w:t>
      </w:r>
      <w:r>
        <w:rPr>
          <w:b/>
          <w:sz w:val="24"/>
          <w:szCs w:val="24"/>
        </w:rPr>
        <w:fldChar w:fldCharType="end"/>
      </w:r>
      <w:bookmarkEnd w:id="9"/>
      <w:r>
        <w:rPr>
          <w:rFonts w:ascii="Times New Roman" w:hAnsi="Times New Roman" w:eastAsia="宋体" w:cs="Times New Roman"/>
          <w:b/>
          <w:sz w:val="24"/>
          <w:szCs w:val="24"/>
        </w:rPr>
        <w:t>. Money-Market Interest Rates</w:t>
      </w:r>
      <w:bookmarkEnd w:id="10"/>
      <w:bookmarkEnd w:id="11"/>
      <w:bookmarkEnd w:id="12"/>
    </w:p>
    <w:p>
      <w:pPr>
        <w:widowControl/>
        <w:rPr>
          <w:rFonts w:ascii="Times New Roman" w:hAnsi="Times New Roman" w:cs="Times New Roman"/>
          <w:b/>
          <w:sz w:val="24"/>
          <w:szCs w:val="24"/>
        </w:rPr>
      </w:pPr>
      <w:r>
        <w:rPr>
          <w:rFonts w:ascii="Times New Roman" w:hAnsi="Times New Roman" w:cs="Times New Roman"/>
          <w:b/>
          <w:sz w:val="24"/>
          <w:szCs w:val="24"/>
        </w:rPr>
        <w:drawing>
          <wp:inline distT="0" distB="0" distL="0" distR="0">
            <wp:extent cx="5276850" cy="3276600"/>
            <wp:effectExtent l="0" t="0" r="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widowControl/>
        <w:rPr>
          <w:rFonts w:ascii="Times New Roman" w:hAnsi="Times New Roman" w:cs="Times New Roman"/>
          <w:sz w:val="24"/>
          <w:szCs w:val="24"/>
        </w:rPr>
      </w:pPr>
    </w:p>
    <w:p>
      <w:pPr>
        <w:widowControl/>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 xml:space="preserve">Source: </w:t>
      </w:r>
      <w:r>
        <w:fldChar w:fldCharType="begin"/>
      </w:r>
      <w:r>
        <w:instrText xml:space="preserve"> HYPERLINK "http://www.chinamoney.com.cn" </w:instrText>
      </w:r>
      <w:r>
        <w:fldChar w:fldCharType="separate"/>
      </w:r>
      <w:r>
        <w:rPr>
          <w:rStyle w:val="17"/>
          <w:rFonts w:ascii="Times New Roman" w:hAnsi="Times New Roman" w:cs="Times New Roman"/>
          <w:kern w:val="0"/>
          <w:sz w:val="24"/>
          <w:szCs w:val="24"/>
        </w:rPr>
        <w:t>www.chinamoney.com.cn</w:t>
      </w:r>
      <w:r>
        <w:rPr>
          <w:rStyle w:val="17"/>
          <w:rFonts w:ascii="Times New Roman" w:hAnsi="Times New Roman" w:cs="Times New Roman"/>
          <w:kern w:val="0"/>
          <w:sz w:val="24"/>
          <w:szCs w:val="24"/>
        </w:rPr>
        <w:fldChar w:fldCharType="end"/>
      </w:r>
      <w:r>
        <w:rPr>
          <w:rFonts w:ascii="Times New Roman" w:hAnsi="Times New Roman" w:cs="Times New Roman"/>
          <w:color w:val="000000" w:themeColor="text1"/>
          <w:kern w:val="0"/>
          <w:sz w:val="24"/>
          <w:szCs w:val="24"/>
          <w14:textFill>
            <w14:solidFill>
              <w14:schemeClr w14:val="tx1"/>
            </w14:solidFill>
          </w14:textFill>
        </w:rPr>
        <w:t>.</w:t>
      </w:r>
      <w:bookmarkStart w:id="13" w:name="_Toc11317906"/>
    </w:p>
    <w:p>
      <w:pPr>
        <w:widowControl/>
        <w:rPr>
          <w:rFonts w:ascii="Times New Roman" w:hAnsi="Times New Roman" w:cs="Times New Roman"/>
          <w:color w:val="000000" w:themeColor="text1"/>
          <w:kern w:val="0"/>
          <w:sz w:val="24"/>
          <w:szCs w:val="24"/>
          <w14:textFill>
            <w14:solidFill>
              <w14:schemeClr w14:val="tx1"/>
            </w14:solidFill>
          </w14:textFill>
        </w:rPr>
      </w:pPr>
    </w:p>
    <w:p>
      <w:pPr>
        <w:pStyle w:val="3"/>
        <w:ind w:firstLine="0" w:firstLineChars="0"/>
        <w:rPr>
          <w:rFonts w:ascii="Times New Roman" w:hAnsi="Times New Roman" w:eastAsiaTheme="minorEastAsia"/>
          <w:kern w:val="0"/>
        </w:rPr>
      </w:pPr>
      <w:bookmarkStart w:id="14" w:name="_Toc17807911"/>
      <w:bookmarkStart w:id="15" w:name="_Toc17808063"/>
      <w:bookmarkStart w:id="16" w:name="_Toc17808024"/>
      <w:bookmarkStart w:id="17" w:name="_Toc17798255"/>
      <w:r>
        <w:rPr>
          <w:rFonts w:ascii="Times New Roman" w:hAnsi="Times New Roman" w:eastAsia="黑体"/>
          <w:kern w:val="0"/>
        </w:rPr>
        <w:t>II. Lending by financial institutions grew quite rapidly</w:t>
      </w:r>
      <w:bookmarkEnd w:id="13"/>
      <w:r>
        <w:rPr>
          <w:rFonts w:ascii="Times New Roman" w:hAnsi="Times New Roman" w:eastAsia="黑体"/>
          <w:kern w:val="0"/>
        </w:rPr>
        <w:t>, whereas lending rates dipped slightly</w:t>
      </w:r>
      <w:bookmarkEnd w:id="14"/>
      <w:bookmarkEnd w:id="15"/>
      <w:bookmarkEnd w:id="16"/>
      <w:bookmarkEnd w:id="17"/>
    </w:p>
    <w:p>
      <w:pPr>
        <w:widowControl/>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b/>
          <w:bCs/>
          <w:color w:val="000000" w:themeColor="text1"/>
          <w:kern w:val="0"/>
          <w:sz w:val="24"/>
          <w:szCs w:val="24"/>
          <w14:textFill>
            <w14:solidFill>
              <w14:schemeClr w14:val="tx1"/>
            </w14:solidFill>
          </w14:textFill>
        </w:rPr>
        <w:t>Lending grew rapidly, providing strong and st</w:t>
      </w:r>
      <w:r>
        <w:rPr>
          <w:rFonts w:hint="eastAsia" w:ascii="Times New Roman" w:hAnsi="Times New Roman" w:cs="Times New Roman"/>
          <w:b/>
          <w:bCs/>
          <w:color w:val="000000" w:themeColor="text1"/>
          <w:kern w:val="0"/>
          <w:sz w:val="24"/>
          <w:szCs w:val="24"/>
          <w14:textFill>
            <w14:solidFill>
              <w14:schemeClr w14:val="tx1"/>
            </w14:solidFill>
          </w14:textFill>
        </w:rPr>
        <w:t>eady</w:t>
      </w:r>
      <w:r>
        <w:rPr>
          <w:rFonts w:ascii="Times New Roman" w:hAnsi="Times New Roman" w:cs="Times New Roman"/>
          <w:b/>
          <w:bCs/>
          <w:color w:val="000000" w:themeColor="text1"/>
          <w:kern w:val="0"/>
          <w:sz w:val="24"/>
          <w:szCs w:val="24"/>
          <w14:textFill>
            <w14:solidFill>
              <w14:schemeClr w14:val="tx1"/>
            </w14:solidFill>
          </w14:textFill>
        </w:rPr>
        <w:t xml:space="preserve"> support for the real economy. </w:t>
      </w:r>
      <w:r>
        <w:rPr>
          <w:rFonts w:ascii="Times New Roman" w:hAnsi="Times New Roman" w:cs="Times New Roman"/>
          <w:color w:val="000000" w:themeColor="text1"/>
          <w:kern w:val="0"/>
          <w:sz w:val="24"/>
          <w:szCs w:val="24"/>
          <w14:textFill>
            <w14:solidFill>
              <w14:schemeClr w14:val="tx1"/>
            </w14:solidFill>
          </w14:textFill>
        </w:rPr>
        <w:t xml:space="preserve">At end-June, outstanding loans by financial institutions in domestic and foreign currencies grew 12.5 percent year on year to RMB 151.6 trillion, up by RMB 9.8 trillion from the beginning of the year and adding RMB 635.7 billion </w:t>
      </w:r>
      <w:r>
        <w:rPr>
          <w:rFonts w:hint="eastAsia" w:ascii="Times New Roman" w:hAnsi="Times New Roman" w:cs="Times New Roman"/>
          <w:color w:val="000000" w:themeColor="text1"/>
          <w:kern w:val="0"/>
          <w:sz w:val="24"/>
          <w:szCs w:val="24"/>
          <w14:textFill>
            <w14:solidFill>
              <w14:schemeClr w14:val="tx1"/>
            </w14:solidFill>
          </w14:textFill>
        </w:rPr>
        <w:t>over growth in H1 2018</w:t>
      </w:r>
      <w:r>
        <w:rPr>
          <w:rFonts w:ascii="Times New Roman" w:hAnsi="Times New Roman" w:cs="Times New Roman"/>
          <w:color w:val="000000" w:themeColor="text1"/>
          <w:kern w:val="0"/>
          <w:sz w:val="24"/>
          <w:szCs w:val="24"/>
          <w14:textFill>
            <w14:solidFill>
              <w14:schemeClr w14:val="tx1"/>
            </w14:solidFill>
          </w14:textFill>
        </w:rPr>
        <w:t xml:space="preserve">. Outstanding RMB-denominated loans grew 13.0 percent year on year to reach RMB 146.0 trillion, up by RMB 9.7 trillion from the beginning of the year and </w:t>
      </w:r>
      <w:r>
        <w:rPr>
          <w:rFonts w:hint="eastAsia" w:ascii="Times New Roman" w:hAnsi="Times New Roman" w:cs="Times New Roman"/>
          <w:color w:val="000000" w:themeColor="text1"/>
          <w:kern w:val="0"/>
          <w:sz w:val="24"/>
          <w:szCs w:val="24"/>
          <w14:textFill>
            <w14:solidFill>
              <w14:schemeClr w14:val="tx1"/>
            </w14:solidFill>
          </w14:textFill>
        </w:rPr>
        <w:t>adding</w:t>
      </w:r>
      <w:r>
        <w:rPr>
          <w:rFonts w:ascii="Times New Roman" w:hAnsi="Times New Roman" w:cs="Times New Roman"/>
          <w:color w:val="000000" w:themeColor="text1"/>
          <w:kern w:val="0"/>
          <w:sz w:val="24"/>
          <w:szCs w:val="24"/>
          <w14:textFill>
            <w14:solidFill>
              <w14:schemeClr w14:val="tx1"/>
            </w14:solidFill>
          </w14:textFill>
        </w:rPr>
        <w:t xml:space="preserve"> RMB 644.0 billion </w:t>
      </w:r>
      <w:r>
        <w:rPr>
          <w:rFonts w:hint="eastAsia" w:ascii="Times New Roman" w:hAnsi="Times New Roman" w:cs="Times New Roman"/>
          <w:color w:val="000000" w:themeColor="text1"/>
          <w:kern w:val="0"/>
          <w:sz w:val="24"/>
          <w:szCs w:val="24"/>
          <w14:textFill>
            <w14:solidFill>
              <w14:schemeClr w14:val="tx1"/>
            </w14:solidFill>
          </w14:textFill>
        </w:rPr>
        <w:t>to its growth in H1 2018</w:t>
      </w:r>
      <w:r>
        <w:rPr>
          <w:rFonts w:ascii="Times New Roman" w:hAnsi="Times New Roman" w:cs="Times New Roman"/>
          <w:color w:val="000000" w:themeColor="text1"/>
          <w:kern w:val="0"/>
          <w:sz w:val="24"/>
          <w:szCs w:val="24"/>
          <w14:textFill>
            <w14:solidFill>
              <w14:schemeClr w14:val="tx1"/>
            </w14:solidFill>
          </w14:textFill>
        </w:rPr>
        <w:t>.</w:t>
      </w:r>
    </w:p>
    <w:p>
      <w:pPr>
        <w:widowControl/>
        <w:rPr>
          <w:rFonts w:ascii="Times New Roman" w:hAnsi="Times New Roman" w:cs="Times New Roman"/>
          <w:color w:val="000000" w:themeColor="text1"/>
          <w:kern w:val="0"/>
          <w:sz w:val="24"/>
          <w:szCs w:val="24"/>
          <w14:textFill>
            <w14:solidFill>
              <w14:schemeClr w14:val="tx1"/>
            </w14:solidFill>
          </w14:textFill>
        </w:rPr>
      </w:pPr>
    </w:p>
    <w:p>
      <w:pPr>
        <w:widowControl/>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b/>
          <w:bCs/>
          <w:color w:val="000000" w:themeColor="text1"/>
          <w:kern w:val="0"/>
          <w:sz w:val="24"/>
          <w:szCs w:val="24"/>
          <w14:textFill>
            <w14:solidFill>
              <w14:schemeClr w14:val="tx1"/>
            </w14:solidFill>
          </w14:textFill>
        </w:rPr>
        <w:t xml:space="preserve">The credit structure continued to improve as loans to MSBs increased rapidly. </w:t>
      </w:r>
      <w:r>
        <w:rPr>
          <w:rFonts w:ascii="Times New Roman" w:hAnsi="Times New Roman" w:cs="Times New Roman"/>
          <w:color w:val="000000" w:themeColor="text1"/>
          <w:kern w:val="0"/>
          <w:sz w:val="24"/>
          <w:szCs w:val="24"/>
          <w14:textFill>
            <w14:solidFill>
              <w14:schemeClr w14:val="tx1"/>
            </w14:solidFill>
          </w14:textFill>
        </w:rPr>
        <w:t>Since 2019</w:t>
      </w:r>
      <w:r>
        <w:rPr>
          <w:rFonts w:ascii="Times New Roman" w:hAnsi="Times New Roman" w:cs="Times New Roman"/>
          <w:b/>
          <w:bCs/>
          <w:color w:val="000000" w:themeColor="text1"/>
          <w:kern w:val="0"/>
          <w:sz w:val="24"/>
          <w:szCs w:val="24"/>
          <w14:textFill>
            <w14:solidFill>
              <w14:schemeClr w14:val="tx1"/>
            </w14:solidFill>
          </w14:textFill>
        </w:rPr>
        <w:t>, t</w:t>
      </w:r>
      <w:r>
        <w:rPr>
          <w:rFonts w:ascii="Times New Roman" w:hAnsi="Times New Roman" w:cs="Times New Roman"/>
          <w:color w:val="000000" w:themeColor="text1"/>
          <w:kern w:val="0"/>
          <w:sz w:val="24"/>
          <w:szCs w:val="24"/>
          <w14:textFill>
            <w14:solidFill>
              <w14:schemeClr w14:val="tx1"/>
            </w14:solidFill>
          </w14:textFill>
        </w:rPr>
        <w:t xml:space="preserve">he PBC has continued to encourage financial institutions to enhance their credit support to MSBs, which has gradually yielded good results. Inclusive MSB loans rose by RMB 1.2 trillion in the first half of the year, </w:t>
      </w:r>
      <w:r>
        <w:rPr>
          <w:rFonts w:hint="eastAsia" w:ascii="Times New Roman" w:hAnsi="Times New Roman" w:cs="Times New Roman"/>
          <w:color w:val="000000" w:themeColor="text1"/>
          <w:kern w:val="0"/>
          <w:sz w:val="24"/>
          <w:szCs w:val="24"/>
          <w14:textFill>
            <w14:solidFill>
              <w14:schemeClr w14:val="tx1"/>
            </w14:solidFill>
          </w14:textFill>
        </w:rPr>
        <w:t>adding</w:t>
      </w:r>
      <w:r>
        <w:rPr>
          <w:rFonts w:ascii="Times New Roman" w:hAnsi="Times New Roman" w:cs="Times New Roman"/>
          <w:color w:val="000000" w:themeColor="text1"/>
          <w:kern w:val="0"/>
          <w:sz w:val="24"/>
          <w:szCs w:val="24"/>
          <w14:textFill>
            <w14:solidFill>
              <w14:schemeClr w14:val="tx1"/>
            </w14:solidFill>
          </w14:textFill>
        </w:rPr>
        <w:t xml:space="preserve"> RMB 647.8 billion</w:t>
      </w:r>
      <w:r>
        <w:rPr>
          <w:rFonts w:hint="eastAsia" w:ascii="Times New Roman" w:hAnsi="Times New Roman" w:cs="Times New Roman"/>
          <w:color w:val="000000" w:themeColor="text1"/>
          <w:kern w:val="0"/>
          <w:sz w:val="24"/>
          <w:szCs w:val="24"/>
          <w14:textFill>
            <w14:solidFill>
              <w14:schemeClr w14:val="tx1"/>
            </w14:solidFill>
          </w14:textFill>
        </w:rPr>
        <w:t xml:space="preserve"> to </w:t>
      </w:r>
      <w:r>
        <w:rPr>
          <w:rFonts w:ascii="Times New Roman" w:hAnsi="Times New Roman" w:cs="Times New Roman"/>
          <w:color w:val="000000" w:themeColor="text1"/>
          <w:kern w:val="0"/>
          <w:sz w:val="24"/>
          <w:szCs w:val="24"/>
          <w14:textFill>
            <w14:solidFill>
              <w14:schemeClr w14:val="tx1"/>
            </w14:solidFill>
          </w14:textFill>
        </w:rPr>
        <w:t>their</w:t>
      </w:r>
      <w:r>
        <w:rPr>
          <w:rFonts w:hint="eastAsia" w:ascii="Times New Roman" w:hAnsi="Times New Roman" w:cs="Times New Roman"/>
          <w:color w:val="000000" w:themeColor="text1"/>
          <w:kern w:val="0"/>
          <w:sz w:val="24"/>
          <w:szCs w:val="24"/>
          <w14:textFill>
            <w14:solidFill>
              <w14:schemeClr w14:val="tx1"/>
            </w14:solidFill>
          </w14:textFill>
        </w:rPr>
        <w:t xml:space="preserve"> </w:t>
      </w:r>
      <w:r>
        <w:rPr>
          <w:rFonts w:ascii="Times New Roman" w:hAnsi="Times New Roman" w:cs="Times New Roman"/>
          <w:color w:val="000000" w:themeColor="text1"/>
          <w:kern w:val="0"/>
          <w:sz w:val="24"/>
          <w:szCs w:val="24"/>
          <w14:textFill>
            <w14:solidFill>
              <w14:schemeClr w14:val="tx1"/>
            </w14:solidFill>
          </w14:textFill>
        </w:rPr>
        <w:t xml:space="preserve">year-on-year </w:t>
      </w:r>
      <w:r>
        <w:rPr>
          <w:rFonts w:hint="eastAsia" w:ascii="Times New Roman" w:hAnsi="Times New Roman" w:cs="Times New Roman"/>
          <w:color w:val="000000" w:themeColor="text1"/>
          <w:kern w:val="0"/>
          <w:sz w:val="24"/>
          <w:szCs w:val="24"/>
          <w14:textFill>
            <w14:solidFill>
              <w14:schemeClr w14:val="tx1"/>
            </w14:solidFill>
          </w14:textFill>
        </w:rPr>
        <w:t>growth</w:t>
      </w:r>
      <w:r>
        <w:rPr>
          <w:rFonts w:ascii="Times New Roman" w:hAnsi="Times New Roman" w:cs="Times New Roman"/>
          <w:color w:val="000000" w:themeColor="text1"/>
          <w:kern w:val="0"/>
          <w:sz w:val="24"/>
          <w:szCs w:val="24"/>
          <w14:textFill>
            <w14:solidFill>
              <w14:schemeClr w14:val="tx1"/>
            </w14:solidFill>
          </w14:textFill>
        </w:rPr>
        <w:t xml:space="preserve">; outstanding MSBs loans at end-June grew by 22.5 percent year on year, 7.3 percentage points over that in the previous year and 9.5 percentage points higher than the growth of </w:t>
      </w:r>
      <w:r>
        <w:rPr>
          <w:rFonts w:hint="eastAsia" w:ascii="Times New Roman" w:hAnsi="Times New Roman" w:cs="Times New Roman"/>
          <w:color w:val="000000" w:themeColor="text1"/>
          <w:kern w:val="0"/>
          <w:sz w:val="24"/>
          <w:szCs w:val="24"/>
          <w14:textFill>
            <w14:solidFill>
              <w14:schemeClr w14:val="tx1"/>
            </w14:solidFill>
          </w14:textFill>
        </w:rPr>
        <w:t>all</w:t>
      </w:r>
      <w:r>
        <w:rPr>
          <w:rFonts w:ascii="Times New Roman" w:hAnsi="Times New Roman" w:cs="Times New Roman"/>
          <w:color w:val="000000" w:themeColor="text1"/>
          <w:kern w:val="0"/>
          <w:sz w:val="24"/>
          <w:szCs w:val="24"/>
          <w14:textFill>
            <w14:solidFill>
              <w14:schemeClr w14:val="tx1"/>
            </w14:solidFill>
          </w14:textFill>
        </w:rPr>
        <w:t xml:space="preserve"> loans. Broken down by sectors, growth of RMB loans to the household sector continued to slow down, registering 17.1 percent at end-June, down 0.5 percentage point from end-March and 1.1 percentage points from end-2018. In particular, personal mortgage loans grew by 17.3 percent, down 0.3 percentage point from end-March and 0.5 percentage point from end-2018. They rose by RMB 2.2 trillion in the first half of the year, contributing 22.8 percent of the total new loans, dropping 1.3 percentage points from the last year. Loans to non-financial corporate and public entities increased by RMB 6.3 trillion from the beginning of the year, rising RMB 1.1 trillion year on year. In terms of maturity, growth of medium and long-term loans remained steady, up by RMB 6.2 trillion in the first six months of the year, similar to that during the same period of the last year and contributing 64.2 percent of the total new loans.</w:t>
      </w:r>
    </w:p>
    <w:p>
      <w:pPr>
        <w:widowControl/>
        <w:rPr>
          <w:rFonts w:ascii="Times New Roman" w:hAnsi="Times New Roman" w:cs="Times New Roman"/>
          <w:color w:val="000000" w:themeColor="text1"/>
          <w:kern w:val="0"/>
          <w:sz w:val="24"/>
          <w:szCs w:val="24"/>
          <w14:textFill>
            <w14:solidFill>
              <w14:schemeClr w14:val="tx1"/>
            </w14:solidFill>
          </w14:textFill>
        </w:rPr>
      </w:pPr>
    </w:p>
    <w:p>
      <w:pPr>
        <w:widowControl/>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b/>
          <w:bCs/>
          <w:color w:val="000000" w:themeColor="text1"/>
          <w:kern w:val="0"/>
          <w:sz w:val="24"/>
          <w:szCs w:val="24"/>
          <w14:textFill>
            <w14:solidFill>
              <w14:schemeClr w14:val="tx1"/>
            </w14:solidFill>
          </w14:textFill>
        </w:rPr>
        <w:t xml:space="preserve">The weighted average interest rate on loans dipped and the weighted average rates on corporate loans continued to fall. </w:t>
      </w:r>
      <w:r>
        <w:rPr>
          <w:rFonts w:ascii="Times New Roman" w:hAnsi="Times New Roman" w:cs="Times New Roman"/>
          <w:color w:val="000000" w:themeColor="text1"/>
          <w:kern w:val="0"/>
          <w:sz w:val="24"/>
          <w:szCs w:val="24"/>
          <w14:textFill>
            <w14:solidFill>
              <w14:schemeClr w14:val="tx1"/>
            </w14:solidFill>
          </w14:textFill>
        </w:rPr>
        <w:t xml:space="preserve">In June, the weighted average interest rate on loans stood at 5.66 percent, down 0.03 percentage point from March and down 0.28 percentage point year on year. In particular, the weighted average interest rate on ordinary loans was 5.94 percent, down 0.1 percentage point from March and down  0.14 percentage point year on year; the weighted average interest rate on bill financing was 3.64 percent, the same as that in March but down 1.47 percentage points year on year; the weighted average interest rate on personal mortgage loans was 5.53 percent, down 0.15 percentage point from March and down 0.07 percentage point year on year. In addition, the previously unveiled policies to support private firms and MSBs have gradually yielded </w:t>
      </w:r>
      <w:r>
        <w:rPr>
          <w:rFonts w:hint="eastAsia" w:ascii="Times New Roman" w:hAnsi="Times New Roman" w:cs="Times New Roman"/>
          <w:color w:val="000000" w:themeColor="text1"/>
          <w:kern w:val="0"/>
          <w:sz w:val="24"/>
          <w:szCs w:val="24"/>
          <w14:textFill>
            <w14:solidFill>
              <w14:schemeClr w14:val="tx1"/>
            </w14:solidFill>
          </w14:textFill>
        </w:rPr>
        <w:t>positive</w:t>
      </w:r>
      <w:r>
        <w:rPr>
          <w:rFonts w:ascii="Times New Roman" w:hAnsi="Times New Roman" w:cs="Times New Roman"/>
          <w:color w:val="000000" w:themeColor="text1"/>
          <w:kern w:val="0"/>
          <w:sz w:val="24"/>
          <w:szCs w:val="24"/>
          <w14:textFill>
            <w14:solidFill>
              <w14:schemeClr w14:val="tx1"/>
            </w14:solidFill>
          </w14:textFill>
        </w:rPr>
        <w:t xml:space="preserve"> results. </w:t>
      </w:r>
      <w:r>
        <w:rPr>
          <w:rFonts w:hint="eastAsia" w:ascii="Times New Roman" w:hAnsi="Times New Roman" w:cs="Times New Roman"/>
          <w:color w:val="000000" w:themeColor="text1"/>
          <w:kern w:val="0"/>
          <w:sz w:val="24"/>
          <w:szCs w:val="24"/>
          <w14:textFill>
            <w14:solidFill>
              <w14:schemeClr w14:val="tx1"/>
            </w14:solidFill>
          </w14:textFill>
        </w:rPr>
        <w:t>Thus</w:t>
      </w:r>
      <w:r>
        <w:rPr>
          <w:rFonts w:ascii="Times New Roman" w:hAnsi="Times New Roman" w:cs="Times New Roman"/>
          <w:color w:val="000000" w:themeColor="text1"/>
          <w:kern w:val="0"/>
          <w:sz w:val="24"/>
          <w:szCs w:val="24"/>
          <w14:textFill>
            <w14:solidFill>
              <w14:schemeClr w14:val="tx1"/>
            </w14:solidFill>
          </w14:textFill>
        </w:rPr>
        <w:t xml:space="preserve">, the weighted average interest rate on corporate loans fell 0.32 percentage point from last year’s peak. Meanwhile, the </w:t>
      </w:r>
      <w:r>
        <w:rPr>
          <w:rFonts w:hint="eastAsia" w:ascii="Times New Roman" w:hAnsi="Times New Roman" w:cs="Times New Roman"/>
          <w:color w:val="000000" w:themeColor="text1"/>
          <w:kern w:val="0"/>
          <w:sz w:val="24"/>
          <w:szCs w:val="24"/>
          <w14:textFill>
            <w14:solidFill>
              <w14:schemeClr w14:val="tx1"/>
            </w14:solidFill>
          </w14:textFill>
        </w:rPr>
        <w:t xml:space="preserve">all-inclusive </w:t>
      </w:r>
      <w:r>
        <w:rPr>
          <w:rFonts w:ascii="Times New Roman" w:hAnsi="Times New Roman" w:cs="Times New Roman"/>
          <w:color w:val="000000" w:themeColor="text1"/>
          <w:kern w:val="0"/>
          <w:sz w:val="24"/>
          <w:szCs w:val="24"/>
          <w14:textFill>
            <w14:solidFill>
              <w14:schemeClr w14:val="tx1"/>
            </w14:solidFill>
          </w14:textFill>
        </w:rPr>
        <w:t>costs of aggregate financing</w:t>
      </w:r>
      <w:r>
        <w:rPr>
          <w:rFonts w:hint="eastAsia" w:ascii="Times New Roman" w:hAnsi="Times New Roman" w:cs="Times New Roman"/>
          <w:color w:val="000000" w:themeColor="text1"/>
          <w:kern w:val="0"/>
          <w:sz w:val="24"/>
          <w:szCs w:val="24"/>
          <w14:textFill>
            <w14:solidFill>
              <w14:schemeClr w14:val="tx1"/>
            </w14:solidFill>
          </w14:textFill>
        </w:rPr>
        <w:t xml:space="preserve"> (</w:t>
      </w:r>
      <w:r>
        <w:rPr>
          <w:rFonts w:ascii="Times New Roman" w:hAnsi="Times New Roman" w:cs="Times New Roman"/>
          <w:color w:val="000000" w:themeColor="text1"/>
          <w:kern w:val="0"/>
          <w:sz w:val="24"/>
          <w:szCs w:val="24"/>
          <w14:textFill>
            <w14:solidFill>
              <w14:schemeClr w14:val="tx1"/>
            </w14:solidFill>
          </w14:textFill>
        </w:rPr>
        <w:t>including bank loans, bonds, and off-balance-sheet financing</w:t>
      </w:r>
      <w:r>
        <w:rPr>
          <w:rFonts w:hint="eastAsia" w:ascii="Times New Roman" w:hAnsi="Times New Roman" w:cs="Times New Roman"/>
          <w:color w:val="000000" w:themeColor="text1"/>
          <w:kern w:val="0"/>
          <w:sz w:val="24"/>
          <w:szCs w:val="24"/>
          <w14:textFill>
            <w14:solidFill>
              <w14:schemeClr w14:val="tx1"/>
            </w14:solidFill>
          </w14:textFill>
        </w:rPr>
        <w:t>)</w:t>
      </w:r>
      <w:r>
        <w:rPr>
          <w:rFonts w:ascii="Times New Roman" w:hAnsi="Times New Roman" w:cs="Times New Roman"/>
          <w:color w:val="000000" w:themeColor="text1"/>
          <w:kern w:val="0"/>
          <w:sz w:val="24"/>
          <w:szCs w:val="24"/>
          <w14:textFill>
            <w14:solidFill>
              <w14:schemeClr w14:val="tx1"/>
            </w14:solidFill>
          </w14:textFill>
        </w:rPr>
        <w:t xml:space="preserve"> continued to drop.</w:t>
      </w:r>
      <w:r>
        <w:rPr>
          <w:rFonts w:ascii="Times New Roman" w:hAnsi="Times New Roman" w:cs="Times New Roman"/>
          <w:color w:val="000000" w:themeColor="text1"/>
          <w:kern w:val="0"/>
          <w:sz w:val="24"/>
          <w:szCs w:val="24"/>
          <w14:textFill>
            <w14:solidFill>
              <w14:schemeClr w14:val="tx1"/>
            </w14:solidFill>
          </w14:textFill>
        </w:rPr>
        <w:br w:type="page"/>
      </w:r>
    </w:p>
    <w:p>
      <w:pPr>
        <w:widowControl/>
        <w:rPr>
          <w:rFonts w:ascii="Times New Roman" w:hAnsi="Times New Roman" w:eastAsia="黑体" w:cs="Times New Roman"/>
          <w:b/>
          <w:bCs/>
          <w:iCs/>
          <w:color w:val="000000" w:themeColor="text1"/>
          <w:kern w:val="0"/>
          <w:sz w:val="24"/>
          <w:szCs w:val="24"/>
          <w14:textFill>
            <w14:solidFill>
              <w14:schemeClr w14:val="tx1"/>
            </w14:solidFill>
          </w14:textFill>
        </w:rPr>
      </w:pPr>
    </w:p>
    <w:p>
      <w:pPr>
        <w:pStyle w:val="5"/>
        <w:jc w:val="center"/>
        <w:rPr>
          <w:rFonts w:ascii="Times New Roman" w:hAnsi="Times New Roman" w:cs="Times New Roman"/>
          <w:b/>
          <w:bCs/>
          <w:color w:val="000000" w:themeColor="text1"/>
          <w:kern w:val="0"/>
          <w:sz w:val="24"/>
          <w:szCs w:val="24"/>
          <w14:textFill>
            <w14:solidFill>
              <w14:schemeClr w14:val="tx1"/>
            </w14:solidFill>
          </w14:textFill>
        </w:rPr>
      </w:pPr>
      <w:bookmarkStart w:id="18" w:name="_Toc17809062"/>
      <w:bookmarkStart w:id="19" w:name="_Toc11317451"/>
      <w:bookmarkStart w:id="20" w:name="_Toc11315493"/>
      <w:r>
        <w:rPr>
          <w:rFonts w:ascii="Times New Roman" w:hAnsi="Times New Roman" w:cs="Times New Roman"/>
          <w:b/>
          <w:bCs/>
          <w:color w:val="000000" w:themeColor="text1"/>
          <w:kern w:val="0"/>
          <w:sz w:val="24"/>
          <w:szCs w:val="24"/>
          <w14:textFill>
            <w14:solidFill>
              <w14:schemeClr w14:val="tx1"/>
            </w14:solidFill>
          </w14:textFill>
        </w:rPr>
        <w:t xml:space="preserve">Table </w:t>
      </w:r>
      <w:r>
        <w:rPr>
          <w:rFonts w:ascii="Times New Roman" w:hAnsi="Times New Roman" w:cs="Times New Roman"/>
          <w:b/>
          <w:bCs/>
          <w:color w:val="000000" w:themeColor="text1"/>
          <w:kern w:val="0"/>
          <w:sz w:val="24"/>
          <w:szCs w:val="24"/>
          <w14:textFill>
            <w14:solidFill>
              <w14:schemeClr w14:val="tx1"/>
            </w14:solidFill>
          </w14:textFill>
        </w:rPr>
        <w:fldChar w:fldCharType="begin"/>
      </w:r>
      <w:r>
        <w:rPr>
          <w:rFonts w:ascii="Times New Roman" w:hAnsi="Times New Roman" w:cs="Times New Roman"/>
          <w:b/>
          <w:bCs/>
          <w:color w:val="000000" w:themeColor="text1"/>
          <w:kern w:val="0"/>
          <w:sz w:val="24"/>
          <w:szCs w:val="24"/>
          <w14:textFill>
            <w14:solidFill>
              <w14:schemeClr w14:val="tx1"/>
            </w14:solidFill>
          </w14:textFill>
        </w:rPr>
        <w:instrText xml:space="preserve"> SEQ Table \* ARABIC </w:instrText>
      </w:r>
      <w:r>
        <w:rPr>
          <w:rFonts w:ascii="Times New Roman" w:hAnsi="Times New Roman" w:cs="Times New Roman"/>
          <w:b/>
          <w:bCs/>
          <w:color w:val="000000" w:themeColor="text1"/>
          <w:kern w:val="0"/>
          <w:sz w:val="24"/>
          <w:szCs w:val="24"/>
          <w14:textFill>
            <w14:solidFill>
              <w14:schemeClr w14:val="tx1"/>
            </w14:solidFill>
          </w14:textFill>
        </w:rPr>
        <w:fldChar w:fldCharType="separate"/>
      </w:r>
      <w:r>
        <w:rPr>
          <w:rFonts w:ascii="Times New Roman" w:hAnsi="Times New Roman" w:cs="Times New Roman"/>
          <w:b/>
          <w:bCs/>
          <w:color w:val="000000" w:themeColor="text1"/>
          <w:kern w:val="0"/>
          <w:sz w:val="24"/>
          <w:szCs w:val="24"/>
          <w14:textFill>
            <w14:solidFill>
              <w14:schemeClr w14:val="tx1"/>
            </w14:solidFill>
          </w14:textFill>
        </w:rPr>
        <w:t>1</w:t>
      </w:r>
      <w:r>
        <w:rPr>
          <w:rFonts w:ascii="Times New Roman" w:hAnsi="Times New Roman" w:cs="Times New Roman"/>
          <w:b/>
          <w:bCs/>
          <w:color w:val="000000" w:themeColor="text1"/>
          <w:kern w:val="0"/>
          <w:sz w:val="24"/>
          <w:szCs w:val="24"/>
          <w14:textFill>
            <w14:solidFill>
              <w14:schemeClr w14:val="tx1"/>
            </w14:solidFill>
          </w14:textFill>
        </w:rPr>
        <w:fldChar w:fldCharType="end"/>
      </w:r>
      <w:r>
        <w:rPr>
          <w:rFonts w:hint="eastAsia" w:ascii="Times New Roman" w:hAnsi="Times New Roman" w:cs="Times New Roman"/>
          <w:b/>
          <w:bCs/>
          <w:color w:val="000000" w:themeColor="text1"/>
          <w:kern w:val="0"/>
          <w:sz w:val="24"/>
          <w:szCs w:val="24"/>
          <w14:textFill>
            <w14:solidFill>
              <w14:schemeClr w14:val="tx1"/>
            </w14:solidFill>
          </w14:textFill>
        </w:rPr>
        <w:t xml:space="preserve"> </w:t>
      </w:r>
      <w:r>
        <w:rPr>
          <w:rFonts w:ascii="Times New Roman" w:hAnsi="Times New Roman" w:cs="Times New Roman"/>
          <w:b/>
          <w:bCs/>
          <w:color w:val="000000" w:themeColor="text1"/>
          <w:kern w:val="0"/>
          <w:sz w:val="24"/>
          <w:szCs w:val="24"/>
          <w14:textFill>
            <w14:solidFill>
              <w14:schemeClr w14:val="tx1"/>
            </w14:solidFill>
          </w14:textFill>
        </w:rPr>
        <w:t xml:space="preserve">The Structure of RMB Loans in </w:t>
      </w:r>
      <w:r>
        <w:rPr>
          <w:rFonts w:hint="eastAsia" w:ascii="Times New Roman" w:hAnsi="Times New Roman" w:cs="Times New Roman"/>
          <w:b/>
          <w:bCs/>
          <w:color w:val="000000" w:themeColor="text1"/>
          <w:kern w:val="0"/>
          <w:sz w:val="24"/>
          <w:szCs w:val="24"/>
          <w14:textFill>
            <w14:solidFill>
              <w14:schemeClr w14:val="tx1"/>
            </w14:solidFill>
          </w14:textFill>
        </w:rPr>
        <w:t>H1</w:t>
      </w:r>
      <w:r>
        <w:rPr>
          <w:rFonts w:ascii="Times New Roman" w:hAnsi="Times New Roman" w:cs="Times New Roman"/>
          <w:b/>
          <w:bCs/>
          <w:color w:val="000000" w:themeColor="text1"/>
          <w:kern w:val="0"/>
          <w:sz w:val="24"/>
          <w:szCs w:val="24"/>
          <w14:textFill>
            <w14:solidFill>
              <w14:schemeClr w14:val="tx1"/>
            </w14:solidFill>
          </w14:textFill>
        </w:rPr>
        <w:t xml:space="preserve"> 2019</w:t>
      </w:r>
      <w:bookmarkEnd w:id="18"/>
      <w:bookmarkEnd w:id="19"/>
      <w:bookmarkEnd w:id="20"/>
    </w:p>
    <w:p>
      <w:pPr>
        <w:widowControl/>
        <w:ind w:right="105"/>
        <w:jc w:val="righ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RMB 100 million</w:t>
      </w:r>
    </w:p>
    <w:tbl>
      <w:tblPr>
        <w:tblStyle w:val="14"/>
        <w:tblW w:w="8112" w:type="dxa"/>
        <w:jc w:val="center"/>
        <w:tblInd w:w="0" w:type="dxa"/>
        <w:tblLayout w:type="fixed"/>
        <w:tblCellMar>
          <w:top w:w="0" w:type="dxa"/>
          <w:left w:w="0" w:type="dxa"/>
          <w:bottom w:w="0" w:type="dxa"/>
          <w:right w:w="0" w:type="dxa"/>
        </w:tblCellMar>
      </w:tblPr>
      <w:tblGrid>
        <w:gridCol w:w="2030"/>
        <w:gridCol w:w="1417"/>
        <w:gridCol w:w="1655"/>
        <w:gridCol w:w="1559"/>
        <w:gridCol w:w="1451"/>
      </w:tblGrid>
      <w:tr>
        <w:tblPrEx>
          <w:tblLayout w:type="fixed"/>
          <w:tblCellMar>
            <w:top w:w="0" w:type="dxa"/>
            <w:left w:w="0" w:type="dxa"/>
            <w:bottom w:w="0" w:type="dxa"/>
            <w:right w:w="0" w:type="dxa"/>
          </w:tblCellMar>
        </w:tblPrEx>
        <w:trPr>
          <w:trHeight w:val="315" w:hRule="atLeast"/>
          <w:jc w:val="center"/>
        </w:trPr>
        <w:tc>
          <w:tcPr>
            <w:tcW w:w="2030" w:type="dxa"/>
            <w:tcBorders>
              <w:top w:val="single" w:color="339966" w:sz="12" w:space="0"/>
              <w:left w:val="nil"/>
              <w:bottom w:val="single" w:color="339966" w:sz="12" w:space="0"/>
              <w:right w:val="single" w:color="339966" w:sz="4" w:space="0"/>
            </w:tcBorders>
            <w:shd w:val="clear" w:color="auto" w:fill="CCFFCC"/>
            <w:vAlign w:val="center"/>
          </w:tcPr>
          <w:p>
            <w:pPr>
              <w:widowControl/>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　</w:t>
            </w:r>
          </w:p>
        </w:tc>
        <w:tc>
          <w:tcPr>
            <w:tcW w:w="1417" w:type="dxa"/>
            <w:tcBorders>
              <w:top w:val="single" w:color="339966" w:sz="12" w:space="0"/>
              <w:left w:val="nil"/>
              <w:bottom w:val="single" w:color="339966" w:sz="12" w:space="0"/>
              <w:right w:val="single" w:color="339966" w:sz="6" w:space="0"/>
            </w:tcBorders>
            <w:shd w:val="clear" w:color="auto" w:fill="CCFFCC"/>
            <w:vAlign w:val="center"/>
          </w:tcPr>
          <w:p>
            <w:pPr>
              <w:widowControl/>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Outstanding amount at end-June</w:t>
            </w:r>
          </w:p>
        </w:tc>
        <w:tc>
          <w:tcPr>
            <w:tcW w:w="1655" w:type="dxa"/>
            <w:tcBorders>
              <w:top w:val="single" w:color="339966" w:sz="12" w:space="0"/>
              <w:left w:val="nil"/>
              <w:bottom w:val="single" w:color="339966" w:sz="12" w:space="0"/>
              <w:right w:val="single" w:color="339966" w:sz="6" w:space="0"/>
            </w:tcBorders>
            <w:shd w:val="clear" w:color="auto" w:fill="CCFFCC"/>
            <w:vAlign w:val="center"/>
          </w:tcPr>
          <w:p>
            <w:pPr>
              <w:widowControl/>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Year-on-year growth</w:t>
            </w:r>
          </w:p>
        </w:tc>
        <w:tc>
          <w:tcPr>
            <w:tcW w:w="1559" w:type="dxa"/>
            <w:tcBorders>
              <w:top w:val="single" w:color="339966" w:sz="12" w:space="0"/>
              <w:left w:val="nil"/>
              <w:bottom w:val="single" w:color="339966" w:sz="12" w:space="0"/>
              <w:right w:val="single" w:color="339966" w:sz="6" w:space="0"/>
            </w:tcBorders>
            <w:shd w:val="clear" w:color="auto" w:fill="CCFFCC"/>
            <w:vAlign w:val="center"/>
          </w:tcPr>
          <w:p>
            <w:pPr>
              <w:widowControl/>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Increase from the beginning of the year</w:t>
            </w:r>
          </w:p>
        </w:tc>
        <w:tc>
          <w:tcPr>
            <w:tcW w:w="1451" w:type="dxa"/>
            <w:tcBorders>
              <w:top w:val="single" w:color="339966" w:sz="12" w:space="0"/>
              <w:left w:val="nil"/>
              <w:bottom w:val="single" w:color="339966" w:sz="12" w:space="0"/>
              <w:right w:val="nil"/>
            </w:tcBorders>
            <w:shd w:val="clear" w:color="auto" w:fill="CCFFCC"/>
            <w:vAlign w:val="center"/>
          </w:tcPr>
          <w:p>
            <w:pPr>
              <w:widowControl/>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Change in the increase from the same period of the last year</w:t>
            </w:r>
          </w:p>
        </w:tc>
      </w:tr>
      <w:tr>
        <w:tblPrEx>
          <w:tblLayout w:type="fixed"/>
          <w:tblCellMar>
            <w:top w:w="0" w:type="dxa"/>
            <w:left w:w="0" w:type="dxa"/>
            <w:bottom w:w="0" w:type="dxa"/>
            <w:right w:w="0" w:type="dxa"/>
          </w:tblCellMar>
        </w:tblPrEx>
        <w:trPr>
          <w:trHeight w:val="300" w:hRule="atLeast"/>
          <w:jc w:val="center"/>
        </w:trPr>
        <w:tc>
          <w:tcPr>
            <w:tcW w:w="2030" w:type="dxa"/>
            <w:tcBorders>
              <w:top w:val="nil"/>
              <w:left w:val="nil"/>
              <w:bottom w:val="nil"/>
              <w:right w:val="single" w:color="339966" w:sz="4" w:space="0"/>
            </w:tcBorders>
            <w:vAlign w:val="center"/>
          </w:tcPr>
          <w:p>
            <w:pPr>
              <w:widowControl/>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RMB loans to</w:t>
            </w:r>
          </w:p>
        </w:tc>
        <w:tc>
          <w:tcPr>
            <w:tcW w:w="1417" w:type="dxa"/>
            <w:tcBorders>
              <w:top w:val="nil"/>
              <w:left w:val="nil"/>
              <w:bottom w:val="nil"/>
              <w:right w:val="single" w:color="339966" w:sz="6" w:space="0"/>
            </w:tcBorders>
            <w:vAlign w:val="center"/>
          </w:tcPr>
          <w:p>
            <w:pPr>
              <w:widowControl/>
              <w:ind w:left="441"/>
              <w:jc w:val="righ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1,459,691</w:t>
            </w:r>
          </w:p>
        </w:tc>
        <w:tc>
          <w:tcPr>
            <w:tcW w:w="1655" w:type="dxa"/>
            <w:tcBorders>
              <w:top w:val="nil"/>
              <w:left w:val="nil"/>
              <w:bottom w:val="nil"/>
              <w:right w:val="single" w:color="339966" w:sz="6" w:space="0"/>
            </w:tcBorders>
            <w:vAlign w:val="center"/>
          </w:tcPr>
          <w:p>
            <w:pPr>
              <w:widowControl/>
              <w:ind w:left="441"/>
              <w:jc w:val="righ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13.0%</w:t>
            </w:r>
          </w:p>
        </w:tc>
        <w:tc>
          <w:tcPr>
            <w:tcW w:w="1559" w:type="dxa"/>
            <w:tcBorders>
              <w:top w:val="nil"/>
              <w:left w:val="nil"/>
              <w:bottom w:val="nil"/>
              <w:right w:val="single" w:color="339966" w:sz="6" w:space="0"/>
            </w:tcBorders>
            <w:vAlign w:val="center"/>
          </w:tcPr>
          <w:p>
            <w:pPr>
              <w:widowControl/>
              <w:ind w:left="441"/>
              <w:jc w:val="righ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96,712</w:t>
            </w:r>
          </w:p>
        </w:tc>
        <w:tc>
          <w:tcPr>
            <w:tcW w:w="1451" w:type="dxa"/>
            <w:vAlign w:val="center"/>
          </w:tcPr>
          <w:p>
            <w:pPr>
              <w:widowControl/>
              <w:ind w:left="441"/>
              <w:jc w:val="righ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6,440</w:t>
            </w:r>
          </w:p>
        </w:tc>
      </w:tr>
      <w:tr>
        <w:tblPrEx>
          <w:tblLayout w:type="fixed"/>
          <w:tblCellMar>
            <w:top w:w="0" w:type="dxa"/>
            <w:left w:w="0" w:type="dxa"/>
            <w:bottom w:w="0" w:type="dxa"/>
            <w:right w:w="0" w:type="dxa"/>
          </w:tblCellMar>
        </w:tblPrEx>
        <w:trPr>
          <w:trHeight w:val="285" w:hRule="atLeast"/>
          <w:jc w:val="center"/>
        </w:trPr>
        <w:tc>
          <w:tcPr>
            <w:tcW w:w="2030" w:type="dxa"/>
            <w:tcBorders>
              <w:top w:val="nil"/>
              <w:left w:val="nil"/>
              <w:bottom w:val="nil"/>
              <w:right w:val="single" w:color="339966" w:sz="4" w:space="0"/>
            </w:tcBorders>
            <w:shd w:val="clear" w:color="auto" w:fill="CCFFCC"/>
            <w:vAlign w:val="center"/>
          </w:tcPr>
          <w:p>
            <w:pPr>
              <w:widowControl/>
              <w:ind w:left="441"/>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Households</w:t>
            </w:r>
          </w:p>
        </w:tc>
        <w:tc>
          <w:tcPr>
            <w:tcW w:w="1417" w:type="dxa"/>
            <w:tcBorders>
              <w:top w:val="nil"/>
              <w:left w:val="nil"/>
              <w:bottom w:val="nil"/>
              <w:right w:val="single" w:color="339966" w:sz="6" w:space="0"/>
            </w:tcBorders>
            <w:shd w:val="clear" w:color="auto" w:fill="CCFFCC"/>
            <w:vAlign w:val="center"/>
          </w:tcPr>
          <w:p>
            <w:pPr>
              <w:widowControl/>
              <w:ind w:left="441"/>
              <w:jc w:val="righ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516,449</w:t>
            </w:r>
          </w:p>
        </w:tc>
        <w:tc>
          <w:tcPr>
            <w:tcW w:w="1655" w:type="dxa"/>
            <w:tcBorders>
              <w:top w:val="nil"/>
              <w:left w:val="nil"/>
              <w:bottom w:val="nil"/>
              <w:right w:val="single" w:color="339966" w:sz="6" w:space="0"/>
            </w:tcBorders>
            <w:shd w:val="clear" w:color="auto" w:fill="CCFFCC"/>
            <w:vAlign w:val="center"/>
          </w:tcPr>
          <w:p>
            <w:pPr>
              <w:widowControl/>
              <w:ind w:left="441"/>
              <w:jc w:val="righ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17.1%</w:t>
            </w:r>
          </w:p>
        </w:tc>
        <w:tc>
          <w:tcPr>
            <w:tcW w:w="1559" w:type="dxa"/>
            <w:tcBorders>
              <w:top w:val="nil"/>
              <w:left w:val="nil"/>
              <w:bottom w:val="nil"/>
              <w:right w:val="single" w:color="339966" w:sz="6" w:space="0"/>
            </w:tcBorders>
            <w:shd w:val="clear" w:color="auto" w:fill="CCFFCC"/>
            <w:vAlign w:val="center"/>
          </w:tcPr>
          <w:p>
            <w:pPr>
              <w:widowControl/>
              <w:ind w:left="441"/>
              <w:jc w:val="righ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37,561</w:t>
            </w:r>
          </w:p>
        </w:tc>
        <w:tc>
          <w:tcPr>
            <w:tcW w:w="1451" w:type="dxa"/>
            <w:shd w:val="clear" w:color="auto" w:fill="CCFFCC"/>
            <w:vAlign w:val="center"/>
          </w:tcPr>
          <w:p>
            <w:pPr>
              <w:widowControl/>
              <w:ind w:left="441"/>
              <w:jc w:val="righ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1546</w:t>
            </w:r>
          </w:p>
        </w:tc>
      </w:tr>
      <w:tr>
        <w:tblPrEx>
          <w:tblLayout w:type="fixed"/>
          <w:tblCellMar>
            <w:top w:w="0" w:type="dxa"/>
            <w:left w:w="0" w:type="dxa"/>
            <w:bottom w:w="0" w:type="dxa"/>
            <w:right w:w="0" w:type="dxa"/>
          </w:tblCellMar>
        </w:tblPrEx>
        <w:trPr>
          <w:trHeight w:val="300" w:hRule="atLeast"/>
          <w:jc w:val="center"/>
        </w:trPr>
        <w:tc>
          <w:tcPr>
            <w:tcW w:w="2030" w:type="dxa"/>
            <w:tcBorders>
              <w:top w:val="nil"/>
              <w:left w:val="nil"/>
              <w:bottom w:val="nil"/>
              <w:right w:val="single" w:color="339966" w:sz="4" w:space="0"/>
            </w:tcBorders>
            <w:vAlign w:val="center"/>
          </w:tcPr>
          <w:p>
            <w:pPr>
              <w:widowControl/>
              <w:ind w:left="441"/>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Non-financial corporate and public entities</w:t>
            </w:r>
          </w:p>
        </w:tc>
        <w:tc>
          <w:tcPr>
            <w:tcW w:w="1417" w:type="dxa"/>
            <w:tcBorders>
              <w:top w:val="nil"/>
              <w:left w:val="nil"/>
              <w:bottom w:val="nil"/>
              <w:right w:val="single" w:color="339966" w:sz="6" w:space="0"/>
            </w:tcBorders>
            <w:vAlign w:val="center"/>
          </w:tcPr>
          <w:p>
            <w:pPr>
              <w:widowControl/>
              <w:ind w:left="441"/>
              <w:jc w:val="righ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930,903</w:t>
            </w:r>
          </w:p>
        </w:tc>
        <w:tc>
          <w:tcPr>
            <w:tcW w:w="1655" w:type="dxa"/>
            <w:tcBorders>
              <w:top w:val="nil"/>
              <w:left w:val="nil"/>
              <w:bottom w:val="nil"/>
              <w:right w:val="single" w:color="339966" w:sz="6" w:space="0"/>
            </w:tcBorders>
            <w:vAlign w:val="center"/>
          </w:tcPr>
          <w:p>
            <w:pPr>
              <w:widowControl/>
              <w:ind w:left="441"/>
              <w:jc w:val="righ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11.2%</w:t>
            </w:r>
          </w:p>
        </w:tc>
        <w:tc>
          <w:tcPr>
            <w:tcW w:w="1559" w:type="dxa"/>
            <w:tcBorders>
              <w:top w:val="nil"/>
              <w:left w:val="nil"/>
              <w:bottom w:val="nil"/>
              <w:right w:val="single" w:color="339966" w:sz="6" w:space="0"/>
            </w:tcBorders>
            <w:vAlign w:val="center"/>
          </w:tcPr>
          <w:p>
            <w:pPr>
              <w:widowControl/>
              <w:ind w:left="441"/>
              <w:jc w:val="righ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62,647</w:t>
            </w:r>
          </w:p>
        </w:tc>
        <w:tc>
          <w:tcPr>
            <w:tcW w:w="1451" w:type="dxa"/>
            <w:vAlign w:val="center"/>
          </w:tcPr>
          <w:p>
            <w:pPr>
              <w:widowControl/>
              <w:ind w:left="441"/>
              <w:jc w:val="righ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10,982</w:t>
            </w:r>
          </w:p>
        </w:tc>
      </w:tr>
      <w:tr>
        <w:tblPrEx>
          <w:tblLayout w:type="fixed"/>
          <w:tblCellMar>
            <w:top w:w="0" w:type="dxa"/>
            <w:left w:w="0" w:type="dxa"/>
            <w:bottom w:w="0" w:type="dxa"/>
            <w:right w:w="0" w:type="dxa"/>
          </w:tblCellMar>
        </w:tblPrEx>
        <w:trPr>
          <w:trHeight w:val="315" w:hRule="atLeast"/>
          <w:jc w:val="center"/>
        </w:trPr>
        <w:tc>
          <w:tcPr>
            <w:tcW w:w="2030" w:type="dxa"/>
            <w:tcBorders>
              <w:top w:val="nil"/>
              <w:left w:val="nil"/>
              <w:bottom w:val="nil"/>
              <w:right w:val="single" w:color="339966" w:sz="4" w:space="0"/>
            </w:tcBorders>
            <w:shd w:val="clear" w:color="auto" w:fill="CCFFCC"/>
            <w:vAlign w:val="center"/>
          </w:tcPr>
          <w:p>
            <w:pPr>
              <w:widowControl/>
              <w:ind w:left="441"/>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Non-banking financial</w:t>
            </w:r>
          </w:p>
          <w:p>
            <w:pPr>
              <w:widowControl/>
              <w:ind w:left="441"/>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institutions</w:t>
            </w:r>
          </w:p>
        </w:tc>
        <w:tc>
          <w:tcPr>
            <w:tcW w:w="1417" w:type="dxa"/>
            <w:tcBorders>
              <w:top w:val="nil"/>
              <w:left w:val="nil"/>
              <w:bottom w:val="nil"/>
              <w:right w:val="single" w:color="339966" w:sz="6" w:space="0"/>
            </w:tcBorders>
            <w:shd w:val="clear" w:color="auto" w:fill="CCFFCC"/>
            <w:vAlign w:val="center"/>
          </w:tcPr>
          <w:p>
            <w:pPr>
              <w:widowControl/>
              <w:ind w:left="441"/>
              <w:jc w:val="righ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7,195</w:t>
            </w:r>
          </w:p>
        </w:tc>
        <w:tc>
          <w:tcPr>
            <w:tcW w:w="1655" w:type="dxa"/>
            <w:tcBorders>
              <w:top w:val="nil"/>
              <w:left w:val="nil"/>
              <w:bottom w:val="nil"/>
              <w:right w:val="single" w:color="339966" w:sz="6" w:space="0"/>
            </w:tcBorders>
            <w:shd w:val="clear" w:color="auto" w:fill="CCFFCC"/>
            <w:vAlign w:val="center"/>
          </w:tcPr>
          <w:p>
            <w:pPr>
              <w:widowControl/>
              <w:ind w:left="441"/>
              <w:jc w:val="righ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-17.2%</w:t>
            </w:r>
          </w:p>
        </w:tc>
        <w:tc>
          <w:tcPr>
            <w:tcW w:w="1559" w:type="dxa"/>
            <w:tcBorders>
              <w:top w:val="nil"/>
              <w:left w:val="nil"/>
              <w:bottom w:val="nil"/>
              <w:right w:val="single" w:color="339966" w:sz="6" w:space="0"/>
            </w:tcBorders>
            <w:shd w:val="clear" w:color="auto" w:fill="CCFFCC"/>
            <w:vAlign w:val="center"/>
          </w:tcPr>
          <w:p>
            <w:pPr>
              <w:widowControl/>
              <w:ind w:left="441"/>
              <w:jc w:val="righ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-3,565</w:t>
            </w:r>
          </w:p>
        </w:tc>
        <w:tc>
          <w:tcPr>
            <w:tcW w:w="1451" w:type="dxa"/>
            <w:shd w:val="clear" w:color="auto" w:fill="CCFFCC"/>
            <w:vAlign w:val="center"/>
          </w:tcPr>
          <w:p>
            <w:pPr>
              <w:widowControl/>
              <w:ind w:left="441"/>
              <w:jc w:val="righ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-5,899</w:t>
            </w:r>
          </w:p>
        </w:tc>
      </w:tr>
      <w:tr>
        <w:tblPrEx>
          <w:tblLayout w:type="fixed"/>
          <w:tblCellMar>
            <w:top w:w="0" w:type="dxa"/>
            <w:left w:w="0" w:type="dxa"/>
            <w:bottom w:w="0" w:type="dxa"/>
            <w:right w:w="0" w:type="dxa"/>
          </w:tblCellMar>
        </w:tblPrEx>
        <w:trPr>
          <w:trHeight w:val="315" w:hRule="atLeast"/>
          <w:jc w:val="center"/>
        </w:trPr>
        <w:tc>
          <w:tcPr>
            <w:tcW w:w="2030" w:type="dxa"/>
            <w:tcBorders>
              <w:top w:val="nil"/>
              <w:left w:val="nil"/>
              <w:bottom w:val="single" w:color="339966" w:sz="12" w:space="0"/>
              <w:right w:val="single" w:color="339966" w:sz="4" w:space="0"/>
            </w:tcBorders>
            <w:vAlign w:val="center"/>
          </w:tcPr>
          <w:p>
            <w:pPr>
              <w:widowControl/>
              <w:ind w:left="441"/>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Overseas</w:t>
            </w:r>
          </w:p>
        </w:tc>
        <w:tc>
          <w:tcPr>
            <w:tcW w:w="1417" w:type="dxa"/>
            <w:tcBorders>
              <w:top w:val="nil"/>
              <w:left w:val="nil"/>
              <w:bottom w:val="single" w:color="339966" w:sz="12" w:space="0"/>
              <w:right w:val="single" w:color="339966" w:sz="6" w:space="0"/>
            </w:tcBorders>
            <w:vAlign w:val="center"/>
          </w:tcPr>
          <w:p>
            <w:pPr>
              <w:widowControl/>
              <w:ind w:left="441"/>
              <w:jc w:val="righ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5,145</w:t>
            </w:r>
          </w:p>
        </w:tc>
        <w:tc>
          <w:tcPr>
            <w:tcW w:w="1655" w:type="dxa"/>
            <w:tcBorders>
              <w:top w:val="nil"/>
              <w:left w:val="nil"/>
              <w:bottom w:val="single" w:color="339966" w:sz="12" w:space="0"/>
              <w:right w:val="single" w:color="339966" w:sz="6" w:space="0"/>
            </w:tcBorders>
            <w:vAlign w:val="center"/>
          </w:tcPr>
          <w:p>
            <w:pPr>
              <w:widowControl/>
              <w:ind w:left="441"/>
              <w:jc w:val="righ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8.2%</w:t>
            </w:r>
          </w:p>
        </w:tc>
        <w:tc>
          <w:tcPr>
            <w:tcW w:w="1559" w:type="dxa"/>
            <w:tcBorders>
              <w:top w:val="nil"/>
              <w:left w:val="nil"/>
              <w:bottom w:val="single" w:color="339966" w:sz="12" w:space="0"/>
              <w:right w:val="single" w:color="339966" w:sz="6" w:space="0"/>
            </w:tcBorders>
            <w:vAlign w:val="center"/>
          </w:tcPr>
          <w:p>
            <w:pPr>
              <w:widowControl/>
              <w:ind w:left="441" w:firstLine="180"/>
              <w:jc w:val="righ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70</w:t>
            </w:r>
          </w:p>
        </w:tc>
        <w:tc>
          <w:tcPr>
            <w:tcW w:w="1451" w:type="dxa"/>
            <w:tcBorders>
              <w:top w:val="nil"/>
              <w:left w:val="nil"/>
              <w:bottom w:val="single" w:color="339966" w:sz="12" w:space="0"/>
              <w:right w:val="nil"/>
            </w:tcBorders>
            <w:vAlign w:val="center"/>
          </w:tcPr>
          <w:p>
            <w:pPr>
              <w:widowControl/>
              <w:ind w:left="441"/>
              <w:jc w:val="righ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-190</w:t>
            </w:r>
          </w:p>
        </w:tc>
      </w:tr>
    </w:tbl>
    <w:p>
      <w:pPr>
        <w:widowControl/>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 xml:space="preserve">Source: The People’s Bank of China. </w:t>
      </w:r>
    </w:p>
    <w:p>
      <w:pPr>
        <w:widowControl/>
        <w:rPr>
          <w:rFonts w:ascii="Times New Roman" w:hAnsi="Times New Roman" w:cs="Times New Roman"/>
          <w:color w:val="000000" w:themeColor="text1"/>
          <w:kern w:val="0"/>
          <w:sz w:val="24"/>
          <w:szCs w:val="24"/>
          <w14:textFill>
            <w14:solidFill>
              <w14:schemeClr w14:val="tx1"/>
            </w14:solidFill>
          </w14:textFill>
        </w:rPr>
      </w:pPr>
    </w:p>
    <w:p>
      <w:pPr>
        <w:widowControl/>
        <w:rPr>
          <w:rFonts w:ascii="Times New Roman" w:hAnsi="Times New Roman" w:cs="Times New Roman"/>
          <w:color w:val="000000" w:themeColor="text1"/>
          <w:kern w:val="0"/>
          <w:sz w:val="24"/>
          <w:szCs w:val="24"/>
          <w14:textFill>
            <w14:solidFill>
              <w14:schemeClr w14:val="tx1"/>
            </w14:solidFill>
          </w14:textFill>
        </w:rPr>
      </w:pPr>
    </w:p>
    <w:p>
      <w:pPr>
        <w:pStyle w:val="5"/>
        <w:jc w:val="center"/>
        <w:rPr>
          <w:rFonts w:ascii="Times New Roman" w:hAnsi="Times New Roman" w:cs="Times New Roman"/>
          <w:b/>
          <w:color w:val="000000" w:themeColor="text1"/>
          <w:kern w:val="0"/>
          <w:sz w:val="24"/>
          <w:szCs w:val="24"/>
          <w14:textFill>
            <w14:solidFill>
              <w14:schemeClr w14:val="tx1"/>
            </w14:solidFill>
          </w14:textFill>
        </w:rPr>
      </w:pPr>
      <w:bookmarkStart w:id="21" w:name="_Toc11315494"/>
      <w:bookmarkStart w:id="22" w:name="_Toc17809063"/>
      <w:bookmarkStart w:id="23" w:name="_Toc11317452"/>
      <w:r>
        <w:rPr>
          <w:rFonts w:ascii="Times New Roman" w:hAnsi="Times New Roman" w:cs="Times New Roman"/>
          <w:b/>
          <w:color w:val="000000" w:themeColor="text1"/>
          <w:kern w:val="0"/>
          <w:sz w:val="24"/>
          <w:szCs w:val="24"/>
          <w14:textFill>
            <w14:solidFill>
              <w14:schemeClr w14:val="tx1"/>
            </w14:solidFill>
          </w14:textFill>
        </w:rPr>
        <w:t xml:space="preserve">Table </w:t>
      </w:r>
      <w:r>
        <w:rPr>
          <w:rFonts w:ascii="Times New Roman" w:hAnsi="Times New Roman" w:cs="Times New Roman"/>
          <w:b/>
          <w:color w:val="000000" w:themeColor="text1"/>
          <w:kern w:val="0"/>
          <w:sz w:val="24"/>
          <w:szCs w:val="24"/>
          <w14:textFill>
            <w14:solidFill>
              <w14:schemeClr w14:val="tx1"/>
            </w14:solidFill>
          </w14:textFill>
        </w:rPr>
        <w:fldChar w:fldCharType="begin"/>
      </w:r>
      <w:r>
        <w:rPr>
          <w:rFonts w:ascii="Times New Roman" w:hAnsi="Times New Roman" w:cs="Times New Roman"/>
          <w:b/>
          <w:color w:val="000000" w:themeColor="text1"/>
          <w:kern w:val="0"/>
          <w:sz w:val="24"/>
          <w:szCs w:val="24"/>
          <w14:textFill>
            <w14:solidFill>
              <w14:schemeClr w14:val="tx1"/>
            </w14:solidFill>
          </w14:textFill>
        </w:rPr>
        <w:instrText xml:space="preserve"> SEQ Table \* ARABIC </w:instrText>
      </w:r>
      <w:r>
        <w:rPr>
          <w:rFonts w:ascii="Times New Roman" w:hAnsi="Times New Roman" w:cs="Times New Roman"/>
          <w:b/>
          <w:color w:val="000000" w:themeColor="text1"/>
          <w:kern w:val="0"/>
          <w:sz w:val="24"/>
          <w:szCs w:val="24"/>
          <w14:textFill>
            <w14:solidFill>
              <w14:schemeClr w14:val="tx1"/>
            </w14:solidFill>
          </w14:textFill>
        </w:rPr>
        <w:fldChar w:fldCharType="separate"/>
      </w:r>
      <w:r>
        <w:rPr>
          <w:rFonts w:ascii="Times New Roman" w:hAnsi="Times New Roman" w:cs="Times New Roman"/>
          <w:b/>
          <w:color w:val="000000" w:themeColor="text1"/>
          <w:kern w:val="0"/>
          <w:sz w:val="24"/>
          <w:szCs w:val="24"/>
          <w14:textFill>
            <w14:solidFill>
              <w14:schemeClr w14:val="tx1"/>
            </w14:solidFill>
          </w14:textFill>
        </w:rPr>
        <w:t>2</w:t>
      </w:r>
      <w:r>
        <w:rPr>
          <w:rFonts w:ascii="Times New Roman" w:hAnsi="Times New Roman" w:cs="Times New Roman"/>
          <w:b/>
          <w:color w:val="000000" w:themeColor="text1"/>
          <w:kern w:val="0"/>
          <w:sz w:val="24"/>
          <w:szCs w:val="24"/>
          <w14:textFill>
            <w14:solidFill>
              <w14:schemeClr w14:val="tx1"/>
            </w14:solidFill>
          </w14:textFill>
        </w:rPr>
        <w:fldChar w:fldCharType="end"/>
      </w:r>
      <w:r>
        <w:rPr>
          <w:rFonts w:hint="eastAsia" w:ascii="Times New Roman" w:hAnsi="Times New Roman" w:cs="Times New Roman"/>
          <w:b/>
          <w:color w:val="000000" w:themeColor="text1"/>
          <w:kern w:val="0"/>
          <w:sz w:val="24"/>
          <w:szCs w:val="24"/>
          <w14:textFill>
            <w14:solidFill>
              <w14:schemeClr w14:val="tx1"/>
            </w14:solidFill>
          </w14:textFill>
        </w:rPr>
        <w:t xml:space="preserve"> </w:t>
      </w:r>
      <w:r>
        <w:rPr>
          <w:rFonts w:ascii="Times New Roman" w:hAnsi="Times New Roman" w:cs="Times New Roman"/>
          <w:b/>
          <w:color w:val="000000" w:themeColor="text1"/>
          <w:kern w:val="0"/>
          <w:sz w:val="24"/>
          <w:szCs w:val="24"/>
          <w14:textFill>
            <w14:solidFill>
              <w14:schemeClr w14:val="tx1"/>
            </w14:solidFill>
          </w14:textFill>
        </w:rPr>
        <w:t xml:space="preserve">New RMB Loans by Financial Institutions in </w:t>
      </w:r>
      <w:r>
        <w:rPr>
          <w:rFonts w:hint="eastAsia" w:ascii="Times New Roman" w:hAnsi="Times New Roman" w:cs="Times New Roman"/>
          <w:b/>
          <w:color w:val="000000" w:themeColor="text1"/>
          <w:kern w:val="0"/>
          <w:sz w:val="24"/>
          <w:szCs w:val="24"/>
          <w14:textFill>
            <w14:solidFill>
              <w14:schemeClr w14:val="tx1"/>
            </w14:solidFill>
          </w14:textFill>
        </w:rPr>
        <w:t xml:space="preserve">H1 </w:t>
      </w:r>
      <w:r>
        <w:rPr>
          <w:rFonts w:ascii="Times New Roman" w:hAnsi="Times New Roman" w:cs="Times New Roman"/>
          <w:b/>
          <w:color w:val="000000" w:themeColor="text1"/>
          <w:kern w:val="0"/>
          <w:sz w:val="24"/>
          <w:szCs w:val="24"/>
          <w14:textFill>
            <w14:solidFill>
              <w14:schemeClr w14:val="tx1"/>
            </w14:solidFill>
          </w14:textFill>
        </w:rPr>
        <w:t>2019</w:t>
      </w:r>
      <w:bookmarkEnd w:id="21"/>
      <w:bookmarkEnd w:id="22"/>
      <w:bookmarkEnd w:id="23"/>
    </w:p>
    <w:p>
      <w:pPr>
        <w:widowControl/>
        <w:jc w:val="righ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RMB 100 million</w:t>
      </w:r>
    </w:p>
    <w:tbl>
      <w:tblPr>
        <w:tblStyle w:val="14"/>
        <w:tblW w:w="8304" w:type="dxa"/>
        <w:jc w:val="center"/>
        <w:tblInd w:w="0" w:type="dxa"/>
        <w:tblLayout w:type="fixed"/>
        <w:tblCellMar>
          <w:top w:w="0" w:type="dxa"/>
          <w:left w:w="0" w:type="dxa"/>
          <w:bottom w:w="0" w:type="dxa"/>
          <w:right w:w="0" w:type="dxa"/>
        </w:tblCellMar>
      </w:tblPr>
      <w:tblGrid>
        <w:gridCol w:w="3035"/>
        <w:gridCol w:w="2723"/>
        <w:gridCol w:w="2546"/>
      </w:tblGrid>
      <w:tr>
        <w:tblPrEx>
          <w:tblLayout w:type="fixed"/>
          <w:tblCellMar>
            <w:top w:w="0" w:type="dxa"/>
            <w:left w:w="0" w:type="dxa"/>
            <w:bottom w:w="0" w:type="dxa"/>
            <w:right w:w="0" w:type="dxa"/>
          </w:tblCellMar>
        </w:tblPrEx>
        <w:trPr>
          <w:trHeight w:val="546" w:hRule="atLeast"/>
          <w:jc w:val="center"/>
        </w:trPr>
        <w:tc>
          <w:tcPr>
            <w:tcW w:w="3035" w:type="dxa"/>
            <w:tcBorders>
              <w:top w:val="single" w:color="339966" w:sz="4" w:space="0"/>
              <w:left w:val="nil"/>
              <w:bottom w:val="single" w:color="339966" w:sz="12" w:space="0"/>
              <w:right w:val="nil"/>
            </w:tcBorders>
            <w:shd w:val="clear" w:color="auto" w:fill="CCFFCC"/>
            <w:vAlign w:val="center"/>
          </w:tcPr>
          <w:p>
            <w:pPr>
              <w:widowControl/>
              <w:rPr>
                <w:rFonts w:ascii="Times New Roman" w:hAnsi="Times New Roman" w:cs="Times New Roman"/>
                <w:color w:val="000000" w:themeColor="text1"/>
                <w:kern w:val="0"/>
                <w:sz w:val="24"/>
                <w:szCs w:val="24"/>
                <w14:textFill>
                  <w14:solidFill>
                    <w14:schemeClr w14:val="tx1"/>
                  </w14:solidFill>
                </w14:textFill>
              </w:rPr>
            </w:pPr>
          </w:p>
        </w:tc>
        <w:tc>
          <w:tcPr>
            <w:tcW w:w="2723" w:type="dxa"/>
            <w:tcBorders>
              <w:top w:val="single" w:color="339966" w:sz="4" w:space="0"/>
              <w:left w:val="single" w:color="339966" w:sz="4" w:space="0"/>
              <w:bottom w:val="single" w:color="339966" w:sz="12" w:space="0"/>
              <w:right w:val="single" w:color="339966" w:sz="4" w:space="0"/>
            </w:tcBorders>
            <w:shd w:val="clear" w:color="auto" w:fill="CCFFCC"/>
            <w:vAlign w:val="bottom"/>
          </w:tcPr>
          <w:p>
            <w:pPr>
              <w:widowControl/>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New loans</w:t>
            </w:r>
          </w:p>
        </w:tc>
        <w:tc>
          <w:tcPr>
            <w:tcW w:w="2546" w:type="dxa"/>
            <w:tcBorders>
              <w:top w:val="single" w:color="339966" w:sz="4" w:space="0"/>
              <w:left w:val="nil"/>
              <w:bottom w:val="single" w:color="339966" w:sz="12" w:space="0"/>
              <w:right w:val="nil"/>
            </w:tcBorders>
            <w:shd w:val="clear" w:color="auto" w:fill="CCFFCC"/>
            <w:vAlign w:val="bottom"/>
          </w:tcPr>
          <w:p>
            <w:pPr>
              <w:widowControl/>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 xml:space="preserve">Year-on-year acceleration </w:t>
            </w:r>
          </w:p>
        </w:tc>
      </w:tr>
      <w:tr>
        <w:tblPrEx>
          <w:tblLayout w:type="fixed"/>
          <w:tblCellMar>
            <w:top w:w="0" w:type="dxa"/>
            <w:left w:w="0" w:type="dxa"/>
            <w:bottom w:w="0" w:type="dxa"/>
            <w:right w:w="0" w:type="dxa"/>
          </w:tblCellMar>
        </w:tblPrEx>
        <w:trPr>
          <w:trHeight w:val="1014" w:hRule="atLeast"/>
          <w:jc w:val="center"/>
        </w:trPr>
        <w:tc>
          <w:tcPr>
            <w:tcW w:w="3035" w:type="dxa"/>
            <w:tcBorders>
              <w:top w:val="single" w:color="339966" w:sz="12" w:space="0"/>
              <w:left w:val="nil"/>
              <w:bottom w:val="nil"/>
              <w:right w:val="nil"/>
            </w:tcBorders>
            <w:vAlign w:val="center"/>
          </w:tcPr>
          <w:p>
            <w:pPr>
              <w:widowControl/>
              <w:snapToGrid w:val="0"/>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 xml:space="preserve">Chinese-funded large-sized </w:t>
            </w:r>
          </w:p>
          <w:p>
            <w:pPr>
              <w:widowControl/>
              <w:snapToGrid w:val="0"/>
              <w:rPr>
                <w:rFonts w:ascii="Times New Roman" w:hAnsi="Times New Roman" w:cs="Times New Roman"/>
                <w:color w:val="000000" w:themeColor="text1"/>
                <w:kern w:val="0"/>
                <w:sz w:val="24"/>
                <w:szCs w:val="24"/>
                <w:vertAlign w:val="superscript"/>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banks</w:t>
            </w:r>
            <w:r>
              <w:rPr>
                <w:rFonts w:ascii="Times New Roman" w:hAnsi="Times New Roman" w:cs="Times New Roman"/>
                <w:color w:val="000000" w:themeColor="text1"/>
                <w:kern w:val="0"/>
                <w:sz w:val="24"/>
                <w:szCs w:val="24"/>
                <w:vertAlign w:val="superscript"/>
                <w14:textFill>
                  <w14:solidFill>
                    <w14:schemeClr w14:val="tx1"/>
                  </w14:solidFill>
                </w14:textFill>
              </w:rPr>
              <w:t xml:space="preserve"> 1</w:t>
            </w:r>
          </w:p>
        </w:tc>
        <w:tc>
          <w:tcPr>
            <w:tcW w:w="2723" w:type="dxa"/>
            <w:tcBorders>
              <w:top w:val="single" w:color="339966" w:sz="12" w:space="0"/>
              <w:left w:val="single" w:color="339966" w:sz="4" w:space="0"/>
              <w:bottom w:val="nil"/>
              <w:right w:val="nil"/>
            </w:tcBorders>
            <w:vAlign w:val="center"/>
          </w:tcPr>
          <w:p>
            <w:pPr>
              <w:widowControl/>
              <w:ind w:right="105"/>
              <w:jc w:val="righ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40,583</w:t>
            </w:r>
          </w:p>
        </w:tc>
        <w:tc>
          <w:tcPr>
            <w:tcW w:w="2546" w:type="dxa"/>
            <w:tcBorders>
              <w:top w:val="single" w:color="339966" w:sz="12" w:space="0"/>
              <w:left w:val="nil"/>
              <w:bottom w:val="nil"/>
              <w:right w:val="nil"/>
            </w:tcBorders>
            <w:vAlign w:val="center"/>
          </w:tcPr>
          <w:p>
            <w:pPr>
              <w:widowControl/>
              <w:ind w:right="105"/>
              <w:jc w:val="righ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5,061</w:t>
            </w:r>
          </w:p>
        </w:tc>
      </w:tr>
      <w:tr>
        <w:tblPrEx>
          <w:tblLayout w:type="fixed"/>
          <w:tblCellMar>
            <w:top w:w="0" w:type="dxa"/>
            <w:left w:w="0" w:type="dxa"/>
            <w:bottom w:w="0" w:type="dxa"/>
            <w:right w:w="0" w:type="dxa"/>
          </w:tblCellMar>
        </w:tblPrEx>
        <w:trPr>
          <w:trHeight w:val="958" w:hRule="atLeast"/>
          <w:jc w:val="center"/>
        </w:trPr>
        <w:tc>
          <w:tcPr>
            <w:tcW w:w="3035" w:type="dxa"/>
            <w:shd w:val="clear" w:color="auto" w:fill="CCFFCC"/>
            <w:vAlign w:val="center"/>
          </w:tcPr>
          <w:p>
            <w:pPr>
              <w:widowControl/>
              <w:snapToGrid w:val="0"/>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Chinese-funded small- and</w:t>
            </w:r>
          </w:p>
          <w:p>
            <w:pPr>
              <w:widowControl/>
              <w:snapToGrid w:val="0"/>
              <w:rPr>
                <w:rFonts w:ascii="Times New Roman" w:hAnsi="Times New Roman" w:cs="Times New Roman"/>
                <w:color w:val="000000" w:themeColor="text1"/>
                <w:kern w:val="0"/>
                <w:sz w:val="24"/>
                <w:szCs w:val="24"/>
                <w:vertAlign w:val="superscript"/>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medium-sized banks</w:t>
            </w:r>
            <w:r>
              <w:rPr>
                <w:rFonts w:ascii="Times New Roman" w:hAnsi="Times New Roman" w:cs="Times New Roman"/>
                <w:color w:val="000000" w:themeColor="text1"/>
                <w:kern w:val="0"/>
                <w:sz w:val="24"/>
                <w:szCs w:val="24"/>
                <w:vertAlign w:val="superscript"/>
                <w14:textFill>
                  <w14:solidFill>
                    <w14:schemeClr w14:val="tx1"/>
                  </w14:solidFill>
                </w14:textFill>
              </w:rPr>
              <w:t>2</w:t>
            </w:r>
          </w:p>
        </w:tc>
        <w:tc>
          <w:tcPr>
            <w:tcW w:w="2723" w:type="dxa"/>
            <w:tcBorders>
              <w:top w:val="nil"/>
              <w:left w:val="single" w:color="339966" w:sz="4" w:space="0"/>
              <w:bottom w:val="nil"/>
              <w:right w:val="nil"/>
            </w:tcBorders>
            <w:shd w:val="clear" w:color="auto" w:fill="CCFFCC"/>
            <w:vAlign w:val="center"/>
          </w:tcPr>
          <w:p>
            <w:pPr>
              <w:widowControl/>
              <w:ind w:right="105"/>
              <w:jc w:val="righ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55,302</w:t>
            </w:r>
          </w:p>
        </w:tc>
        <w:tc>
          <w:tcPr>
            <w:tcW w:w="2546" w:type="dxa"/>
            <w:shd w:val="clear" w:color="auto" w:fill="CCFFCC"/>
            <w:vAlign w:val="center"/>
          </w:tcPr>
          <w:p>
            <w:pPr>
              <w:widowControl/>
              <w:ind w:right="105"/>
              <w:jc w:val="righ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2,688</w:t>
            </w:r>
          </w:p>
        </w:tc>
      </w:tr>
      <w:tr>
        <w:tblPrEx>
          <w:tblLayout w:type="fixed"/>
          <w:tblCellMar>
            <w:top w:w="0" w:type="dxa"/>
            <w:left w:w="0" w:type="dxa"/>
            <w:bottom w:w="0" w:type="dxa"/>
            <w:right w:w="0" w:type="dxa"/>
          </w:tblCellMar>
        </w:tblPrEx>
        <w:trPr>
          <w:trHeight w:val="858" w:hRule="atLeast"/>
          <w:jc w:val="center"/>
        </w:trPr>
        <w:tc>
          <w:tcPr>
            <w:tcW w:w="3035" w:type="dxa"/>
            <w:vAlign w:val="center"/>
          </w:tcPr>
          <w:p>
            <w:pPr>
              <w:widowControl/>
              <w:snapToGrid w:val="0"/>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 xml:space="preserve">Small-sized rural financial </w:t>
            </w:r>
          </w:p>
          <w:p>
            <w:pPr>
              <w:widowControl/>
              <w:snapToGrid w:val="0"/>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institutions</w:t>
            </w:r>
            <w:r>
              <w:rPr>
                <w:rFonts w:ascii="Times New Roman" w:hAnsi="Times New Roman" w:cs="Times New Roman"/>
                <w:color w:val="000000" w:themeColor="text1"/>
                <w:kern w:val="0"/>
                <w:sz w:val="24"/>
                <w:szCs w:val="24"/>
                <w:vertAlign w:val="superscript"/>
                <w14:textFill>
                  <w14:solidFill>
                    <w14:schemeClr w14:val="tx1"/>
                  </w14:solidFill>
                </w14:textFill>
              </w:rPr>
              <w:t>3</w:t>
            </w:r>
          </w:p>
        </w:tc>
        <w:tc>
          <w:tcPr>
            <w:tcW w:w="2723" w:type="dxa"/>
            <w:tcBorders>
              <w:top w:val="nil"/>
              <w:left w:val="single" w:color="339966" w:sz="4" w:space="0"/>
              <w:bottom w:val="nil"/>
              <w:right w:val="nil"/>
            </w:tcBorders>
            <w:vAlign w:val="center"/>
          </w:tcPr>
          <w:p>
            <w:pPr>
              <w:widowControl/>
              <w:ind w:right="105"/>
              <w:jc w:val="righ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13,530</w:t>
            </w:r>
          </w:p>
        </w:tc>
        <w:tc>
          <w:tcPr>
            <w:tcW w:w="2546" w:type="dxa"/>
            <w:vAlign w:val="center"/>
          </w:tcPr>
          <w:p>
            <w:pPr>
              <w:widowControl/>
              <w:ind w:right="105"/>
              <w:jc w:val="righ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1,321</w:t>
            </w:r>
          </w:p>
        </w:tc>
      </w:tr>
      <w:tr>
        <w:tblPrEx>
          <w:tblLayout w:type="fixed"/>
          <w:tblCellMar>
            <w:top w:w="0" w:type="dxa"/>
            <w:left w:w="0" w:type="dxa"/>
            <w:bottom w:w="0" w:type="dxa"/>
            <w:right w:w="0" w:type="dxa"/>
          </w:tblCellMar>
        </w:tblPrEx>
        <w:trPr>
          <w:trHeight w:val="631" w:hRule="atLeast"/>
          <w:jc w:val="center"/>
        </w:trPr>
        <w:tc>
          <w:tcPr>
            <w:tcW w:w="3035" w:type="dxa"/>
            <w:tcBorders>
              <w:top w:val="nil"/>
              <w:left w:val="nil"/>
              <w:bottom w:val="single" w:color="339966" w:sz="12" w:space="0"/>
              <w:right w:val="nil"/>
            </w:tcBorders>
            <w:shd w:val="clear" w:color="auto" w:fill="CCFFCC"/>
            <w:vAlign w:val="center"/>
          </w:tcPr>
          <w:p>
            <w:pPr>
              <w:widowControl/>
              <w:snapToGrid w:val="0"/>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 xml:space="preserve">Foreign-funded </w:t>
            </w:r>
          </w:p>
          <w:p>
            <w:pPr>
              <w:widowControl/>
              <w:snapToGrid w:val="0"/>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 xml:space="preserve">financial institutions </w:t>
            </w:r>
          </w:p>
        </w:tc>
        <w:tc>
          <w:tcPr>
            <w:tcW w:w="2723" w:type="dxa"/>
            <w:tcBorders>
              <w:top w:val="nil"/>
              <w:left w:val="single" w:color="339966" w:sz="4" w:space="0"/>
              <w:bottom w:val="single" w:color="339966" w:sz="12" w:space="0"/>
              <w:right w:val="nil"/>
            </w:tcBorders>
            <w:shd w:val="clear" w:color="auto" w:fill="CCFFCC"/>
            <w:vAlign w:val="center"/>
          </w:tcPr>
          <w:p>
            <w:pPr>
              <w:widowControl/>
              <w:ind w:right="105"/>
              <w:jc w:val="righ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808</w:t>
            </w:r>
          </w:p>
        </w:tc>
        <w:tc>
          <w:tcPr>
            <w:tcW w:w="2546" w:type="dxa"/>
            <w:tcBorders>
              <w:top w:val="nil"/>
              <w:left w:val="nil"/>
              <w:bottom w:val="single" w:color="339966" w:sz="12" w:space="0"/>
              <w:right w:val="nil"/>
            </w:tcBorders>
            <w:shd w:val="clear" w:color="auto" w:fill="CCFFCC"/>
            <w:vAlign w:val="center"/>
          </w:tcPr>
          <w:p>
            <w:pPr>
              <w:widowControl/>
              <w:ind w:right="105"/>
              <w:jc w:val="righ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-226</w:t>
            </w:r>
          </w:p>
        </w:tc>
      </w:tr>
    </w:tbl>
    <w:p>
      <w:pPr>
        <w:widowControl/>
        <w:snapToGrid w:val="0"/>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 xml:space="preserve">Notes: 1. Chinese-funded large-sized banks refer to banks with assets (in both domestic and foreign currencies) of RMB 2 trillion or more (according to the amount of total assets in both domestic and foreign currencies at end-2008). </w:t>
      </w:r>
    </w:p>
    <w:p>
      <w:pPr>
        <w:widowControl/>
        <w:snapToGrid w:val="0"/>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 xml:space="preserve">2. Chinese-funded small- and medium-sized banks refer to banks with total assets (both in domestic and foreign currencies) of less than RMB 2 trillion (according to the amount of total assets in both domestic and foreign currencies at end-2008). </w:t>
      </w:r>
    </w:p>
    <w:p>
      <w:pPr>
        <w:widowControl/>
        <w:snapToGrid w:val="0"/>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 xml:space="preserve">3. Small-sized rural financial institutions include rural commercial banks, rural cooperative banks, and rural credit cooperatives. </w:t>
      </w:r>
    </w:p>
    <w:p>
      <w:pPr>
        <w:widowControl/>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Source: The People’s Bank of China.</w:t>
      </w:r>
    </w:p>
    <w:p>
      <w:pPr>
        <w:widowControl/>
        <w:rPr>
          <w:rFonts w:ascii="Times New Roman" w:hAnsi="Times New Roman" w:cs="Times New Roman"/>
          <w:color w:val="000000" w:themeColor="text1"/>
          <w:kern w:val="0"/>
          <w:sz w:val="24"/>
          <w:szCs w:val="24"/>
          <w14:textFill>
            <w14:solidFill>
              <w14:schemeClr w14:val="tx1"/>
            </w14:solidFill>
          </w14:textFill>
        </w:rPr>
      </w:pPr>
    </w:p>
    <w:p>
      <w:pPr>
        <w:pStyle w:val="5"/>
        <w:keepNext/>
        <w:jc w:val="center"/>
      </w:pPr>
      <w:r>
        <w:fldChar w:fldCharType="begin"/>
      </w:r>
      <w:r>
        <w:instrText xml:space="preserve"> SEQ 图表 \* ARABIC </w:instrText>
      </w:r>
      <w:r>
        <w:fldChar w:fldCharType="separate"/>
      </w:r>
      <w:bookmarkStart w:id="24" w:name="_Toc17807912"/>
      <w:r>
        <w:t>1</w:t>
      </w:r>
      <w:bookmarkEnd w:id="24"/>
      <w:r>
        <w:fldChar w:fldCharType="end"/>
      </w:r>
    </w:p>
    <w:p>
      <w:pPr>
        <w:pStyle w:val="4"/>
        <w:shd w:val="clear" w:fill="92D050"/>
        <w:rPr>
          <w:highlight w:val="none"/>
        </w:rPr>
      </w:pPr>
      <w:bookmarkStart w:id="25" w:name="_Toc17808064"/>
      <w:r>
        <w:rPr>
          <w:highlight w:val="none"/>
        </w:rPr>
        <w:t>Box 1 Reducing Financial Costs of Micro and Small Businesses (MSBs)</w:t>
      </w:r>
      <w:bookmarkEnd w:id="25"/>
    </w:p>
    <w:p>
      <w:pPr>
        <w:shd w:val="clear" w:fill="92D050"/>
        <w:rPr>
          <w:rFonts w:ascii="Times New Roman" w:hAnsi="Times New Roman" w:cs="Times New Roman"/>
          <w:sz w:val="24"/>
          <w:szCs w:val="24"/>
          <w:highlight w:val="none"/>
        </w:rPr>
      </w:pPr>
      <w:r>
        <w:rPr>
          <w:rFonts w:ascii="Times New Roman" w:hAnsi="Times New Roman" w:cs="Times New Roman"/>
          <w:sz w:val="24"/>
          <w:szCs w:val="24"/>
          <w:highlight w:val="none"/>
        </w:rPr>
        <w:t xml:space="preserve">The CPC Central Committee and the State Council have attached great importance to support the </w:t>
      </w:r>
      <w:r>
        <w:rPr>
          <w:rFonts w:hint="eastAsia" w:ascii="Times New Roman" w:hAnsi="Times New Roman" w:cs="Times New Roman"/>
          <w:sz w:val="24"/>
          <w:szCs w:val="24"/>
          <w:highlight w:val="none"/>
        </w:rPr>
        <w:t>development</w:t>
      </w:r>
      <w:r>
        <w:rPr>
          <w:rFonts w:ascii="Times New Roman" w:hAnsi="Times New Roman" w:cs="Times New Roman"/>
          <w:sz w:val="24"/>
          <w:szCs w:val="24"/>
          <w:highlight w:val="none"/>
        </w:rPr>
        <w:t xml:space="preserve"> of MSBs. The Central Economic Work Conference and the Report on the Work of the Government have made specific arrangements for reducing the financing costs of MSBs. In the fourth quarter of 2018, the average interest rate of newly issued inclusive MSBs by the five major banks fell by 1.11 percentage points from the first quarter of 2018. In 2019, guided by the arrangements of the CPC Central Committee, the State Council, and Xi Jinping's new era of socialism with Chinese characteristics, the PBC, together with other agencies, took further initiatives to launch innovative targeted operations with a variety of monetary-policy instruments to promote credit support for MSBs by reducing the real interest rate and the overall financial costs for MSBs.</w:t>
      </w:r>
    </w:p>
    <w:p>
      <w:pPr>
        <w:shd w:val="clear" w:fill="92D050"/>
        <w:rPr>
          <w:rFonts w:ascii="Times New Roman" w:hAnsi="Times New Roman" w:cs="Times New Roman"/>
          <w:sz w:val="24"/>
          <w:szCs w:val="24"/>
          <w:highlight w:val="none"/>
        </w:rPr>
      </w:pPr>
    </w:p>
    <w:p>
      <w:pPr>
        <w:shd w:val="clear" w:fill="92D050"/>
        <w:rPr>
          <w:rFonts w:ascii="Times New Roman" w:hAnsi="Times New Roman" w:cs="Times New Roman"/>
          <w:sz w:val="24"/>
          <w:szCs w:val="24"/>
          <w:highlight w:val="none"/>
        </w:rPr>
      </w:pPr>
      <w:r>
        <w:rPr>
          <w:rFonts w:ascii="Times New Roman" w:hAnsi="Times New Roman" w:cs="Times New Roman"/>
          <w:sz w:val="24"/>
          <w:szCs w:val="24"/>
          <w:highlight w:val="none"/>
        </w:rPr>
        <w:t>In practice, as banks play a critical role in money supply and monetary-policy transmission, the PBC strived to alleviate the constraints on liquidity, interest rates, and capital in the banking system so as to provide proper conditions to reduce the financing costs of MSBs. At the beginning of 2019, the Reserve Requirement Ratio (RRR) was reduced by 1 percentage point. The Medium-term Lending Facility (MLF) and reverse repurchase operations were carried out in a timely and appropriate manner to maintain reasonably adequate liquidity in the banking system. Furthermore, market interest rates were guided to decline and the transmission from money-market interest rates to lending rates was unblocked to ease interest-rate constraints. The PBC also tried to break capital constraints by using perpetual bonds, encouraging commercial banks to supplement tier-1 capital through multiple channels, and creating a central-bank bill- swap tool (CBS) to enhance the bank's lending capacity to MSBs. Interest rates generally moved downward. The weighted average interest rate of bond repurchases in June 2019 was 1.74 percent, down 1.15 percentage points year on year; the 10-year government bond yield at the end of June was 3.23 percent, down 0.25 percentage point year on year; the weighted average interest rate in June was 5.66 percent, down 0.28 percentage point year on year.</w:t>
      </w:r>
    </w:p>
    <w:p>
      <w:pPr>
        <w:shd w:val="clear" w:fill="92D050"/>
        <w:rPr>
          <w:rFonts w:ascii="Times New Roman" w:hAnsi="Times New Roman" w:cs="Times New Roman"/>
          <w:sz w:val="24"/>
          <w:szCs w:val="24"/>
          <w:highlight w:val="none"/>
        </w:rPr>
      </w:pPr>
    </w:p>
    <w:p>
      <w:pPr>
        <w:shd w:val="clear" w:fill="92D050"/>
        <w:rPr>
          <w:rFonts w:ascii="Times New Roman" w:hAnsi="Times New Roman" w:cs="Times New Roman"/>
          <w:sz w:val="24"/>
          <w:szCs w:val="24"/>
          <w:highlight w:val="none"/>
        </w:rPr>
      </w:pPr>
      <w:r>
        <w:rPr>
          <w:rFonts w:ascii="Times New Roman" w:hAnsi="Times New Roman" w:cs="Times New Roman"/>
          <w:sz w:val="24"/>
          <w:szCs w:val="24"/>
          <w:highlight w:val="none"/>
        </w:rPr>
        <w:t xml:space="preserve">At the same time, the PBC employed structured monetary-policy instruments to provide targeted support to the MSBs. Large banks were encouraged to play a demonstration role to enhance competition in MSBs lending. A macro-prudential assessment (MPA) was adopted to guide financial institutions to increase credit support for private firms and MSBs. </w:t>
      </w:r>
      <w:r>
        <w:rPr>
          <w:rFonts w:hint="eastAsia" w:ascii="Times New Roman" w:hAnsi="Times New Roman" w:cs="Times New Roman"/>
          <w:sz w:val="24"/>
          <w:szCs w:val="24"/>
          <w:highlight w:val="none"/>
        </w:rPr>
        <w:t>By</w:t>
      </w:r>
      <w:r>
        <w:rPr>
          <w:rFonts w:ascii="Times New Roman" w:hAnsi="Times New Roman" w:cs="Times New Roman"/>
          <w:sz w:val="24"/>
          <w:szCs w:val="24"/>
          <w:highlight w:val="none"/>
        </w:rPr>
        <w:t xml:space="preserve"> establishing a “three tranches with two preferential treatments” reserve requirement ratio framework, the PBC expanded coverage of the targeted RRR cuts on inclusive MSB lending by adjusting the qualification criterion for MSB lending eligible for the targeted RRR cuts from “less than RMB 5 million per enterprise” to “less than RMB 10 million per enterprise.” RMB 30 billion was unleashed by the targeted RRR cuts for rural commercial banks serving counties. The PBC raised its central-bank lending and discount quota, reduced its central-bank lending rates on MSBs loans, expanded the scope of eligible collateral</w:t>
      </w:r>
      <w:r>
        <w:rPr>
          <w:rFonts w:hint="eastAsia" w:ascii="Times New Roman" w:hAnsi="Times New Roman" w:cs="Times New Roman"/>
          <w:sz w:val="24"/>
          <w:szCs w:val="24"/>
          <w:highlight w:val="none"/>
        </w:rPr>
        <w:t xml:space="preserve"> of central</w:t>
      </w:r>
      <w:r>
        <w:rPr>
          <w:rFonts w:ascii="Times New Roman" w:hAnsi="Times New Roman" w:cs="Times New Roman"/>
          <w:sz w:val="24"/>
          <w:szCs w:val="24"/>
          <w:highlight w:val="none"/>
        </w:rPr>
        <w:t>-</w:t>
      </w:r>
      <w:r>
        <w:rPr>
          <w:rFonts w:hint="eastAsia" w:ascii="Times New Roman" w:hAnsi="Times New Roman" w:cs="Times New Roman"/>
          <w:sz w:val="24"/>
          <w:szCs w:val="24"/>
          <w:highlight w:val="none"/>
        </w:rPr>
        <w:t>bank financing facilities</w:t>
      </w:r>
      <w:r>
        <w:rPr>
          <w:rFonts w:ascii="Times New Roman" w:hAnsi="Times New Roman" w:cs="Times New Roman"/>
          <w:sz w:val="24"/>
          <w:szCs w:val="24"/>
          <w:highlight w:val="none"/>
        </w:rPr>
        <w:t xml:space="preserve">, and added specific indicators to the MPA to assess the </w:t>
      </w:r>
      <w:r>
        <w:rPr>
          <w:rFonts w:hint="eastAsia" w:ascii="Times New Roman" w:hAnsi="Times New Roman" w:cs="Times New Roman"/>
          <w:sz w:val="24"/>
          <w:szCs w:val="24"/>
          <w:highlight w:val="none"/>
        </w:rPr>
        <w:t>banks</w:t>
      </w:r>
      <w:r>
        <w:rPr>
          <w:rFonts w:ascii="Times New Roman" w:hAnsi="Times New Roman" w:cs="Times New Roman"/>
          <w:sz w:val="24"/>
          <w:szCs w:val="24"/>
          <w:highlight w:val="none"/>
        </w:rPr>
        <w:t>’ financial support to private firms and MSBs. A Targeted Medium-term Lending Facility (TMLF) was introduced to provide long-term stable funding sources at preferential interest rates to financial institutions in accordance with their support for private firms and MSBs.</w:t>
      </w:r>
    </w:p>
    <w:p>
      <w:pPr>
        <w:shd w:val="clear" w:fill="92D050"/>
        <w:rPr>
          <w:rFonts w:ascii="Times New Roman" w:hAnsi="Times New Roman" w:cs="Times New Roman"/>
          <w:sz w:val="24"/>
          <w:szCs w:val="24"/>
          <w:highlight w:val="none"/>
        </w:rPr>
      </w:pPr>
    </w:p>
    <w:p>
      <w:pPr>
        <w:shd w:val="clear" w:fill="92D050"/>
        <w:rPr>
          <w:rFonts w:ascii="Times New Roman" w:hAnsi="Times New Roman" w:cs="Times New Roman"/>
          <w:sz w:val="24"/>
          <w:szCs w:val="24"/>
          <w:highlight w:val="none"/>
        </w:rPr>
      </w:pPr>
      <w:r>
        <w:rPr>
          <w:rFonts w:ascii="Times New Roman" w:hAnsi="Times New Roman" w:cs="Times New Roman"/>
          <w:sz w:val="24"/>
          <w:szCs w:val="24"/>
          <w:highlight w:val="none"/>
        </w:rPr>
        <w:t xml:space="preserve">In general, with the </w:t>
      </w:r>
      <w:r>
        <w:rPr>
          <w:rFonts w:hint="eastAsia" w:ascii="Times New Roman" w:hAnsi="Times New Roman" w:cs="Times New Roman"/>
          <w:sz w:val="24"/>
          <w:szCs w:val="24"/>
          <w:highlight w:val="none"/>
        </w:rPr>
        <w:t>joint</w:t>
      </w:r>
      <w:r>
        <w:rPr>
          <w:rFonts w:ascii="Times New Roman" w:hAnsi="Times New Roman" w:cs="Times New Roman"/>
          <w:sz w:val="24"/>
          <w:szCs w:val="24"/>
          <w:highlight w:val="none"/>
        </w:rPr>
        <w:t xml:space="preserve"> efforts by the relevant agencies, the financing costs of MSBs have been reduced remarkably as various measures have achieved positive results. From January to June 2019, the average interest rate of newly issued inclusive MSB loans was 6.82 percent, 0.58 percentage point lower than the annual average in 2018. </w:t>
      </w:r>
      <w:r>
        <w:rPr>
          <w:rFonts w:hint="eastAsia" w:ascii="Times New Roman" w:hAnsi="Times New Roman" w:cs="Times New Roman"/>
          <w:sz w:val="24"/>
          <w:szCs w:val="24"/>
          <w:highlight w:val="none"/>
        </w:rPr>
        <w:t>B</w:t>
      </w:r>
      <w:r>
        <w:rPr>
          <w:rFonts w:ascii="Times New Roman" w:hAnsi="Times New Roman" w:cs="Times New Roman"/>
          <w:sz w:val="24"/>
          <w:szCs w:val="24"/>
          <w:highlight w:val="none"/>
        </w:rPr>
        <w:t xml:space="preserve">ig banks played a demonstration role. As of the end of June 2019, the average interest rate of newly issued inclusive MSB loans was 4.78 percent, dropping 0.66 percentage point from 2018, or dropping over 1 percentage point taking into account the </w:t>
      </w:r>
      <w:r>
        <w:rPr>
          <w:rFonts w:hint="eastAsia" w:ascii="Times New Roman" w:hAnsi="Times New Roman" w:cs="Times New Roman"/>
          <w:sz w:val="24"/>
          <w:szCs w:val="24"/>
          <w:highlight w:val="none"/>
        </w:rPr>
        <w:t>relevant</w:t>
      </w:r>
      <w:r>
        <w:rPr>
          <w:rFonts w:ascii="Times New Roman" w:hAnsi="Times New Roman" w:cs="Times New Roman"/>
          <w:sz w:val="24"/>
          <w:szCs w:val="24"/>
          <w:highlight w:val="none"/>
        </w:rPr>
        <w:t xml:space="preserve"> lending-related fee reduction </w:t>
      </w:r>
      <w:r>
        <w:rPr>
          <w:rFonts w:hint="eastAsia" w:ascii="Times New Roman" w:hAnsi="Times New Roman" w:cs="Times New Roman"/>
          <w:sz w:val="24"/>
          <w:szCs w:val="24"/>
          <w:highlight w:val="none"/>
        </w:rPr>
        <w:t>of</w:t>
      </w:r>
      <w:r>
        <w:rPr>
          <w:rFonts w:ascii="Times New Roman" w:hAnsi="Times New Roman" w:cs="Times New Roman"/>
          <w:sz w:val="24"/>
          <w:szCs w:val="24"/>
          <w:highlight w:val="none"/>
        </w:rPr>
        <w:t xml:space="preserve"> 0.57 percentage point. </w:t>
      </w:r>
    </w:p>
    <w:p>
      <w:pPr>
        <w:shd w:val="clear" w:fill="92D050"/>
        <w:rPr>
          <w:rFonts w:ascii="Times New Roman" w:hAnsi="Times New Roman" w:cs="Times New Roman"/>
          <w:sz w:val="24"/>
          <w:szCs w:val="24"/>
          <w:highlight w:val="none"/>
        </w:rPr>
      </w:pPr>
    </w:p>
    <w:p>
      <w:pPr>
        <w:shd w:val="clear" w:fill="92D050"/>
        <w:rPr>
          <w:rFonts w:ascii="Times New Roman" w:hAnsi="Times New Roman" w:cs="Times New Roman"/>
          <w:sz w:val="24"/>
          <w:szCs w:val="24"/>
          <w:highlight w:val="none"/>
        </w:rPr>
      </w:pPr>
      <w:r>
        <w:rPr>
          <w:rFonts w:ascii="Times New Roman" w:hAnsi="Times New Roman" w:cs="Times New Roman"/>
          <w:sz w:val="24"/>
          <w:szCs w:val="24"/>
          <w:highlight w:val="none"/>
        </w:rPr>
        <w:t xml:space="preserve">During the next stage, the People's Bank of China will follow the arrangements of the CPC Central Committee and the State Council to reduce further the actual financing </w:t>
      </w:r>
      <w:r>
        <w:rPr>
          <w:rFonts w:hint="eastAsia" w:ascii="Times New Roman" w:hAnsi="Times New Roman" w:cs="Times New Roman"/>
          <w:sz w:val="24"/>
          <w:szCs w:val="24"/>
          <w:highlight w:val="none"/>
        </w:rPr>
        <w:t>cost</w:t>
      </w:r>
      <w:r>
        <w:rPr>
          <w:rFonts w:ascii="Times New Roman" w:hAnsi="Times New Roman" w:cs="Times New Roman"/>
          <w:sz w:val="24"/>
          <w:szCs w:val="24"/>
          <w:highlight w:val="none"/>
        </w:rPr>
        <w:t xml:space="preserve">s for MSBs. We will continue to optimize resource allocations and release reform dividends through financial supply-side structural reforms and market-oriented interest- rate reforms. The PBC will adopt diversified approaches to reduce actual </w:t>
      </w:r>
      <w:r>
        <w:rPr>
          <w:rFonts w:hint="eastAsia" w:ascii="Times New Roman" w:hAnsi="Times New Roman" w:cs="Times New Roman"/>
          <w:sz w:val="24"/>
          <w:szCs w:val="24"/>
          <w:highlight w:val="none"/>
        </w:rPr>
        <w:t>borrowing interest</w:t>
      </w:r>
      <w:r>
        <w:rPr>
          <w:rFonts w:ascii="Times New Roman" w:hAnsi="Times New Roman" w:cs="Times New Roman"/>
          <w:sz w:val="24"/>
          <w:szCs w:val="24"/>
          <w:highlight w:val="none"/>
        </w:rPr>
        <w:t xml:space="preserve"> rates and the overall financing costs of MSBs to improve the funding environment for MSBs. </w:t>
      </w:r>
    </w:p>
    <w:p>
      <w:pPr>
        <w:rPr>
          <w:rFonts w:ascii="Times New Roman" w:hAnsi="Times New Roman" w:cs="Times New Roman"/>
          <w:sz w:val="24"/>
          <w:szCs w:val="24"/>
        </w:rPr>
      </w:pPr>
    </w:p>
    <w:p>
      <w:pPr>
        <w:widowControl/>
        <w:rPr>
          <w:rFonts w:ascii="Times New Roman" w:hAnsi="Times New Roman" w:cs="Times New Roman"/>
          <w:color w:val="000000" w:themeColor="text1"/>
          <w:kern w:val="0"/>
          <w:sz w:val="24"/>
          <w:szCs w:val="24"/>
          <w14:textFill>
            <w14:solidFill>
              <w14:schemeClr w14:val="tx1"/>
            </w14:solidFill>
          </w14:textFill>
        </w:rPr>
      </w:pPr>
    </w:p>
    <w:p>
      <w:pPr>
        <w:widowControl/>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b/>
          <w:bCs/>
          <w:color w:val="000000" w:themeColor="text1"/>
          <w:kern w:val="0"/>
          <w:sz w:val="24"/>
          <w:szCs w:val="24"/>
          <w14:textFill>
            <w14:solidFill>
              <w14:schemeClr w14:val="tx1"/>
            </w14:solidFill>
          </w14:textFill>
        </w:rPr>
        <w:t>The share of loans above</w:t>
      </w:r>
      <w:r>
        <w:rPr>
          <w:rFonts w:hint="eastAsia" w:ascii="Times New Roman" w:hAnsi="Times New Roman" w:cs="Times New Roman"/>
          <w:b/>
          <w:bCs/>
          <w:color w:val="000000" w:themeColor="text1"/>
          <w:kern w:val="0"/>
          <w:sz w:val="24"/>
          <w:szCs w:val="24"/>
          <w14:textFill>
            <w14:solidFill>
              <w14:schemeClr w14:val="tx1"/>
            </w14:solidFill>
          </w14:textFill>
        </w:rPr>
        <w:t xml:space="preserve"> </w:t>
      </w:r>
      <w:r>
        <w:rPr>
          <w:rFonts w:ascii="Times New Roman" w:hAnsi="Times New Roman" w:cs="Times New Roman"/>
          <w:b/>
          <w:bCs/>
          <w:color w:val="000000" w:themeColor="text1"/>
          <w:kern w:val="0"/>
          <w:sz w:val="24"/>
          <w:szCs w:val="24"/>
          <w14:textFill>
            <w14:solidFill>
              <w14:schemeClr w14:val="tx1"/>
            </w14:solidFill>
          </w14:textFill>
        </w:rPr>
        <w:t>the benchmark interest rate fell slightly, the share of loans at</w:t>
      </w:r>
      <w:r>
        <w:rPr>
          <w:rFonts w:hint="eastAsia" w:ascii="Times New Roman" w:hAnsi="Times New Roman" w:cs="Times New Roman"/>
          <w:b/>
          <w:bCs/>
          <w:color w:val="000000" w:themeColor="text1"/>
          <w:kern w:val="0"/>
          <w:sz w:val="24"/>
          <w:szCs w:val="24"/>
          <w14:textFill>
            <w14:solidFill>
              <w14:schemeClr w14:val="tx1"/>
            </w14:solidFill>
          </w14:textFill>
        </w:rPr>
        <w:t xml:space="preserve"> </w:t>
      </w:r>
      <w:r>
        <w:rPr>
          <w:rFonts w:ascii="Times New Roman" w:hAnsi="Times New Roman" w:cs="Times New Roman"/>
          <w:b/>
          <w:bCs/>
          <w:color w:val="000000" w:themeColor="text1"/>
          <w:kern w:val="0"/>
          <w:sz w:val="24"/>
          <w:szCs w:val="24"/>
          <w14:textFill>
            <w14:solidFill>
              <w14:schemeClr w14:val="tx1"/>
            </w14:solidFill>
          </w14:textFill>
        </w:rPr>
        <w:t>the benchmark rate changed little, and the share of loans below</w:t>
      </w:r>
      <w:r>
        <w:rPr>
          <w:rFonts w:hint="eastAsia" w:ascii="Times New Roman" w:hAnsi="Times New Roman" w:cs="Times New Roman"/>
          <w:b/>
          <w:bCs/>
          <w:color w:val="000000" w:themeColor="text1"/>
          <w:kern w:val="0"/>
          <w:sz w:val="24"/>
          <w:szCs w:val="24"/>
          <w14:textFill>
            <w14:solidFill>
              <w14:schemeClr w14:val="tx1"/>
            </w14:solidFill>
          </w14:textFill>
        </w:rPr>
        <w:t xml:space="preserve"> </w:t>
      </w:r>
      <w:r>
        <w:rPr>
          <w:rFonts w:ascii="Times New Roman" w:hAnsi="Times New Roman" w:cs="Times New Roman"/>
          <w:b/>
          <w:bCs/>
          <w:color w:val="000000" w:themeColor="text1"/>
          <w:kern w:val="0"/>
          <w:sz w:val="24"/>
          <w:szCs w:val="24"/>
          <w14:textFill>
            <w14:solidFill>
              <w14:schemeClr w14:val="tx1"/>
            </w14:solidFill>
          </w14:textFill>
        </w:rPr>
        <w:t xml:space="preserve">the benchmark rate increased moderately. </w:t>
      </w:r>
      <w:r>
        <w:rPr>
          <w:rFonts w:ascii="Times New Roman" w:hAnsi="Times New Roman" w:cs="Times New Roman"/>
          <w:color w:val="000000" w:themeColor="text1"/>
          <w:kern w:val="0"/>
          <w:sz w:val="24"/>
          <w:szCs w:val="24"/>
          <w14:textFill>
            <w14:solidFill>
              <w14:schemeClr w14:val="tx1"/>
            </w14:solidFill>
          </w14:textFill>
        </w:rPr>
        <w:t>In June, the share of loans above</w:t>
      </w:r>
      <w:r>
        <w:rPr>
          <w:rFonts w:hint="eastAsia" w:ascii="Times New Roman" w:hAnsi="Times New Roman" w:cs="Times New Roman"/>
          <w:color w:val="000000" w:themeColor="text1"/>
          <w:kern w:val="0"/>
          <w:sz w:val="24"/>
          <w:szCs w:val="24"/>
          <w14:textFill>
            <w14:solidFill>
              <w14:schemeClr w14:val="tx1"/>
            </w14:solidFill>
          </w14:textFill>
        </w:rPr>
        <w:t xml:space="preserve"> </w:t>
      </w:r>
      <w:r>
        <w:rPr>
          <w:rFonts w:ascii="Times New Roman" w:hAnsi="Times New Roman" w:cs="Times New Roman"/>
          <w:color w:val="000000" w:themeColor="text1"/>
          <w:kern w:val="0"/>
          <w:sz w:val="24"/>
          <w:szCs w:val="24"/>
          <w14:textFill>
            <w14:solidFill>
              <w14:schemeClr w14:val="tx1"/>
            </w14:solidFill>
          </w14:textFill>
        </w:rPr>
        <w:t>the benchmark rate registered 66.2 percent, down 1.7 percentage points from March; the share of loans at the benchmark rate registered 16.1 percent, up 0.3 percentage point from March; and the share of loans below</w:t>
      </w:r>
      <w:r>
        <w:rPr>
          <w:rFonts w:hint="eastAsia" w:ascii="Times New Roman" w:hAnsi="Times New Roman" w:cs="Times New Roman"/>
          <w:color w:val="000000" w:themeColor="text1"/>
          <w:kern w:val="0"/>
          <w:sz w:val="24"/>
          <w:szCs w:val="24"/>
          <w14:textFill>
            <w14:solidFill>
              <w14:schemeClr w14:val="tx1"/>
            </w14:solidFill>
          </w14:textFill>
        </w:rPr>
        <w:t xml:space="preserve"> </w:t>
      </w:r>
      <w:r>
        <w:rPr>
          <w:rFonts w:ascii="Times New Roman" w:hAnsi="Times New Roman" w:cs="Times New Roman"/>
          <w:color w:val="000000" w:themeColor="text1"/>
          <w:kern w:val="0"/>
          <w:sz w:val="24"/>
          <w:szCs w:val="24"/>
          <w14:textFill>
            <w14:solidFill>
              <w14:schemeClr w14:val="tx1"/>
            </w14:solidFill>
          </w14:textFill>
        </w:rPr>
        <w:t>the benchmark rate registered 17.8 percent, up 1.4 percentage points from March.</w:t>
      </w:r>
      <w:bookmarkStart w:id="26" w:name="_Toc11315496"/>
      <w:bookmarkStart w:id="27" w:name="_Toc11317454"/>
    </w:p>
    <w:p>
      <w:pPr>
        <w:widowControl/>
        <w:rPr>
          <w:rFonts w:ascii="Times New Roman" w:hAnsi="Times New Roman" w:cs="Times New Roman"/>
          <w:color w:val="000000" w:themeColor="text1"/>
          <w:kern w:val="0"/>
          <w:sz w:val="24"/>
          <w:szCs w:val="24"/>
          <w14:textFill>
            <w14:solidFill>
              <w14:schemeClr w14:val="tx1"/>
            </w14:solidFill>
          </w14:textFill>
        </w:rPr>
      </w:pPr>
    </w:p>
    <w:p>
      <w:pPr>
        <w:pStyle w:val="5"/>
        <w:jc w:val="center"/>
      </w:pPr>
      <w:bookmarkStart w:id="28" w:name="_Toc17809064"/>
      <w:r>
        <w:rPr>
          <w:rFonts w:ascii="Times New Roman" w:hAnsi="Times New Roman" w:cs="Times New Roman"/>
          <w:b/>
          <w:bCs/>
          <w:color w:val="000000" w:themeColor="text1"/>
          <w:kern w:val="0"/>
          <w:sz w:val="24"/>
          <w:szCs w:val="24"/>
          <w14:textFill>
            <w14:solidFill>
              <w14:schemeClr w14:val="tx1"/>
            </w14:solidFill>
          </w14:textFill>
        </w:rPr>
        <w:t xml:space="preserve">Table </w:t>
      </w:r>
      <w:r>
        <w:rPr>
          <w:rFonts w:ascii="Times New Roman" w:hAnsi="Times New Roman" w:cs="Times New Roman"/>
          <w:b/>
          <w:bCs/>
          <w:color w:val="000000" w:themeColor="text1"/>
          <w:kern w:val="0"/>
          <w:sz w:val="24"/>
          <w:szCs w:val="24"/>
          <w14:textFill>
            <w14:solidFill>
              <w14:schemeClr w14:val="tx1"/>
            </w14:solidFill>
          </w14:textFill>
        </w:rPr>
        <w:fldChar w:fldCharType="begin"/>
      </w:r>
      <w:r>
        <w:rPr>
          <w:rFonts w:ascii="Times New Roman" w:hAnsi="Times New Roman" w:cs="Times New Roman"/>
          <w:b/>
          <w:bCs/>
          <w:color w:val="000000" w:themeColor="text1"/>
          <w:kern w:val="0"/>
          <w:sz w:val="24"/>
          <w:szCs w:val="24"/>
          <w14:textFill>
            <w14:solidFill>
              <w14:schemeClr w14:val="tx1"/>
            </w14:solidFill>
          </w14:textFill>
        </w:rPr>
        <w:instrText xml:space="preserve"> SEQ Table \* ARABIC </w:instrText>
      </w:r>
      <w:r>
        <w:rPr>
          <w:rFonts w:ascii="Times New Roman" w:hAnsi="Times New Roman" w:cs="Times New Roman"/>
          <w:b/>
          <w:bCs/>
          <w:color w:val="000000" w:themeColor="text1"/>
          <w:kern w:val="0"/>
          <w:sz w:val="24"/>
          <w:szCs w:val="24"/>
          <w14:textFill>
            <w14:solidFill>
              <w14:schemeClr w14:val="tx1"/>
            </w14:solidFill>
          </w14:textFill>
        </w:rPr>
        <w:fldChar w:fldCharType="separate"/>
      </w:r>
      <w:r>
        <w:rPr>
          <w:rFonts w:ascii="Times New Roman" w:hAnsi="Times New Roman" w:cs="Times New Roman"/>
          <w:b/>
          <w:bCs/>
          <w:color w:val="000000" w:themeColor="text1"/>
          <w:kern w:val="0"/>
          <w:sz w:val="24"/>
          <w:szCs w:val="24"/>
          <w14:textFill>
            <w14:solidFill>
              <w14:schemeClr w14:val="tx1"/>
            </w14:solidFill>
          </w14:textFill>
        </w:rPr>
        <w:t>3</w:t>
      </w:r>
      <w:r>
        <w:rPr>
          <w:rFonts w:ascii="Times New Roman" w:hAnsi="Times New Roman" w:cs="Times New Roman"/>
          <w:b/>
          <w:bCs/>
          <w:color w:val="000000" w:themeColor="text1"/>
          <w:kern w:val="0"/>
          <w:sz w:val="24"/>
          <w:szCs w:val="24"/>
          <w14:textFill>
            <w14:solidFill>
              <w14:schemeClr w14:val="tx1"/>
            </w14:solidFill>
          </w14:textFill>
        </w:rPr>
        <w:fldChar w:fldCharType="end"/>
      </w:r>
      <w:r>
        <w:rPr>
          <w:rFonts w:hint="eastAsia" w:ascii="Times New Roman" w:hAnsi="Times New Roman" w:cs="Times New Roman"/>
          <w:b/>
          <w:bCs/>
          <w:color w:val="000000" w:themeColor="text1"/>
          <w:kern w:val="0"/>
          <w:sz w:val="24"/>
          <w:szCs w:val="24"/>
          <w14:textFill>
            <w14:solidFill>
              <w14:schemeClr w14:val="tx1"/>
            </w14:solidFill>
          </w14:textFill>
        </w:rPr>
        <w:t xml:space="preserve"> </w:t>
      </w:r>
      <w:r>
        <w:rPr>
          <w:rFonts w:ascii="Times New Roman" w:hAnsi="Times New Roman" w:cs="Times New Roman"/>
          <w:b/>
          <w:bCs/>
          <w:color w:val="000000" w:themeColor="text1"/>
          <w:kern w:val="0"/>
          <w:sz w:val="24"/>
          <w:szCs w:val="24"/>
          <w14:textFill>
            <w14:solidFill>
              <w14:schemeClr w14:val="tx1"/>
            </w14:solidFill>
          </w14:textFill>
        </w:rPr>
        <w:t>Shares of RMB Loans with Rates Below, At, or Above the Benchmark Rates,</w:t>
      </w:r>
      <w:r>
        <w:rPr>
          <w:rFonts w:hint="eastAsia" w:ascii="Times New Roman" w:hAnsi="Times New Roman" w:cs="Times New Roman"/>
          <w:b/>
          <w:bCs/>
          <w:color w:val="000000" w:themeColor="text1"/>
          <w:kern w:val="0"/>
          <w:sz w:val="24"/>
          <w:szCs w:val="24"/>
          <w14:textFill>
            <w14:solidFill>
              <w14:schemeClr w14:val="tx1"/>
            </w14:solidFill>
          </w14:textFill>
        </w:rPr>
        <w:t xml:space="preserve"> H1</w:t>
      </w:r>
      <w:r>
        <w:rPr>
          <w:rFonts w:ascii="Times New Roman" w:hAnsi="Times New Roman" w:cs="Times New Roman"/>
          <w:b/>
          <w:bCs/>
          <w:color w:val="000000" w:themeColor="text1"/>
          <w:kern w:val="0"/>
          <w:sz w:val="24"/>
          <w:szCs w:val="24"/>
          <w14:textFill>
            <w14:solidFill>
              <w14:schemeClr w14:val="tx1"/>
            </w14:solidFill>
          </w14:textFill>
        </w:rPr>
        <w:t xml:space="preserve"> 2019</w:t>
      </w:r>
      <w:bookmarkEnd w:id="26"/>
      <w:bookmarkEnd w:id="27"/>
      <w:bookmarkEnd w:id="28"/>
    </w:p>
    <w:tbl>
      <w:tblPr>
        <w:tblStyle w:val="14"/>
        <w:tblW w:w="8696" w:type="dxa"/>
        <w:tblInd w:w="135" w:type="dxa"/>
        <w:tblLayout w:type="fixed"/>
        <w:tblCellMar>
          <w:top w:w="0" w:type="dxa"/>
          <w:left w:w="0" w:type="dxa"/>
          <w:bottom w:w="0" w:type="dxa"/>
          <w:right w:w="0" w:type="dxa"/>
        </w:tblCellMar>
      </w:tblPr>
      <w:tblGrid>
        <w:gridCol w:w="1009"/>
        <w:gridCol w:w="901"/>
        <w:gridCol w:w="963"/>
        <w:gridCol w:w="709"/>
        <w:gridCol w:w="992"/>
        <w:gridCol w:w="890"/>
        <w:gridCol w:w="1080"/>
        <w:gridCol w:w="1252"/>
        <w:gridCol w:w="900"/>
      </w:tblGrid>
      <w:tr>
        <w:tblPrEx>
          <w:tblLayout w:type="fixed"/>
          <w:tblCellMar>
            <w:top w:w="0" w:type="dxa"/>
            <w:left w:w="0" w:type="dxa"/>
            <w:bottom w:w="0" w:type="dxa"/>
            <w:right w:w="0" w:type="dxa"/>
          </w:tblCellMar>
        </w:tblPrEx>
        <w:trPr>
          <w:trHeight w:val="300" w:hRule="atLeast"/>
        </w:trPr>
        <w:tc>
          <w:tcPr>
            <w:tcW w:w="8696" w:type="dxa"/>
            <w:gridSpan w:val="9"/>
            <w:tcBorders>
              <w:top w:val="nil"/>
              <w:left w:val="nil"/>
              <w:bottom w:val="single" w:color="339966" w:sz="12" w:space="0"/>
              <w:right w:val="nil"/>
            </w:tcBorders>
            <w:tcMar>
              <w:top w:w="15" w:type="dxa"/>
              <w:left w:w="15" w:type="dxa"/>
              <w:bottom w:w="0" w:type="dxa"/>
              <w:right w:w="15" w:type="dxa"/>
            </w:tcMar>
            <w:vAlign w:val="center"/>
          </w:tcPr>
          <w:p>
            <w:pPr>
              <w:widowControl/>
              <w:jc w:val="righ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Unit: %</w:t>
            </w:r>
          </w:p>
        </w:tc>
      </w:tr>
      <w:tr>
        <w:tblPrEx>
          <w:tblLayout w:type="fixed"/>
          <w:tblCellMar>
            <w:top w:w="0" w:type="dxa"/>
            <w:left w:w="0" w:type="dxa"/>
            <w:bottom w:w="0" w:type="dxa"/>
            <w:right w:w="0" w:type="dxa"/>
          </w:tblCellMar>
        </w:tblPrEx>
        <w:trPr>
          <w:trHeight w:val="300" w:hRule="atLeast"/>
        </w:trPr>
        <w:tc>
          <w:tcPr>
            <w:tcW w:w="1009" w:type="dxa"/>
            <w:vMerge w:val="restart"/>
            <w:tcBorders>
              <w:top w:val="nil"/>
              <w:left w:val="nil"/>
              <w:bottom w:val="single" w:color="339966" w:sz="4" w:space="0"/>
              <w:right w:val="single" w:color="339966" w:sz="4" w:space="0"/>
            </w:tcBorders>
            <w:shd w:val="clear" w:color="auto" w:fill="CCFFCC"/>
            <w:tcMar>
              <w:top w:w="15" w:type="dxa"/>
              <w:left w:w="15" w:type="dxa"/>
              <w:bottom w:w="0" w:type="dxa"/>
              <w:right w:w="15" w:type="dxa"/>
            </w:tcMar>
            <w:vAlign w:val="cente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 xml:space="preserve">Month </w:t>
            </w:r>
          </w:p>
        </w:tc>
        <w:tc>
          <w:tcPr>
            <w:tcW w:w="901" w:type="dxa"/>
            <w:vMerge w:val="restart"/>
            <w:tcBorders>
              <w:top w:val="single" w:color="339966" w:sz="12" w:space="0"/>
              <w:left w:val="nil"/>
              <w:bottom w:val="single" w:color="339966" w:sz="4" w:space="0"/>
              <w:right w:val="nil"/>
            </w:tcBorders>
            <w:shd w:val="clear" w:color="auto" w:fill="CCFFCC"/>
            <w:tcMar>
              <w:top w:w="15" w:type="dxa"/>
              <w:left w:w="15" w:type="dxa"/>
              <w:bottom w:w="0" w:type="dxa"/>
              <w:right w:w="15" w:type="dxa"/>
            </w:tcMar>
            <w:vAlign w:val="cente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 xml:space="preserve">Below the benchmark </w:t>
            </w:r>
          </w:p>
        </w:tc>
        <w:tc>
          <w:tcPr>
            <w:tcW w:w="963" w:type="dxa"/>
            <w:vMerge w:val="restart"/>
            <w:tcBorders>
              <w:top w:val="single" w:color="339966" w:sz="12" w:space="0"/>
              <w:left w:val="single" w:color="339966" w:sz="4" w:space="0"/>
              <w:bottom w:val="single" w:color="339966" w:sz="4" w:space="0"/>
              <w:right w:val="single" w:color="339966" w:sz="4" w:space="0"/>
            </w:tcBorders>
            <w:shd w:val="clear" w:color="auto" w:fill="CCFFCC"/>
            <w:tcMar>
              <w:top w:w="15" w:type="dxa"/>
              <w:left w:w="15" w:type="dxa"/>
              <w:bottom w:w="0" w:type="dxa"/>
              <w:right w:w="15" w:type="dxa"/>
            </w:tcMar>
            <w:vAlign w:val="cente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 xml:space="preserve">At the benchmark </w:t>
            </w:r>
          </w:p>
        </w:tc>
        <w:tc>
          <w:tcPr>
            <w:tcW w:w="5823" w:type="dxa"/>
            <w:gridSpan w:val="6"/>
            <w:tcBorders>
              <w:top w:val="single" w:color="339966" w:sz="12" w:space="0"/>
              <w:left w:val="nil"/>
              <w:bottom w:val="single" w:color="339966" w:sz="4" w:space="0"/>
              <w:right w:val="nil"/>
            </w:tcBorders>
            <w:shd w:val="clear" w:color="auto" w:fill="CCFFCC"/>
            <w:tcMar>
              <w:top w:w="15" w:type="dxa"/>
              <w:left w:w="15" w:type="dxa"/>
              <w:bottom w:w="0" w:type="dxa"/>
              <w:right w:w="15" w:type="dxa"/>
            </w:tcMar>
            <w:vAlign w:val="cente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Above the benchmark</w:t>
            </w:r>
          </w:p>
        </w:tc>
      </w:tr>
      <w:tr>
        <w:tblPrEx>
          <w:tblLayout w:type="fixed"/>
          <w:tblCellMar>
            <w:top w:w="0" w:type="dxa"/>
            <w:left w:w="0" w:type="dxa"/>
            <w:bottom w:w="0" w:type="dxa"/>
            <w:right w:w="0" w:type="dxa"/>
          </w:tblCellMar>
        </w:tblPrEx>
        <w:trPr>
          <w:trHeight w:val="359" w:hRule="atLeast"/>
        </w:trPr>
        <w:tc>
          <w:tcPr>
            <w:tcW w:w="1009" w:type="dxa"/>
            <w:vMerge w:val="continue"/>
            <w:tcBorders>
              <w:top w:val="nil"/>
              <w:left w:val="nil"/>
              <w:bottom w:val="single" w:color="339966" w:sz="4" w:space="0"/>
              <w:right w:val="single" w:color="339966" w:sz="4" w:space="0"/>
            </w:tcBorders>
            <w:vAlign w:val="center"/>
          </w:tcPr>
          <w:p>
            <w:pPr>
              <w:widowControl/>
              <w:jc w:val="left"/>
              <w:rPr>
                <w:rFonts w:ascii="Times New Roman" w:hAnsi="Times New Roman" w:cs="Times New Roman"/>
                <w:color w:val="000000" w:themeColor="text1"/>
                <w:kern w:val="0"/>
                <w:sz w:val="24"/>
                <w:szCs w:val="24"/>
                <w14:textFill>
                  <w14:solidFill>
                    <w14:schemeClr w14:val="tx1"/>
                  </w14:solidFill>
                </w14:textFill>
              </w:rPr>
            </w:pPr>
          </w:p>
        </w:tc>
        <w:tc>
          <w:tcPr>
            <w:tcW w:w="901" w:type="dxa"/>
            <w:vMerge w:val="continue"/>
            <w:tcBorders>
              <w:top w:val="single" w:color="339966" w:sz="12" w:space="0"/>
              <w:left w:val="nil"/>
              <w:bottom w:val="single" w:color="339966" w:sz="4" w:space="0"/>
              <w:right w:val="nil"/>
            </w:tcBorders>
            <w:vAlign w:val="center"/>
          </w:tcPr>
          <w:p>
            <w:pPr>
              <w:widowControl/>
              <w:jc w:val="left"/>
              <w:rPr>
                <w:rFonts w:ascii="Times New Roman" w:hAnsi="Times New Roman" w:cs="Times New Roman"/>
                <w:color w:val="000000" w:themeColor="text1"/>
                <w:kern w:val="0"/>
                <w:sz w:val="24"/>
                <w:szCs w:val="24"/>
                <w14:textFill>
                  <w14:solidFill>
                    <w14:schemeClr w14:val="tx1"/>
                  </w14:solidFill>
                </w14:textFill>
              </w:rPr>
            </w:pPr>
          </w:p>
        </w:tc>
        <w:tc>
          <w:tcPr>
            <w:tcW w:w="963" w:type="dxa"/>
            <w:vMerge w:val="continue"/>
            <w:tcBorders>
              <w:top w:val="single" w:color="339966" w:sz="12" w:space="0"/>
              <w:left w:val="single" w:color="339966" w:sz="4" w:space="0"/>
              <w:bottom w:val="single" w:color="339966" w:sz="4" w:space="0"/>
              <w:right w:val="single" w:color="339966" w:sz="4" w:space="0"/>
            </w:tcBorders>
            <w:vAlign w:val="center"/>
          </w:tcPr>
          <w:p>
            <w:pPr>
              <w:widowControl/>
              <w:jc w:val="left"/>
              <w:rPr>
                <w:rFonts w:ascii="Times New Roman" w:hAnsi="Times New Roman" w:cs="Times New Roman"/>
                <w:color w:val="000000" w:themeColor="text1"/>
                <w:kern w:val="0"/>
                <w:sz w:val="24"/>
                <w:szCs w:val="24"/>
                <w14:textFill>
                  <w14:solidFill>
                    <w14:schemeClr w14:val="tx1"/>
                  </w14:solidFill>
                </w14:textFill>
              </w:rPr>
            </w:pPr>
          </w:p>
        </w:tc>
        <w:tc>
          <w:tcPr>
            <w:tcW w:w="709" w:type="dxa"/>
            <w:tcBorders>
              <w:top w:val="nil"/>
              <w:left w:val="nil"/>
              <w:bottom w:val="single" w:color="339966" w:sz="4" w:space="0"/>
              <w:right w:val="single" w:color="339966" w:sz="4" w:space="0"/>
            </w:tcBorders>
            <w:shd w:val="clear" w:color="auto" w:fill="CCFFCC"/>
            <w:tcMar>
              <w:top w:w="15" w:type="dxa"/>
              <w:left w:w="15" w:type="dxa"/>
              <w:bottom w:w="0" w:type="dxa"/>
              <w:right w:w="15" w:type="dxa"/>
            </w:tcMar>
            <w:vAlign w:val="bottom"/>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Sub-total</w:t>
            </w:r>
          </w:p>
        </w:tc>
        <w:tc>
          <w:tcPr>
            <w:tcW w:w="992" w:type="dxa"/>
            <w:tcBorders>
              <w:top w:val="nil"/>
              <w:left w:val="nil"/>
              <w:bottom w:val="single" w:color="339966" w:sz="4" w:space="0"/>
              <w:right w:val="single" w:color="339966" w:sz="4" w:space="0"/>
            </w:tcBorders>
            <w:shd w:val="clear" w:color="auto" w:fill="CCFFCC"/>
            <w:tcMar>
              <w:top w:w="15" w:type="dxa"/>
              <w:left w:w="15" w:type="dxa"/>
              <w:bottom w:w="0" w:type="dxa"/>
              <w:right w:w="15" w:type="dxa"/>
            </w:tcMar>
            <w:vAlign w:val="bottom"/>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(1,1.1]</w:t>
            </w:r>
          </w:p>
        </w:tc>
        <w:tc>
          <w:tcPr>
            <w:tcW w:w="890" w:type="dxa"/>
            <w:tcBorders>
              <w:top w:val="nil"/>
              <w:left w:val="nil"/>
              <w:bottom w:val="single" w:color="339966" w:sz="4" w:space="0"/>
              <w:right w:val="single" w:color="339966" w:sz="4" w:space="0"/>
            </w:tcBorders>
            <w:shd w:val="clear" w:color="auto" w:fill="CCFFCC"/>
            <w:tcMar>
              <w:top w:w="15" w:type="dxa"/>
              <w:left w:w="15" w:type="dxa"/>
              <w:bottom w:w="0" w:type="dxa"/>
              <w:right w:w="15" w:type="dxa"/>
            </w:tcMar>
            <w:vAlign w:val="bottom"/>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(1.1,1.3]</w:t>
            </w:r>
          </w:p>
        </w:tc>
        <w:tc>
          <w:tcPr>
            <w:tcW w:w="1080" w:type="dxa"/>
            <w:tcBorders>
              <w:top w:val="nil"/>
              <w:left w:val="nil"/>
              <w:bottom w:val="single" w:color="339966" w:sz="4" w:space="0"/>
              <w:right w:val="single" w:color="339966" w:sz="4" w:space="0"/>
            </w:tcBorders>
            <w:shd w:val="clear" w:color="auto" w:fill="CCFFCC"/>
            <w:tcMar>
              <w:top w:w="15" w:type="dxa"/>
              <w:left w:w="15" w:type="dxa"/>
              <w:bottom w:w="0" w:type="dxa"/>
              <w:right w:w="15" w:type="dxa"/>
            </w:tcMar>
            <w:vAlign w:val="bottom"/>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(1.3,1.5]</w:t>
            </w:r>
          </w:p>
        </w:tc>
        <w:tc>
          <w:tcPr>
            <w:tcW w:w="1252" w:type="dxa"/>
            <w:tcBorders>
              <w:top w:val="nil"/>
              <w:left w:val="nil"/>
              <w:bottom w:val="single" w:color="339966" w:sz="4" w:space="0"/>
              <w:right w:val="single" w:color="339966" w:sz="4" w:space="0"/>
            </w:tcBorders>
            <w:shd w:val="clear" w:color="auto" w:fill="CCFFCC"/>
            <w:tcMar>
              <w:top w:w="15" w:type="dxa"/>
              <w:left w:w="15" w:type="dxa"/>
              <w:bottom w:w="0" w:type="dxa"/>
              <w:right w:w="15" w:type="dxa"/>
            </w:tcMar>
            <w:vAlign w:val="bottom"/>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(1.5,2.0]</w:t>
            </w:r>
          </w:p>
        </w:tc>
        <w:tc>
          <w:tcPr>
            <w:tcW w:w="900" w:type="dxa"/>
            <w:tcBorders>
              <w:top w:val="nil"/>
              <w:left w:val="nil"/>
              <w:bottom w:val="single" w:color="339966" w:sz="4" w:space="0"/>
              <w:right w:val="nil"/>
            </w:tcBorders>
            <w:shd w:val="clear" w:color="auto" w:fill="CCFFCC"/>
            <w:tcMar>
              <w:top w:w="15" w:type="dxa"/>
              <w:left w:w="15" w:type="dxa"/>
              <w:bottom w:w="0" w:type="dxa"/>
              <w:right w:w="15" w:type="dxa"/>
            </w:tcMar>
            <w:vAlign w:val="bottom"/>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More than  2.0</w:t>
            </w:r>
          </w:p>
        </w:tc>
      </w:tr>
      <w:tr>
        <w:tblPrEx>
          <w:tblLayout w:type="fixed"/>
          <w:tblCellMar>
            <w:top w:w="0" w:type="dxa"/>
            <w:left w:w="0" w:type="dxa"/>
            <w:bottom w:w="0" w:type="dxa"/>
            <w:right w:w="0" w:type="dxa"/>
          </w:tblCellMar>
        </w:tblPrEx>
        <w:trPr>
          <w:trHeight w:val="285" w:hRule="atLeast"/>
        </w:trPr>
        <w:tc>
          <w:tcPr>
            <w:tcW w:w="1009" w:type="dxa"/>
            <w:tcBorders>
              <w:top w:val="single" w:color="339966" w:sz="4" w:space="0"/>
              <w:left w:val="nil"/>
              <w:bottom w:val="nil"/>
              <w:right w:val="single" w:color="339966" w:sz="4" w:space="0"/>
            </w:tcBorders>
            <w:tcMar>
              <w:top w:w="15" w:type="dxa"/>
              <w:left w:w="15" w:type="dxa"/>
              <w:bottom w:w="0" w:type="dxa"/>
              <w:right w:w="15" w:type="dxa"/>
            </w:tcMar>
            <w:vAlign w:val="cente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January</w:t>
            </w:r>
          </w:p>
        </w:tc>
        <w:tc>
          <w:tcPr>
            <w:tcW w:w="901" w:type="dxa"/>
            <w:tcBorders>
              <w:top w:val="single" w:color="339966" w:sz="4" w:space="0"/>
              <w:left w:val="nil"/>
              <w:bottom w:val="nil"/>
              <w:right w:val="single" w:color="339966" w:sz="4" w:space="0"/>
            </w:tcBorders>
            <w:shd w:val="clear" w:color="auto" w:fill="FFFFFF"/>
            <w:tcMar>
              <w:top w:w="15" w:type="dxa"/>
              <w:left w:w="15" w:type="dxa"/>
              <w:bottom w:w="0" w:type="dxa"/>
              <w:right w:w="15" w:type="dxa"/>
            </w:tcMa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15.67</w:t>
            </w:r>
          </w:p>
        </w:tc>
        <w:tc>
          <w:tcPr>
            <w:tcW w:w="963" w:type="dxa"/>
            <w:tcBorders>
              <w:top w:val="single" w:color="339966" w:sz="4" w:space="0"/>
              <w:left w:val="nil"/>
              <w:bottom w:val="nil"/>
              <w:right w:val="single" w:color="339966" w:sz="4" w:space="0"/>
            </w:tcBorders>
            <w:shd w:val="clear" w:color="auto" w:fill="FFFFFF"/>
            <w:tcMar>
              <w:top w:w="15" w:type="dxa"/>
              <w:left w:w="15" w:type="dxa"/>
              <w:bottom w:w="0" w:type="dxa"/>
              <w:right w:w="15" w:type="dxa"/>
            </w:tcMa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16.56</w:t>
            </w:r>
          </w:p>
        </w:tc>
        <w:tc>
          <w:tcPr>
            <w:tcW w:w="709" w:type="dxa"/>
            <w:tcBorders>
              <w:top w:val="single" w:color="339966" w:sz="4" w:space="0"/>
              <w:left w:val="nil"/>
              <w:bottom w:val="nil"/>
              <w:right w:val="single" w:color="339966" w:sz="4" w:space="0"/>
            </w:tcBorders>
            <w:shd w:val="clear" w:color="auto" w:fill="FFFFFF"/>
            <w:tcMar>
              <w:top w:w="15" w:type="dxa"/>
              <w:left w:w="15" w:type="dxa"/>
              <w:bottom w:w="0" w:type="dxa"/>
              <w:right w:w="15" w:type="dxa"/>
            </w:tcMa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67.77</w:t>
            </w:r>
          </w:p>
        </w:tc>
        <w:tc>
          <w:tcPr>
            <w:tcW w:w="992" w:type="dxa"/>
            <w:tcBorders>
              <w:top w:val="single" w:color="339966" w:sz="4" w:space="0"/>
              <w:left w:val="nil"/>
              <w:bottom w:val="nil"/>
              <w:right w:val="single" w:color="339966" w:sz="4" w:space="0"/>
            </w:tcBorders>
            <w:shd w:val="clear" w:color="auto" w:fill="FFFFFF"/>
            <w:tcMar>
              <w:top w:w="15" w:type="dxa"/>
              <w:left w:w="15" w:type="dxa"/>
              <w:bottom w:w="0" w:type="dxa"/>
              <w:right w:w="15" w:type="dxa"/>
            </w:tcMa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13.84</w:t>
            </w:r>
          </w:p>
        </w:tc>
        <w:tc>
          <w:tcPr>
            <w:tcW w:w="890" w:type="dxa"/>
            <w:tcBorders>
              <w:top w:val="single" w:color="339966" w:sz="4" w:space="0"/>
              <w:left w:val="nil"/>
              <w:bottom w:val="nil"/>
              <w:right w:val="single" w:color="339966" w:sz="4" w:space="0"/>
            </w:tcBorders>
            <w:shd w:val="clear" w:color="auto" w:fill="FFFFFF"/>
            <w:tcMar>
              <w:top w:w="15" w:type="dxa"/>
              <w:left w:w="15" w:type="dxa"/>
              <w:bottom w:w="0" w:type="dxa"/>
              <w:right w:w="15" w:type="dxa"/>
            </w:tcMa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19.63</w:t>
            </w:r>
          </w:p>
        </w:tc>
        <w:tc>
          <w:tcPr>
            <w:tcW w:w="1080" w:type="dxa"/>
            <w:tcBorders>
              <w:top w:val="single" w:color="339966" w:sz="4" w:space="0"/>
              <w:left w:val="nil"/>
              <w:bottom w:val="nil"/>
              <w:right w:val="single" w:color="339966" w:sz="4" w:space="0"/>
            </w:tcBorders>
            <w:shd w:val="clear" w:color="auto" w:fill="FFFFFF"/>
            <w:tcMar>
              <w:top w:w="15" w:type="dxa"/>
              <w:left w:w="15" w:type="dxa"/>
              <w:bottom w:w="0" w:type="dxa"/>
              <w:right w:w="15" w:type="dxa"/>
            </w:tcMa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11.58</w:t>
            </w:r>
          </w:p>
        </w:tc>
        <w:tc>
          <w:tcPr>
            <w:tcW w:w="1252" w:type="dxa"/>
            <w:tcBorders>
              <w:top w:val="single" w:color="339966" w:sz="4" w:space="0"/>
              <w:left w:val="nil"/>
              <w:bottom w:val="nil"/>
              <w:right w:val="single" w:color="339966" w:sz="4" w:space="0"/>
            </w:tcBorders>
            <w:shd w:val="clear" w:color="auto" w:fill="FFFFFF"/>
            <w:tcMar>
              <w:top w:w="15" w:type="dxa"/>
              <w:left w:w="15" w:type="dxa"/>
              <w:bottom w:w="0" w:type="dxa"/>
              <w:right w:w="15" w:type="dxa"/>
            </w:tcMa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14.37</w:t>
            </w:r>
          </w:p>
        </w:tc>
        <w:tc>
          <w:tcPr>
            <w:tcW w:w="900" w:type="dxa"/>
            <w:tcBorders>
              <w:top w:val="single" w:color="339966" w:sz="4" w:space="0"/>
              <w:left w:val="nil"/>
              <w:bottom w:val="nil"/>
              <w:right w:val="nil"/>
            </w:tcBorders>
            <w:shd w:val="clear" w:color="auto" w:fill="FFFFFF"/>
            <w:tcMar>
              <w:top w:w="15" w:type="dxa"/>
              <w:left w:w="15" w:type="dxa"/>
              <w:bottom w:w="0" w:type="dxa"/>
              <w:right w:w="15" w:type="dxa"/>
            </w:tcMa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8.35</w:t>
            </w:r>
          </w:p>
        </w:tc>
      </w:tr>
      <w:tr>
        <w:tblPrEx>
          <w:tblLayout w:type="fixed"/>
          <w:tblCellMar>
            <w:top w:w="0" w:type="dxa"/>
            <w:left w:w="0" w:type="dxa"/>
            <w:bottom w:w="0" w:type="dxa"/>
            <w:right w:w="0" w:type="dxa"/>
          </w:tblCellMar>
        </w:tblPrEx>
        <w:trPr>
          <w:trHeight w:val="285" w:hRule="atLeast"/>
        </w:trPr>
        <w:tc>
          <w:tcPr>
            <w:tcW w:w="1009" w:type="dxa"/>
            <w:tcBorders>
              <w:top w:val="nil"/>
              <w:left w:val="nil"/>
              <w:bottom w:val="nil"/>
              <w:right w:val="single" w:color="339966" w:sz="4" w:space="0"/>
            </w:tcBorders>
            <w:shd w:val="clear" w:color="auto" w:fill="CCFFCC"/>
            <w:tcMar>
              <w:top w:w="15" w:type="dxa"/>
              <w:left w:w="15" w:type="dxa"/>
              <w:bottom w:w="0" w:type="dxa"/>
              <w:right w:w="15" w:type="dxa"/>
            </w:tcMar>
            <w:vAlign w:val="cente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February</w:t>
            </w:r>
          </w:p>
        </w:tc>
        <w:tc>
          <w:tcPr>
            <w:tcW w:w="901" w:type="dxa"/>
            <w:tcBorders>
              <w:top w:val="nil"/>
              <w:left w:val="nil"/>
              <w:bottom w:val="nil"/>
              <w:right w:val="single" w:color="339966" w:sz="4" w:space="0"/>
            </w:tcBorders>
            <w:shd w:val="clear" w:color="auto" w:fill="CCFFCC"/>
            <w:tcMar>
              <w:top w:w="15" w:type="dxa"/>
              <w:left w:w="15" w:type="dxa"/>
              <w:bottom w:w="0" w:type="dxa"/>
              <w:right w:w="15" w:type="dxa"/>
            </w:tcMa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17.78</w:t>
            </w:r>
          </w:p>
        </w:tc>
        <w:tc>
          <w:tcPr>
            <w:tcW w:w="963" w:type="dxa"/>
            <w:tcBorders>
              <w:top w:val="nil"/>
              <w:left w:val="nil"/>
              <w:bottom w:val="nil"/>
              <w:right w:val="single" w:color="339966" w:sz="4" w:space="0"/>
            </w:tcBorders>
            <w:shd w:val="clear" w:color="auto" w:fill="CCFFCC"/>
            <w:tcMar>
              <w:top w:w="15" w:type="dxa"/>
              <w:left w:w="15" w:type="dxa"/>
              <w:bottom w:w="0" w:type="dxa"/>
              <w:right w:w="15" w:type="dxa"/>
            </w:tcMa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16.07</w:t>
            </w:r>
          </w:p>
        </w:tc>
        <w:tc>
          <w:tcPr>
            <w:tcW w:w="709" w:type="dxa"/>
            <w:tcBorders>
              <w:top w:val="nil"/>
              <w:left w:val="nil"/>
              <w:bottom w:val="nil"/>
              <w:right w:val="single" w:color="339966" w:sz="4" w:space="0"/>
            </w:tcBorders>
            <w:shd w:val="clear" w:color="auto" w:fill="CCFFCC"/>
            <w:tcMar>
              <w:top w:w="15" w:type="dxa"/>
              <w:left w:w="15" w:type="dxa"/>
              <w:bottom w:w="0" w:type="dxa"/>
              <w:right w:w="15" w:type="dxa"/>
            </w:tcMa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66.15</w:t>
            </w:r>
          </w:p>
        </w:tc>
        <w:tc>
          <w:tcPr>
            <w:tcW w:w="992" w:type="dxa"/>
            <w:tcBorders>
              <w:top w:val="nil"/>
              <w:left w:val="nil"/>
              <w:bottom w:val="nil"/>
              <w:right w:val="single" w:color="339966" w:sz="4" w:space="0"/>
            </w:tcBorders>
            <w:shd w:val="clear" w:color="auto" w:fill="CCFFCC"/>
            <w:tcMar>
              <w:top w:w="15" w:type="dxa"/>
              <w:left w:w="15" w:type="dxa"/>
              <w:bottom w:w="0" w:type="dxa"/>
              <w:right w:w="15" w:type="dxa"/>
            </w:tcMa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13.09</w:t>
            </w:r>
          </w:p>
        </w:tc>
        <w:tc>
          <w:tcPr>
            <w:tcW w:w="890" w:type="dxa"/>
            <w:tcBorders>
              <w:top w:val="nil"/>
              <w:left w:val="nil"/>
              <w:bottom w:val="nil"/>
              <w:right w:val="single" w:color="339966" w:sz="4" w:space="0"/>
            </w:tcBorders>
            <w:shd w:val="clear" w:color="auto" w:fill="CCFFCC"/>
            <w:tcMar>
              <w:top w:w="15" w:type="dxa"/>
              <w:left w:w="15" w:type="dxa"/>
              <w:bottom w:w="0" w:type="dxa"/>
              <w:right w:w="15" w:type="dxa"/>
            </w:tcMa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18.14</w:t>
            </w:r>
          </w:p>
        </w:tc>
        <w:tc>
          <w:tcPr>
            <w:tcW w:w="1080" w:type="dxa"/>
            <w:tcBorders>
              <w:top w:val="nil"/>
              <w:left w:val="nil"/>
              <w:bottom w:val="nil"/>
              <w:right w:val="single" w:color="339966" w:sz="4" w:space="0"/>
            </w:tcBorders>
            <w:shd w:val="clear" w:color="auto" w:fill="CCFFCC"/>
            <w:tcMar>
              <w:top w:w="15" w:type="dxa"/>
              <w:left w:w="15" w:type="dxa"/>
              <w:bottom w:w="0" w:type="dxa"/>
              <w:right w:w="15" w:type="dxa"/>
            </w:tcMa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10.33</w:t>
            </w:r>
          </w:p>
        </w:tc>
        <w:tc>
          <w:tcPr>
            <w:tcW w:w="1252" w:type="dxa"/>
            <w:tcBorders>
              <w:top w:val="nil"/>
              <w:left w:val="nil"/>
              <w:bottom w:val="nil"/>
              <w:right w:val="single" w:color="339966" w:sz="4" w:space="0"/>
            </w:tcBorders>
            <w:shd w:val="clear" w:color="auto" w:fill="CCFFCC"/>
            <w:tcMar>
              <w:top w:w="15" w:type="dxa"/>
              <w:left w:w="15" w:type="dxa"/>
              <w:bottom w:w="0" w:type="dxa"/>
              <w:right w:w="15" w:type="dxa"/>
            </w:tcMa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13.97</w:t>
            </w:r>
          </w:p>
        </w:tc>
        <w:tc>
          <w:tcPr>
            <w:tcW w:w="900" w:type="dxa"/>
            <w:tcBorders>
              <w:top w:val="nil"/>
              <w:left w:val="nil"/>
              <w:bottom w:val="nil"/>
              <w:right w:val="nil"/>
            </w:tcBorders>
            <w:shd w:val="clear" w:color="auto" w:fill="CCFFCC"/>
            <w:tcMar>
              <w:top w:w="15" w:type="dxa"/>
              <w:left w:w="15" w:type="dxa"/>
              <w:bottom w:w="0" w:type="dxa"/>
              <w:right w:w="15" w:type="dxa"/>
            </w:tcMa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10.63</w:t>
            </w:r>
          </w:p>
        </w:tc>
      </w:tr>
      <w:tr>
        <w:tblPrEx>
          <w:tblLayout w:type="fixed"/>
          <w:tblCellMar>
            <w:top w:w="0" w:type="dxa"/>
            <w:left w:w="0" w:type="dxa"/>
            <w:bottom w:w="0" w:type="dxa"/>
            <w:right w:w="0" w:type="dxa"/>
          </w:tblCellMar>
        </w:tblPrEx>
        <w:trPr>
          <w:trHeight w:val="285" w:hRule="atLeast"/>
        </w:trPr>
        <w:tc>
          <w:tcPr>
            <w:tcW w:w="1009" w:type="dxa"/>
            <w:tcBorders>
              <w:top w:val="nil"/>
              <w:left w:val="nil"/>
              <w:bottom w:val="nil"/>
              <w:right w:val="single" w:color="339966" w:sz="4" w:space="0"/>
            </w:tcBorders>
            <w:tcMar>
              <w:top w:w="15" w:type="dxa"/>
              <w:left w:w="15" w:type="dxa"/>
              <w:bottom w:w="0" w:type="dxa"/>
              <w:right w:w="15" w:type="dxa"/>
            </w:tcMar>
            <w:vAlign w:val="cente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March</w:t>
            </w:r>
          </w:p>
        </w:tc>
        <w:tc>
          <w:tcPr>
            <w:tcW w:w="901" w:type="dxa"/>
            <w:tcBorders>
              <w:top w:val="nil"/>
              <w:left w:val="nil"/>
              <w:bottom w:val="nil"/>
              <w:right w:val="single" w:color="339966" w:sz="4" w:space="0"/>
            </w:tcBorders>
            <w:shd w:val="clear" w:color="auto" w:fill="FFFFFF"/>
            <w:tcMar>
              <w:top w:w="15" w:type="dxa"/>
              <w:left w:w="15" w:type="dxa"/>
              <w:bottom w:w="0" w:type="dxa"/>
              <w:right w:w="15" w:type="dxa"/>
            </w:tcMa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16.35</w:t>
            </w:r>
          </w:p>
        </w:tc>
        <w:tc>
          <w:tcPr>
            <w:tcW w:w="963" w:type="dxa"/>
            <w:tcBorders>
              <w:top w:val="nil"/>
              <w:left w:val="nil"/>
              <w:bottom w:val="nil"/>
              <w:right w:val="single" w:color="339966" w:sz="4" w:space="0"/>
            </w:tcBorders>
            <w:shd w:val="clear" w:color="auto" w:fill="FFFFFF"/>
            <w:tcMar>
              <w:top w:w="15" w:type="dxa"/>
              <w:left w:w="15" w:type="dxa"/>
              <w:bottom w:w="0" w:type="dxa"/>
              <w:right w:w="15" w:type="dxa"/>
            </w:tcMa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15.77</w:t>
            </w:r>
          </w:p>
        </w:tc>
        <w:tc>
          <w:tcPr>
            <w:tcW w:w="709" w:type="dxa"/>
            <w:tcBorders>
              <w:top w:val="nil"/>
              <w:left w:val="nil"/>
              <w:bottom w:val="nil"/>
              <w:right w:val="single" w:color="339966" w:sz="4" w:space="0"/>
            </w:tcBorders>
            <w:shd w:val="clear" w:color="auto" w:fill="FFFFFF"/>
            <w:tcMar>
              <w:top w:w="15" w:type="dxa"/>
              <w:left w:w="15" w:type="dxa"/>
              <w:bottom w:w="0" w:type="dxa"/>
              <w:right w:w="15" w:type="dxa"/>
            </w:tcMa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67.88</w:t>
            </w:r>
          </w:p>
        </w:tc>
        <w:tc>
          <w:tcPr>
            <w:tcW w:w="992" w:type="dxa"/>
            <w:tcBorders>
              <w:top w:val="nil"/>
              <w:left w:val="nil"/>
              <w:bottom w:val="nil"/>
              <w:right w:val="single" w:color="339966" w:sz="4" w:space="0"/>
            </w:tcBorders>
            <w:shd w:val="clear" w:color="auto" w:fill="FFFFFF"/>
            <w:tcMar>
              <w:top w:w="15" w:type="dxa"/>
              <w:left w:w="15" w:type="dxa"/>
              <w:bottom w:w="0" w:type="dxa"/>
              <w:right w:w="15" w:type="dxa"/>
            </w:tcMa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12.77</w:t>
            </w:r>
          </w:p>
        </w:tc>
        <w:tc>
          <w:tcPr>
            <w:tcW w:w="890" w:type="dxa"/>
            <w:tcBorders>
              <w:top w:val="nil"/>
              <w:left w:val="nil"/>
              <w:bottom w:val="nil"/>
              <w:right w:val="single" w:color="339966" w:sz="4" w:space="0"/>
            </w:tcBorders>
            <w:shd w:val="clear" w:color="auto" w:fill="FFFFFF"/>
            <w:tcMar>
              <w:top w:w="15" w:type="dxa"/>
              <w:left w:w="15" w:type="dxa"/>
              <w:bottom w:w="0" w:type="dxa"/>
              <w:right w:w="15" w:type="dxa"/>
            </w:tcMa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19.11</w:t>
            </w:r>
          </w:p>
        </w:tc>
        <w:tc>
          <w:tcPr>
            <w:tcW w:w="1080" w:type="dxa"/>
            <w:tcBorders>
              <w:top w:val="nil"/>
              <w:left w:val="nil"/>
              <w:bottom w:val="nil"/>
              <w:right w:val="single" w:color="339966" w:sz="4" w:space="0"/>
            </w:tcBorders>
            <w:shd w:val="clear" w:color="auto" w:fill="FFFFFF"/>
            <w:tcMar>
              <w:top w:w="15" w:type="dxa"/>
              <w:left w:w="15" w:type="dxa"/>
              <w:bottom w:w="0" w:type="dxa"/>
              <w:right w:w="15" w:type="dxa"/>
            </w:tcMa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11.41</w:t>
            </w:r>
          </w:p>
        </w:tc>
        <w:tc>
          <w:tcPr>
            <w:tcW w:w="1252" w:type="dxa"/>
            <w:tcBorders>
              <w:top w:val="nil"/>
              <w:left w:val="nil"/>
              <w:bottom w:val="nil"/>
              <w:right w:val="single" w:color="339966" w:sz="4" w:space="0"/>
            </w:tcBorders>
            <w:shd w:val="clear" w:color="auto" w:fill="FFFFFF"/>
            <w:tcMar>
              <w:top w:w="15" w:type="dxa"/>
              <w:left w:w="15" w:type="dxa"/>
              <w:bottom w:w="0" w:type="dxa"/>
              <w:right w:w="15" w:type="dxa"/>
            </w:tcMa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15.09</w:t>
            </w:r>
          </w:p>
        </w:tc>
        <w:tc>
          <w:tcPr>
            <w:tcW w:w="900" w:type="dxa"/>
            <w:tcBorders>
              <w:top w:val="nil"/>
              <w:left w:val="nil"/>
              <w:bottom w:val="nil"/>
              <w:right w:val="nil"/>
            </w:tcBorders>
            <w:shd w:val="clear" w:color="auto" w:fill="FFFFFF"/>
            <w:tcMar>
              <w:top w:w="15" w:type="dxa"/>
              <w:left w:w="15" w:type="dxa"/>
              <w:bottom w:w="0" w:type="dxa"/>
              <w:right w:w="15" w:type="dxa"/>
            </w:tcMa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9.50</w:t>
            </w:r>
          </w:p>
        </w:tc>
      </w:tr>
      <w:tr>
        <w:tblPrEx>
          <w:tblLayout w:type="fixed"/>
          <w:tblCellMar>
            <w:top w:w="0" w:type="dxa"/>
            <w:left w:w="0" w:type="dxa"/>
            <w:bottom w:w="0" w:type="dxa"/>
            <w:right w:w="0" w:type="dxa"/>
          </w:tblCellMar>
        </w:tblPrEx>
        <w:trPr>
          <w:trHeight w:val="285" w:hRule="atLeast"/>
        </w:trPr>
        <w:tc>
          <w:tcPr>
            <w:tcW w:w="1009" w:type="dxa"/>
            <w:tcBorders>
              <w:top w:val="nil"/>
              <w:left w:val="nil"/>
              <w:bottom w:val="nil"/>
              <w:right w:val="single" w:color="339966" w:sz="4" w:space="0"/>
            </w:tcBorders>
            <w:shd w:val="clear" w:color="auto" w:fill="CCFFCC"/>
            <w:tcMar>
              <w:top w:w="15" w:type="dxa"/>
              <w:left w:w="15" w:type="dxa"/>
              <w:bottom w:w="0" w:type="dxa"/>
              <w:right w:w="15" w:type="dxa"/>
            </w:tcMar>
            <w:vAlign w:val="cente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April</w:t>
            </w:r>
          </w:p>
        </w:tc>
        <w:tc>
          <w:tcPr>
            <w:tcW w:w="901" w:type="dxa"/>
            <w:tcBorders>
              <w:top w:val="nil"/>
              <w:left w:val="nil"/>
              <w:bottom w:val="nil"/>
              <w:right w:val="single" w:color="339966" w:sz="4" w:space="0"/>
            </w:tcBorders>
            <w:shd w:val="clear" w:color="auto" w:fill="CCFFCC"/>
            <w:tcMar>
              <w:top w:w="15" w:type="dxa"/>
              <w:left w:w="15" w:type="dxa"/>
              <w:bottom w:w="0" w:type="dxa"/>
              <w:right w:w="15" w:type="dxa"/>
            </w:tcMa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16.79</w:t>
            </w:r>
          </w:p>
        </w:tc>
        <w:tc>
          <w:tcPr>
            <w:tcW w:w="963" w:type="dxa"/>
            <w:tcBorders>
              <w:top w:val="nil"/>
              <w:left w:val="nil"/>
              <w:bottom w:val="nil"/>
              <w:right w:val="single" w:color="339966" w:sz="4" w:space="0"/>
            </w:tcBorders>
            <w:shd w:val="clear" w:color="auto" w:fill="CCFFCC"/>
            <w:tcMar>
              <w:top w:w="15" w:type="dxa"/>
              <w:left w:w="15" w:type="dxa"/>
              <w:bottom w:w="0" w:type="dxa"/>
              <w:right w:w="15" w:type="dxa"/>
            </w:tcMa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14.09</w:t>
            </w:r>
          </w:p>
        </w:tc>
        <w:tc>
          <w:tcPr>
            <w:tcW w:w="709" w:type="dxa"/>
            <w:tcBorders>
              <w:top w:val="nil"/>
              <w:left w:val="nil"/>
              <w:bottom w:val="nil"/>
              <w:right w:val="single" w:color="339966" w:sz="4" w:space="0"/>
            </w:tcBorders>
            <w:shd w:val="clear" w:color="auto" w:fill="CCFFCC"/>
            <w:tcMar>
              <w:top w:w="15" w:type="dxa"/>
              <w:left w:w="15" w:type="dxa"/>
              <w:bottom w:w="0" w:type="dxa"/>
              <w:right w:w="15" w:type="dxa"/>
            </w:tcMa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69.13</w:t>
            </w:r>
          </w:p>
        </w:tc>
        <w:tc>
          <w:tcPr>
            <w:tcW w:w="992" w:type="dxa"/>
            <w:tcBorders>
              <w:top w:val="nil"/>
              <w:left w:val="nil"/>
              <w:bottom w:val="nil"/>
              <w:right w:val="single" w:color="339966" w:sz="4" w:space="0"/>
            </w:tcBorders>
            <w:shd w:val="clear" w:color="auto" w:fill="CCFFCC"/>
            <w:tcMar>
              <w:top w:w="15" w:type="dxa"/>
              <w:left w:w="15" w:type="dxa"/>
              <w:bottom w:w="0" w:type="dxa"/>
              <w:right w:w="15" w:type="dxa"/>
            </w:tcMa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12.23</w:t>
            </w:r>
          </w:p>
        </w:tc>
        <w:tc>
          <w:tcPr>
            <w:tcW w:w="890" w:type="dxa"/>
            <w:tcBorders>
              <w:top w:val="nil"/>
              <w:left w:val="nil"/>
              <w:bottom w:val="nil"/>
              <w:right w:val="single" w:color="339966" w:sz="4" w:space="0"/>
            </w:tcBorders>
            <w:shd w:val="clear" w:color="auto" w:fill="CCFFCC"/>
            <w:tcMar>
              <w:top w:w="15" w:type="dxa"/>
              <w:left w:w="15" w:type="dxa"/>
              <w:bottom w:w="0" w:type="dxa"/>
              <w:right w:w="15" w:type="dxa"/>
            </w:tcMa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19.71</w:t>
            </w:r>
          </w:p>
        </w:tc>
        <w:tc>
          <w:tcPr>
            <w:tcW w:w="1080" w:type="dxa"/>
            <w:tcBorders>
              <w:top w:val="nil"/>
              <w:left w:val="nil"/>
              <w:bottom w:val="nil"/>
              <w:right w:val="single" w:color="339966" w:sz="4" w:space="0"/>
            </w:tcBorders>
            <w:shd w:val="clear" w:color="auto" w:fill="CCFFCC"/>
            <w:tcMar>
              <w:top w:w="15" w:type="dxa"/>
              <w:left w:w="15" w:type="dxa"/>
              <w:bottom w:w="0" w:type="dxa"/>
              <w:right w:w="15" w:type="dxa"/>
            </w:tcMa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11.66</w:t>
            </w:r>
          </w:p>
        </w:tc>
        <w:tc>
          <w:tcPr>
            <w:tcW w:w="1252" w:type="dxa"/>
            <w:tcBorders>
              <w:top w:val="nil"/>
              <w:left w:val="nil"/>
              <w:bottom w:val="nil"/>
              <w:right w:val="single" w:color="339966" w:sz="4" w:space="0"/>
            </w:tcBorders>
            <w:shd w:val="clear" w:color="auto" w:fill="CCFFCC"/>
            <w:tcMar>
              <w:top w:w="15" w:type="dxa"/>
              <w:left w:w="15" w:type="dxa"/>
              <w:bottom w:w="0" w:type="dxa"/>
              <w:right w:w="15" w:type="dxa"/>
            </w:tcMa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15.32</w:t>
            </w:r>
          </w:p>
        </w:tc>
        <w:tc>
          <w:tcPr>
            <w:tcW w:w="900" w:type="dxa"/>
            <w:tcBorders>
              <w:top w:val="nil"/>
              <w:left w:val="nil"/>
              <w:bottom w:val="nil"/>
              <w:right w:val="nil"/>
            </w:tcBorders>
            <w:shd w:val="clear" w:color="auto" w:fill="CCFFCC"/>
            <w:tcMar>
              <w:top w:w="15" w:type="dxa"/>
              <w:left w:w="15" w:type="dxa"/>
              <w:bottom w:w="0" w:type="dxa"/>
              <w:right w:w="15" w:type="dxa"/>
            </w:tcMa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10.20</w:t>
            </w:r>
          </w:p>
        </w:tc>
      </w:tr>
      <w:tr>
        <w:tblPrEx>
          <w:tblLayout w:type="fixed"/>
          <w:tblCellMar>
            <w:top w:w="0" w:type="dxa"/>
            <w:left w:w="0" w:type="dxa"/>
            <w:bottom w:w="0" w:type="dxa"/>
            <w:right w:w="0" w:type="dxa"/>
          </w:tblCellMar>
        </w:tblPrEx>
        <w:trPr>
          <w:trHeight w:val="285" w:hRule="atLeast"/>
        </w:trPr>
        <w:tc>
          <w:tcPr>
            <w:tcW w:w="1009" w:type="dxa"/>
            <w:tcBorders>
              <w:top w:val="nil"/>
              <w:left w:val="nil"/>
              <w:bottom w:val="nil"/>
              <w:right w:val="single" w:color="339966" w:sz="4" w:space="0"/>
            </w:tcBorders>
            <w:tcMar>
              <w:top w:w="15" w:type="dxa"/>
              <w:left w:w="15" w:type="dxa"/>
              <w:bottom w:w="0" w:type="dxa"/>
              <w:right w:w="15" w:type="dxa"/>
            </w:tcMar>
            <w:vAlign w:val="cente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May</w:t>
            </w:r>
          </w:p>
        </w:tc>
        <w:tc>
          <w:tcPr>
            <w:tcW w:w="901" w:type="dxa"/>
            <w:tcBorders>
              <w:top w:val="nil"/>
              <w:left w:val="nil"/>
              <w:bottom w:val="nil"/>
              <w:right w:val="single" w:color="339966" w:sz="4" w:space="0"/>
            </w:tcBorders>
            <w:shd w:val="clear" w:color="auto" w:fill="FFFFFF"/>
            <w:tcMar>
              <w:top w:w="15" w:type="dxa"/>
              <w:left w:w="15" w:type="dxa"/>
              <w:bottom w:w="0" w:type="dxa"/>
              <w:right w:w="15" w:type="dxa"/>
            </w:tcMa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17.72</w:t>
            </w:r>
          </w:p>
        </w:tc>
        <w:tc>
          <w:tcPr>
            <w:tcW w:w="963" w:type="dxa"/>
            <w:tcBorders>
              <w:top w:val="nil"/>
              <w:left w:val="nil"/>
              <w:bottom w:val="nil"/>
              <w:right w:val="single" w:color="339966" w:sz="4" w:space="0"/>
            </w:tcBorders>
            <w:shd w:val="clear" w:color="auto" w:fill="FFFFFF"/>
            <w:tcMar>
              <w:top w:w="15" w:type="dxa"/>
              <w:left w:w="15" w:type="dxa"/>
              <w:bottom w:w="0" w:type="dxa"/>
              <w:right w:w="15" w:type="dxa"/>
            </w:tcMa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13.80</w:t>
            </w:r>
          </w:p>
        </w:tc>
        <w:tc>
          <w:tcPr>
            <w:tcW w:w="709" w:type="dxa"/>
            <w:tcBorders>
              <w:top w:val="nil"/>
              <w:left w:val="nil"/>
              <w:bottom w:val="nil"/>
              <w:right w:val="single" w:color="339966" w:sz="4" w:space="0"/>
            </w:tcBorders>
            <w:shd w:val="clear" w:color="auto" w:fill="FFFFFF"/>
            <w:tcMar>
              <w:top w:w="15" w:type="dxa"/>
              <w:left w:w="15" w:type="dxa"/>
              <w:bottom w:w="0" w:type="dxa"/>
              <w:right w:w="15" w:type="dxa"/>
            </w:tcMa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68.48</w:t>
            </w:r>
          </w:p>
        </w:tc>
        <w:tc>
          <w:tcPr>
            <w:tcW w:w="992" w:type="dxa"/>
            <w:tcBorders>
              <w:top w:val="nil"/>
              <w:left w:val="nil"/>
              <w:bottom w:val="nil"/>
              <w:right w:val="single" w:color="339966" w:sz="4" w:space="0"/>
            </w:tcBorders>
            <w:shd w:val="clear" w:color="auto" w:fill="FFFFFF"/>
            <w:tcMar>
              <w:top w:w="15" w:type="dxa"/>
              <w:left w:w="15" w:type="dxa"/>
              <w:bottom w:w="0" w:type="dxa"/>
              <w:right w:w="15" w:type="dxa"/>
            </w:tcMa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11.34</w:t>
            </w:r>
          </w:p>
        </w:tc>
        <w:tc>
          <w:tcPr>
            <w:tcW w:w="890" w:type="dxa"/>
            <w:tcBorders>
              <w:top w:val="nil"/>
              <w:left w:val="nil"/>
              <w:bottom w:val="nil"/>
              <w:right w:val="single" w:color="339966" w:sz="4" w:space="0"/>
            </w:tcBorders>
            <w:shd w:val="clear" w:color="auto" w:fill="FFFFFF"/>
            <w:tcMar>
              <w:top w:w="15" w:type="dxa"/>
              <w:left w:w="15" w:type="dxa"/>
              <w:bottom w:w="0" w:type="dxa"/>
              <w:right w:w="15" w:type="dxa"/>
            </w:tcMa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19.52</w:t>
            </w:r>
          </w:p>
        </w:tc>
        <w:tc>
          <w:tcPr>
            <w:tcW w:w="1080" w:type="dxa"/>
            <w:tcBorders>
              <w:top w:val="nil"/>
              <w:left w:val="nil"/>
              <w:bottom w:val="nil"/>
              <w:right w:val="single" w:color="339966" w:sz="4" w:space="0"/>
            </w:tcBorders>
            <w:shd w:val="clear" w:color="auto" w:fill="FFFFFF"/>
            <w:tcMar>
              <w:top w:w="15" w:type="dxa"/>
              <w:left w:w="15" w:type="dxa"/>
              <w:bottom w:w="0" w:type="dxa"/>
              <w:right w:w="15" w:type="dxa"/>
            </w:tcMa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11.92</w:t>
            </w:r>
          </w:p>
        </w:tc>
        <w:tc>
          <w:tcPr>
            <w:tcW w:w="1252" w:type="dxa"/>
            <w:tcBorders>
              <w:top w:val="nil"/>
              <w:left w:val="nil"/>
              <w:bottom w:val="nil"/>
              <w:right w:val="single" w:color="339966" w:sz="4" w:space="0"/>
            </w:tcBorders>
            <w:shd w:val="clear" w:color="auto" w:fill="FFFFFF"/>
            <w:tcMar>
              <w:top w:w="15" w:type="dxa"/>
              <w:left w:w="15" w:type="dxa"/>
              <w:bottom w:w="0" w:type="dxa"/>
              <w:right w:w="15" w:type="dxa"/>
            </w:tcMa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15.51</w:t>
            </w:r>
          </w:p>
        </w:tc>
        <w:tc>
          <w:tcPr>
            <w:tcW w:w="900" w:type="dxa"/>
            <w:tcBorders>
              <w:top w:val="nil"/>
              <w:left w:val="nil"/>
              <w:bottom w:val="nil"/>
              <w:right w:val="nil"/>
            </w:tcBorders>
            <w:shd w:val="clear" w:color="auto" w:fill="FFFFFF"/>
            <w:tcMar>
              <w:top w:w="15" w:type="dxa"/>
              <w:left w:w="15" w:type="dxa"/>
              <w:bottom w:w="0" w:type="dxa"/>
              <w:right w:w="15" w:type="dxa"/>
            </w:tcMa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10.19</w:t>
            </w:r>
          </w:p>
        </w:tc>
      </w:tr>
      <w:tr>
        <w:tblPrEx>
          <w:tblLayout w:type="fixed"/>
          <w:tblCellMar>
            <w:top w:w="0" w:type="dxa"/>
            <w:left w:w="0" w:type="dxa"/>
            <w:bottom w:w="0" w:type="dxa"/>
            <w:right w:w="0" w:type="dxa"/>
          </w:tblCellMar>
        </w:tblPrEx>
        <w:trPr>
          <w:trHeight w:val="285" w:hRule="atLeast"/>
        </w:trPr>
        <w:tc>
          <w:tcPr>
            <w:tcW w:w="1009" w:type="dxa"/>
            <w:tcBorders>
              <w:top w:val="nil"/>
              <w:left w:val="nil"/>
              <w:bottom w:val="nil"/>
              <w:right w:val="single" w:color="339966" w:sz="4" w:space="0"/>
            </w:tcBorders>
            <w:shd w:val="clear" w:color="auto" w:fill="CCFFCC"/>
            <w:tcMar>
              <w:top w:w="15" w:type="dxa"/>
              <w:left w:w="15" w:type="dxa"/>
              <w:bottom w:w="0" w:type="dxa"/>
              <w:right w:w="15" w:type="dxa"/>
            </w:tcMar>
            <w:vAlign w:val="cente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June</w:t>
            </w:r>
          </w:p>
        </w:tc>
        <w:tc>
          <w:tcPr>
            <w:tcW w:w="901" w:type="dxa"/>
            <w:tcBorders>
              <w:top w:val="nil"/>
              <w:left w:val="nil"/>
              <w:bottom w:val="nil"/>
              <w:right w:val="single" w:color="339966" w:sz="4" w:space="0"/>
            </w:tcBorders>
            <w:shd w:val="clear" w:color="auto" w:fill="CCFFCC"/>
            <w:tcMar>
              <w:top w:w="15" w:type="dxa"/>
              <w:left w:w="15" w:type="dxa"/>
              <w:bottom w:w="0" w:type="dxa"/>
              <w:right w:w="15" w:type="dxa"/>
            </w:tcMa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17.76</w:t>
            </w:r>
          </w:p>
        </w:tc>
        <w:tc>
          <w:tcPr>
            <w:tcW w:w="963" w:type="dxa"/>
            <w:tcBorders>
              <w:top w:val="nil"/>
              <w:left w:val="nil"/>
              <w:bottom w:val="nil"/>
              <w:right w:val="single" w:color="339966" w:sz="4" w:space="0"/>
            </w:tcBorders>
            <w:shd w:val="clear" w:color="auto" w:fill="CCFFCC"/>
            <w:tcMar>
              <w:top w:w="15" w:type="dxa"/>
              <w:left w:w="15" w:type="dxa"/>
              <w:bottom w:w="0" w:type="dxa"/>
              <w:right w:w="15" w:type="dxa"/>
            </w:tcMa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16.06</w:t>
            </w:r>
          </w:p>
        </w:tc>
        <w:tc>
          <w:tcPr>
            <w:tcW w:w="709" w:type="dxa"/>
            <w:tcBorders>
              <w:top w:val="nil"/>
              <w:left w:val="nil"/>
              <w:bottom w:val="nil"/>
              <w:right w:val="single" w:color="339966" w:sz="4" w:space="0"/>
            </w:tcBorders>
            <w:shd w:val="clear" w:color="auto" w:fill="CCFFCC"/>
            <w:tcMar>
              <w:top w:w="15" w:type="dxa"/>
              <w:left w:w="15" w:type="dxa"/>
              <w:bottom w:w="0" w:type="dxa"/>
              <w:right w:w="15" w:type="dxa"/>
            </w:tcMa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66.18</w:t>
            </w:r>
          </w:p>
        </w:tc>
        <w:tc>
          <w:tcPr>
            <w:tcW w:w="992" w:type="dxa"/>
            <w:tcBorders>
              <w:top w:val="nil"/>
              <w:left w:val="nil"/>
              <w:bottom w:val="nil"/>
              <w:right w:val="single" w:color="339966" w:sz="4" w:space="0"/>
            </w:tcBorders>
            <w:shd w:val="clear" w:color="auto" w:fill="CCFFCC"/>
            <w:tcMar>
              <w:top w:w="15" w:type="dxa"/>
              <w:left w:w="15" w:type="dxa"/>
              <w:bottom w:w="0" w:type="dxa"/>
              <w:right w:w="15" w:type="dxa"/>
            </w:tcMa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12.70</w:t>
            </w:r>
          </w:p>
        </w:tc>
        <w:tc>
          <w:tcPr>
            <w:tcW w:w="890" w:type="dxa"/>
            <w:tcBorders>
              <w:top w:val="nil"/>
              <w:left w:val="nil"/>
              <w:bottom w:val="nil"/>
              <w:right w:val="single" w:color="339966" w:sz="4" w:space="0"/>
            </w:tcBorders>
            <w:shd w:val="clear" w:color="auto" w:fill="CCFFCC"/>
            <w:tcMar>
              <w:top w:w="15" w:type="dxa"/>
              <w:left w:w="15" w:type="dxa"/>
              <w:bottom w:w="0" w:type="dxa"/>
              <w:right w:w="15" w:type="dxa"/>
            </w:tcMa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20.33</w:t>
            </w:r>
          </w:p>
        </w:tc>
        <w:tc>
          <w:tcPr>
            <w:tcW w:w="1080" w:type="dxa"/>
            <w:tcBorders>
              <w:top w:val="nil"/>
              <w:left w:val="nil"/>
              <w:bottom w:val="nil"/>
              <w:right w:val="single" w:color="339966" w:sz="4" w:space="0"/>
            </w:tcBorders>
            <w:shd w:val="clear" w:color="auto" w:fill="CCFFCC"/>
            <w:tcMar>
              <w:top w:w="15" w:type="dxa"/>
              <w:left w:w="15" w:type="dxa"/>
              <w:bottom w:w="0" w:type="dxa"/>
              <w:right w:w="15" w:type="dxa"/>
            </w:tcMa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10.68</w:t>
            </w:r>
          </w:p>
        </w:tc>
        <w:tc>
          <w:tcPr>
            <w:tcW w:w="1252" w:type="dxa"/>
            <w:tcBorders>
              <w:top w:val="nil"/>
              <w:left w:val="nil"/>
              <w:bottom w:val="nil"/>
              <w:right w:val="single" w:color="339966" w:sz="4" w:space="0"/>
            </w:tcBorders>
            <w:shd w:val="clear" w:color="auto" w:fill="CCFFCC"/>
            <w:tcMar>
              <w:top w:w="15" w:type="dxa"/>
              <w:left w:w="15" w:type="dxa"/>
              <w:bottom w:w="0" w:type="dxa"/>
              <w:right w:w="15" w:type="dxa"/>
            </w:tcMa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13.81</w:t>
            </w:r>
          </w:p>
        </w:tc>
        <w:tc>
          <w:tcPr>
            <w:tcW w:w="900" w:type="dxa"/>
            <w:tcBorders>
              <w:top w:val="nil"/>
              <w:left w:val="nil"/>
              <w:bottom w:val="nil"/>
              <w:right w:val="nil"/>
            </w:tcBorders>
            <w:shd w:val="clear" w:color="auto" w:fill="CCFFCC"/>
            <w:tcMar>
              <w:top w:w="15" w:type="dxa"/>
              <w:left w:w="15" w:type="dxa"/>
              <w:bottom w:w="0" w:type="dxa"/>
              <w:right w:w="15" w:type="dxa"/>
            </w:tcMa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8.66</w:t>
            </w:r>
          </w:p>
        </w:tc>
      </w:tr>
    </w:tbl>
    <w:p>
      <w:pPr>
        <w:widowControl/>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Source: The People’s Bank of China.</w:t>
      </w:r>
    </w:p>
    <w:p>
      <w:pPr>
        <w:widowControl/>
        <w:rPr>
          <w:rFonts w:ascii="Times New Roman" w:hAnsi="Times New Roman" w:eastAsia="黑体" w:cs="Times New Roman"/>
          <w:b/>
          <w:bCs/>
          <w:iCs/>
          <w:color w:val="000000" w:themeColor="text1"/>
          <w:kern w:val="0"/>
          <w:sz w:val="24"/>
          <w:szCs w:val="24"/>
          <w14:textFill>
            <w14:solidFill>
              <w14:schemeClr w14:val="tx1"/>
            </w14:solidFill>
          </w14:textFill>
        </w:rPr>
      </w:pPr>
    </w:p>
    <w:p>
      <w:pPr>
        <w:widowControl/>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b/>
          <w:bCs/>
          <w:color w:val="000000" w:themeColor="text1"/>
          <w:kern w:val="0"/>
          <w:sz w:val="24"/>
          <w:szCs w:val="24"/>
          <w14:textFill>
            <w14:solidFill>
              <w14:schemeClr w14:val="tx1"/>
            </w14:solidFill>
          </w14:textFill>
        </w:rPr>
        <w:t xml:space="preserve">Rate cuts by several foreign central banks and higher expectations of the Federal Reserve to do the same, among other factors, prompted a dip in interest rates on foreign-currency deposits and loans. </w:t>
      </w:r>
      <w:r>
        <w:rPr>
          <w:rFonts w:ascii="Times New Roman" w:hAnsi="Times New Roman" w:cs="Times New Roman"/>
          <w:color w:val="000000" w:themeColor="text1"/>
          <w:kern w:val="0"/>
          <w:sz w:val="24"/>
          <w:szCs w:val="24"/>
          <w14:textFill>
            <w14:solidFill>
              <w14:schemeClr w14:val="tx1"/>
            </w14:solidFill>
          </w14:textFill>
        </w:rPr>
        <w:t>In June, the weighted average interest rates on demand deposits and large-value USD-dominated deposits with maturities within 3 months registered 0.32 percent and 2.60 percent respectively, down 0.12 and 0.07 percentage point from March. The weighted average interest rates of USD-dominated loans with maturities within 3 months and with maturities between 3 months (including 3 months) and 6 months registered 3.65 percent and 3.36 percent respectively, up 0.02 percentage point and down 0.23 percentage point respectively from March.</w:t>
      </w:r>
      <w:bookmarkStart w:id="29" w:name="_Toc11317455"/>
    </w:p>
    <w:p>
      <w:pPr>
        <w:widowControl/>
        <w:rPr>
          <w:rFonts w:ascii="Times New Roman" w:hAnsi="Times New Roman" w:cs="Times New Roman"/>
          <w:color w:val="000000" w:themeColor="text1"/>
          <w:kern w:val="0"/>
          <w:sz w:val="24"/>
          <w:szCs w:val="24"/>
          <w14:textFill>
            <w14:solidFill>
              <w14:schemeClr w14:val="tx1"/>
            </w14:solidFill>
          </w14:textFill>
        </w:rPr>
      </w:pPr>
    </w:p>
    <w:p>
      <w:pPr>
        <w:pStyle w:val="5"/>
        <w:jc w:val="center"/>
      </w:pPr>
      <w:bookmarkStart w:id="30" w:name="_Toc17809065"/>
      <w:r>
        <w:rPr>
          <w:rFonts w:ascii="Times New Roman" w:hAnsi="Times New Roman" w:cs="Times New Roman"/>
          <w:b/>
          <w:bCs/>
          <w:color w:val="000000" w:themeColor="text1"/>
          <w:kern w:val="0"/>
          <w:sz w:val="24"/>
          <w:szCs w:val="24"/>
          <w14:textFill>
            <w14:solidFill>
              <w14:schemeClr w14:val="tx1"/>
            </w14:solidFill>
          </w14:textFill>
        </w:rPr>
        <w:t xml:space="preserve">Table </w:t>
      </w:r>
      <w:r>
        <w:rPr>
          <w:rFonts w:ascii="Times New Roman" w:hAnsi="Times New Roman" w:cs="Times New Roman"/>
          <w:b/>
          <w:bCs/>
          <w:color w:val="000000" w:themeColor="text1"/>
          <w:kern w:val="0"/>
          <w:sz w:val="24"/>
          <w:szCs w:val="24"/>
          <w14:textFill>
            <w14:solidFill>
              <w14:schemeClr w14:val="tx1"/>
            </w14:solidFill>
          </w14:textFill>
        </w:rPr>
        <w:fldChar w:fldCharType="begin"/>
      </w:r>
      <w:r>
        <w:rPr>
          <w:rFonts w:ascii="Times New Roman" w:hAnsi="Times New Roman" w:cs="Times New Roman"/>
          <w:b/>
          <w:bCs/>
          <w:color w:val="000000" w:themeColor="text1"/>
          <w:kern w:val="0"/>
          <w:sz w:val="24"/>
          <w:szCs w:val="24"/>
          <w14:textFill>
            <w14:solidFill>
              <w14:schemeClr w14:val="tx1"/>
            </w14:solidFill>
          </w14:textFill>
        </w:rPr>
        <w:instrText xml:space="preserve"> SEQ Table \* ARABIC </w:instrText>
      </w:r>
      <w:r>
        <w:rPr>
          <w:rFonts w:ascii="Times New Roman" w:hAnsi="Times New Roman" w:cs="Times New Roman"/>
          <w:b/>
          <w:bCs/>
          <w:color w:val="000000" w:themeColor="text1"/>
          <w:kern w:val="0"/>
          <w:sz w:val="24"/>
          <w:szCs w:val="24"/>
          <w14:textFill>
            <w14:solidFill>
              <w14:schemeClr w14:val="tx1"/>
            </w14:solidFill>
          </w14:textFill>
        </w:rPr>
        <w:fldChar w:fldCharType="separate"/>
      </w:r>
      <w:r>
        <w:rPr>
          <w:rFonts w:ascii="Times New Roman" w:hAnsi="Times New Roman" w:cs="Times New Roman"/>
          <w:b/>
          <w:bCs/>
          <w:color w:val="000000" w:themeColor="text1"/>
          <w:kern w:val="0"/>
          <w:sz w:val="24"/>
          <w:szCs w:val="24"/>
          <w14:textFill>
            <w14:solidFill>
              <w14:schemeClr w14:val="tx1"/>
            </w14:solidFill>
          </w14:textFill>
        </w:rPr>
        <w:t>4</w:t>
      </w:r>
      <w:r>
        <w:rPr>
          <w:rFonts w:ascii="Times New Roman" w:hAnsi="Times New Roman" w:cs="Times New Roman"/>
          <w:b/>
          <w:bCs/>
          <w:color w:val="000000" w:themeColor="text1"/>
          <w:kern w:val="0"/>
          <w:sz w:val="24"/>
          <w:szCs w:val="24"/>
          <w14:textFill>
            <w14:solidFill>
              <w14:schemeClr w14:val="tx1"/>
            </w14:solidFill>
          </w14:textFill>
        </w:rPr>
        <w:fldChar w:fldCharType="end"/>
      </w:r>
      <w:r>
        <w:rPr>
          <w:rFonts w:ascii="Times New Roman" w:hAnsi="Times New Roman" w:cs="Times New Roman"/>
          <w:b/>
          <w:bCs/>
          <w:color w:val="000000" w:themeColor="text1"/>
          <w:kern w:val="0"/>
          <w:sz w:val="24"/>
          <w:szCs w:val="24"/>
          <w14:textFill>
            <w14:solidFill>
              <w14:schemeClr w14:val="tx1"/>
            </w14:solidFill>
          </w14:textFill>
        </w:rPr>
        <w:t xml:space="preserve"> Average Interest Rates of Large-Value USD</w:t>
      </w:r>
      <w:r>
        <w:rPr>
          <w:rFonts w:hint="eastAsia" w:ascii="Times New Roman" w:hAnsi="Times New Roman" w:cs="Times New Roman"/>
          <w:b/>
          <w:bCs/>
          <w:color w:val="000000" w:themeColor="text1"/>
          <w:kern w:val="0"/>
          <w:sz w:val="24"/>
          <w:szCs w:val="24"/>
          <w14:textFill>
            <w14:solidFill>
              <w14:schemeClr w14:val="tx1"/>
            </w14:solidFill>
          </w14:textFill>
        </w:rPr>
        <w:t>-</w:t>
      </w:r>
      <w:r>
        <w:rPr>
          <w:rFonts w:ascii="Times New Roman" w:hAnsi="Times New Roman" w:cs="Times New Roman"/>
          <w:b/>
          <w:bCs/>
          <w:color w:val="000000" w:themeColor="text1"/>
          <w:kern w:val="0"/>
          <w:sz w:val="24"/>
          <w:szCs w:val="24"/>
          <w14:textFill>
            <w14:solidFill>
              <w14:schemeClr w14:val="tx1"/>
            </w14:solidFill>
          </w14:textFill>
        </w:rPr>
        <w:t>denominated</w:t>
      </w:r>
      <w:bookmarkEnd w:id="30"/>
      <w:r>
        <w:rPr>
          <w:rFonts w:hint="eastAsia" w:ascii="Times New Roman" w:hAnsi="Times New Roman" w:cs="Times New Roman"/>
          <w:b/>
          <w:bCs/>
          <w:color w:val="000000" w:themeColor="text1"/>
          <w:kern w:val="0"/>
          <w:sz w:val="24"/>
          <w:szCs w:val="24"/>
          <w14:textFill>
            <w14:solidFill>
              <w14:schemeClr w14:val="tx1"/>
            </w14:solidFill>
          </w14:textFill>
        </w:rPr>
        <w:t xml:space="preserve"> </w:t>
      </w:r>
    </w:p>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b/>
          <w:bCs/>
          <w:color w:val="000000" w:themeColor="text1"/>
          <w:kern w:val="0"/>
          <w:sz w:val="24"/>
          <w:szCs w:val="24"/>
          <w14:textFill>
            <w14:solidFill>
              <w14:schemeClr w14:val="tx1"/>
            </w14:solidFill>
          </w14:textFill>
        </w:rPr>
        <w:t xml:space="preserve">Deposits and </w:t>
      </w:r>
      <w:r>
        <w:rPr>
          <w:rFonts w:hint="eastAsia" w:ascii="Times New Roman" w:hAnsi="Times New Roman" w:cs="Times New Roman"/>
          <w:b/>
          <w:bCs/>
          <w:color w:val="000000" w:themeColor="text1"/>
          <w:kern w:val="0"/>
          <w:sz w:val="24"/>
          <w:szCs w:val="24"/>
          <w14:textFill>
            <w14:solidFill>
              <w14:schemeClr w14:val="tx1"/>
            </w14:solidFill>
          </w14:textFill>
        </w:rPr>
        <w:t>L</w:t>
      </w:r>
      <w:r>
        <w:rPr>
          <w:rFonts w:ascii="Times New Roman" w:hAnsi="Times New Roman" w:cs="Times New Roman"/>
          <w:b/>
          <w:bCs/>
          <w:color w:val="000000" w:themeColor="text1"/>
          <w:kern w:val="0"/>
          <w:sz w:val="24"/>
          <w:szCs w:val="24"/>
          <w14:textFill>
            <w14:solidFill>
              <w14:schemeClr w14:val="tx1"/>
            </w14:solidFill>
          </w14:textFill>
        </w:rPr>
        <w:t xml:space="preserve">oans, </w:t>
      </w:r>
      <w:r>
        <w:rPr>
          <w:rFonts w:hint="eastAsia" w:ascii="Times New Roman" w:hAnsi="Times New Roman" w:cs="Times New Roman"/>
          <w:b/>
          <w:bCs/>
          <w:color w:val="000000" w:themeColor="text1"/>
          <w:kern w:val="0"/>
          <w:sz w:val="24"/>
          <w:szCs w:val="24"/>
          <w14:textFill>
            <w14:solidFill>
              <w14:schemeClr w14:val="tx1"/>
            </w14:solidFill>
          </w14:textFill>
        </w:rPr>
        <w:t>H1</w:t>
      </w:r>
      <w:r>
        <w:rPr>
          <w:rFonts w:ascii="Times New Roman" w:hAnsi="Times New Roman" w:cs="Times New Roman"/>
          <w:b/>
          <w:bCs/>
          <w:color w:val="000000" w:themeColor="text1"/>
          <w:kern w:val="0"/>
          <w:sz w:val="24"/>
          <w:szCs w:val="24"/>
          <w14:textFill>
            <w14:solidFill>
              <w14:schemeClr w14:val="tx1"/>
            </w14:solidFill>
          </w14:textFill>
        </w:rPr>
        <w:t xml:space="preserve"> 2019</w:t>
      </w:r>
      <w:bookmarkEnd w:id="29"/>
    </w:p>
    <w:tbl>
      <w:tblPr>
        <w:tblStyle w:val="14"/>
        <w:tblW w:w="8856" w:type="dxa"/>
        <w:tblInd w:w="108" w:type="dxa"/>
        <w:tblLayout w:type="fixed"/>
        <w:tblCellMar>
          <w:top w:w="0" w:type="dxa"/>
          <w:left w:w="0" w:type="dxa"/>
          <w:bottom w:w="0" w:type="dxa"/>
          <w:right w:w="0" w:type="dxa"/>
        </w:tblCellMar>
      </w:tblPr>
      <w:tblGrid>
        <w:gridCol w:w="865"/>
        <w:gridCol w:w="713"/>
        <w:gridCol w:w="688"/>
        <w:gridCol w:w="855"/>
        <w:gridCol w:w="810"/>
        <w:gridCol w:w="639"/>
        <w:gridCol w:w="685"/>
        <w:gridCol w:w="690"/>
        <w:gridCol w:w="862"/>
        <w:gridCol w:w="810"/>
        <w:gridCol w:w="576"/>
        <w:gridCol w:w="663"/>
      </w:tblGrid>
      <w:tr>
        <w:tblPrEx>
          <w:tblLayout w:type="fixed"/>
          <w:tblCellMar>
            <w:top w:w="0" w:type="dxa"/>
            <w:left w:w="0" w:type="dxa"/>
            <w:bottom w:w="0" w:type="dxa"/>
            <w:right w:w="0" w:type="dxa"/>
          </w:tblCellMar>
        </w:tblPrEx>
        <w:trPr>
          <w:trHeight w:val="342" w:hRule="atLeast"/>
        </w:trPr>
        <w:tc>
          <w:tcPr>
            <w:tcW w:w="865" w:type="dxa"/>
            <w:vMerge w:val="restart"/>
            <w:tcBorders>
              <w:top w:val="single" w:color="339966" w:sz="12" w:space="0"/>
              <w:left w:val="nil"/>
              <w:bottom w:val="single" w:color="339966" w:sz="8" w:space="0"/>
              <w:right w:val="single" w:color="339966" w:sz="4" w:space="0"/>
            </w:tcBorders>
            <w:shd w:val="clear" w:color="auto" w:fill="CCFFCC"/>
            <w:vAlign w:val="cente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Month</w:t>
            </w:r>
          </w:p>
        </w:tc>
        <w:tc>
          <w:tcPr>
            <w:tcW w:w="4390" w:type="dxa"/>
            <w:gridSpan w:val="6"/>
            <w:tcBorders>
              <w:top w:val="single" w:color="339966" w:sz="12" w:space="0"/>
              <w:left w:val="nil"/>
              <w:bottom w:val="single" w:color="339966" w:sz="4" w:space="0"/>
              <w:right w:val="single" w:color="339966" w:sz="4" w:space="0"/>
            </w:tcBorders>
            <w:shd w:val="clear" w:color="auto" w:fill="CCFFCC"/>
            <w:vAlign w:val="cente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Large-value deposits</w:t>
            </w:r>
          </w:p>
        </w:tc>
        <w:tc>
          <w:tcPr>
            <w:tcW w:w="3601" w:type="dxa"/>
            <w:gridSpan w:val="5"/>
            <w:tcBorders>
              <w:top w:val="single" w:color="339966" w:sz="12" w:space="0"/>
              <w:left w:val="single" w:color="339966" w:sz="8" w:space="0"/>
              <w:bottom w:val="single" w:color="339966" w:sz="4" w:space="0"/>
              <w:right w:val="nil"/>
            </w:tcBorders>
            <w:shd w:val="clear" w:color="auto" w:fill="CCFFCC"/>
            <w:vAlign w:val="cente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Loans</w:t>
            </w:r>
          </w:p>
        </w:tc>
      </w:tr>
      <w:tr>
        <w:tblPrEx>
          <w:tblLayout w:type="fixed"/>
          <w:tblCellMar>
            <w:top w:w="0" w:type="dxa"/>
            <w:left w:w="0" w:type="dxa"/>
            <w:bottom w:w="0" w:type="dxa"/>
            <w:right w:w="0" w:type="dxa"/>
          </w:tblCellMar>
        </w:tblPrEx>
        <w:trPr>
          <w:trHeight w:val="495" w:hRule="atLeast"/>
        </w:trPr>
        <w:tc>
          <w:tcPr>
            <w:tcW w:w="865" w:type="dxa"/>
            <w:vMerge w:val="continue"/>
            <w:tcBorders>
              <w:top w:val="single" w:color="339966" w:sz="12" w:space="0"/>
              <w:left w:val="nil"/>
              <w:bottom w:val="single" w:color="339966" w:sz="8" w:space="0"/>
              <w:right w:val="single" w:color="339966" w:sz="4" w:space="0"/>
            </w:tcBorders>
            <w:vAlign w:val="center"/>
          </w:tcPr>
          <w:p>
            <w:pPr>
              <w:widowControl/>
              <w:jc w:val="left"/>
              <w:rPr>
                <w:rFonts w:ascii="Times New Roman" w:hAnsi="Times New Roman" w:cs="Times New Roman"/>
                <w:color w:val="000000" w:themeColor="text1"/>
                <w:kern w:val="0"/>
                <w:sz w:val="24"/>
                <w:szCs w:val="24"/>
                <w14:textFill>
                  <w14:solidFill>
                    <w14:schemeClr w14:val="tx1"/>
                  </w14:solidFill>
                </w14:textFill>
              </w:rPr>
            </w:pPr>
          </w:p>
        </w:tc>
        <w:tc>
          <w:tcPr>
            <w:tcW w:w="713" w:type="dxa"/>
            <w:tcBorders>
              <w:top w:val="nil"/>
              <w:left w:val="nil"/>
              <w:bottom w:val="single" w:color="339966" w:sz="8" w:space="0"/>
              <w:right w:val="single" w:color="339966" w:sz="4" w:space="0"/>
            </w:tcBorders>
            <w:shd w:val="clear" w:color="auto" w:fill="CCFFCC"/>
            <w:vAlign w:val="cente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 xml:space="preserve">Demand deposits </w:t>
            </w:r>
          </w:p>
        </w:tc>
        <w:tc>
          <w:tcPr>
            <w:tcW w:w="688" w:type="dxa"/>
            <w:tcBorders>
              <w:top w:val="nil"/>
              <w:left w:val="nil"/>
              <w:bottom w:val="single" w:color="339966" w:sz="8" w:space="0"/>
              <w:right w:val="single" w:color="339966" w:sz="4" w:space="0"/>
            </w:tcBorders>
            <w:shd w:val="clear" w:color="auto" w:fill="CCFFCC"/>
            <w:vAlign w:val="cente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Within 3 months</w:t>
            </w:r>
          </w:p>
        </w:tc>
        <w:tc>
          <w:tcPr>
            <w:tcW w:w="855" w:type="dxa"/>
            <w:tcBorders>
              <w:top w:val="nil"/>
              <w:left w:val="nil"/>
              <w:bottom w:val="single" w:color="339966" w:sz="8" w:space="0"/>
              <w:right w:val="single" w:color="339966" w:sz="4" w:space="0"/>
            </w:tcBorders>
            <w:shd w:val="clear" w:color="auto" w:fill="CCFFCC"/>
            <w:vAlign w:val="cente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3–6 months (including 3 months)</w:t>
            </w:r>
          </w:p>
        </w:tc>
        <w:tc>
          <w:tcPr>
            <w:tcW w:w="810" w:type="dxa"/>
            <w:tcBorders>
              <w:top w:val="nil"/>
              <w:left w:val="nil"/>
              <w:bottom w:val="single" w:color="339966" w:sz="8" w:space="0"/>
              <w:right w:val="single" w:color="339966" w:sz="4" w:space="0"/>
            </w:tcBorders>
            <w:shd w:val="clear" w:color="auto" w:fill="CCFFCC"/>
            <w:vAlign w:val="cente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6–12 months</w:t>
            </w:r>
          </w:p>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(including 6 months)</w:t>
            </w:r>
          </w:p>
        </w:tc>
        <w:tc>
          <w:tcPr>
            <w:tcW w:w="639" w:type="dxa"/>
            <w:tcBorders>
              <w:top w:val="nil"/>
              <w:left w:val="nil"/>
              <w:bottom w:val="single" w:color="339966" w:sz="8" w:space="0"/>
              <w:right w:val="single" w:color="339966" w:sz="4" w:space="0"/>
            </w:tcBorders>
            <w:shd w:val="clear" w:color="auto" w:fill="CCFFCC"/>
            <w:vAlign w:val="cente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 xml:space="preserve">1 year </w:t>
            </w:r>
          </w:p>
        </w:tc>
        <w:tc>
          <w:tcPr>
            <w:tcW w:w="685" w:type="dxa"/>
            <w:tcBorders>
              <w:top w:val="nil"/>
              <w:left w:val="nil"/>
              <w:bottom w:val="single" w:color="339966" w:sz="8" w:space="0"/>
              <w:right w:val="nil"/>
            </w:tcBorders>
            <w:shd w:val="clear" w:color="auto" w:fill="CCFFCC"/>
            <w:vAlign w:val="cente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More than 1 year</w:t>
            </w:r>
          </w:p>
        </w:tc>
        <w:tc>
          <w:tcPr>
            <w:tcW w:w="690" w:type="dxa"/>
            <w:tcBorders>
              <w:top w:val="nil"/>
              <w:left w:val="single" w:color="339966" w:sz="8" w:space="0"/>
              <w:bottom w:val="single" w:color="339966" w:sz="8" w:space="0"/>
              <w:right w:val="single" w:color="339966" w:sz="4" w:space="0"/>
            </w:tcBorders>
            <w:shd w:val="clear" w:color="auto" w:fill="CCFFCC"/>
            <w:vAlign w:val="cente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Within</w:t>
            </w:r>
          </w:p>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 xml:space="preserve">3 months </w:t>
            </w:r>
          </w:p>
        </w:tc>
        <w:tc>
          <w:tcPr>
            <w:tcW w:w="862" w:type="dxa"/>
            <w:tcBorders>
              <w:top w:val="nil"/>
              <w:left w:val="nil"/>
              <w:bottom w:val="single" w:color="339966" w:sz="8" w:space="0"/>
              <w:right w:val="single" w:color="339966" w:sz="4" w:space="0"/>
            </w:tcBorders>
            <w:shd w:val="clear" w:color="auto" w:fill="CCFFCC"/>
            <w:vAlign w:val="cente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3–6 months (including 3 months)</w:t>
            </w:r>
          </w:p>
        </w:tc>
        <w:tc>
          <w:tcPr>
            <w:tcW w:w="810" w:type="dxa"/>
            <w:tcBorders>
              <w:top w:val="nil"/>
              <w:left w:val="nil"/>
              <w:bottom w:val="single" w:color="339966" w:sz="8" w:space="0"/>
              <w:right w:val="single" w:color="339966" w:sz="4" w:space="0"/>
            </w:tcBorders>
            <w:shd w:val="clear" w:color="auto" w:fill="CCFFCC"/>
            <w:vAlign w:val="cente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6–12 months</w:t>
            </w:r>
          </w:p>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(including 6 months)</w:t>
            </w:r>
          </w:p>
        </w:tc>
        <w:tc>
          <w:tcPr>
            <w:tcW w:w="576" w:type="dxa"/>
            <w:tcBorders>
              <w:top w:val="nil"/>
              <w:left w:val="nil"/>
              <w:bottom w:val="single" w:color="339966" w:sz="8" w:space="0"/>
              <w:right w:val="single" w:color="339966" w:sz="4" w:space="0"/>
            </w:tcBorders>
            <w:shd w:val="clear" w:color="auto" w:fill="CCFFCC"/>
            <w:vAlign w:val="cente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 xml:space="preserve">1 year </w:t>
            </w:r>
          </w:p>
        </w:tc>
        <w:tc>
          <w:tcPr>
            <w:tcW w:w="663" w:type="dxa"/>
            <w:tcBorders>
              <w:top w:val="nil"/>
              <w:left w:val="nil"/>
              <w:bottom w:val="single" w:color="339966" w:sz="8" w:space="0"/>
              <w:right w:val="nil"/>
            </w:tcBorders>
            <w:shd w:val="clear" w:color="auto" w:fill="CCFFCC"/>
            <w:vAlign w:val="cente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More than 1 year</w:t>
            </w:r>
          </w:p>
        </w:tc>
      </w:tr>
      <w:tr>
        <w:tblPrEx>
          <w:tblLayout w:type="fixed"/>
          <w:tblCellMar>
            <w:top w:w="0" w:type="dxa"/>
            <w:left w:w="0" w:type="dxa"/>
            <w:bottom w:w="0" w:type="dxa"/>
            <w:right w:w="0" w:type="dxa"/>
          </w:tblCellMar>
        </w:tblPrEx>
        <w:trPr>
          <w:trHeight w:val="319" w:hRule="atLeast"/>
        </w:trPr>
        <w:tc>
          <w:tcPr>
            <w:tcW w:w="865" w:type="dxa"/>
            <w:tcBorders>
              <w:top w:val="nil"/>
              <w:left w:val="nil"/>
              <w:bottom w:val="nil"/>
              <w:right w:val="single" w:color="339966" w:sz="4" w:space="0"/>
            </w:tcBorders>
            <w:vAlign w:val="cente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 xml:space="preserve">January </w:t>
            </w:r>
          </w:p>
        </w:tc>
        <w:tc>
          <w:tcPr>
            <w:tcW w:w="713" w:type="dxa"/>
            <w:tcBorders>
              <w:top w:val="nil"/>
              <w:left w:val="nil"/>
              <w:bottom w:val="nil"/>
              <w:right w:val="single" w:color="339966" w:sz="4" w:space="0"/>
            </w:tcBorders>
            <w:shd w:val="clear" w:color="auto" w:fill="FFFFFF"/>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0.42</w:t>
            </w:r>
          </w:p>
        </w:tc>
        <w:tc>
          <w:tcPr>
            <w:tcW w:w="688" w:type="dxa"/>
            <w:tcBorders>
              <w:top w:val="nil"/>
              <w:left w:val="nil"/>
              <w:bottom w:val="nil"/>
              <w:right w:val="single" w:color="339966" w:sz="4" w:space="0"/>
            </w:tcBorders>
            <w:shd w:val="clear" w:color="auto" w:fill="FFFFFF"/>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2.74</w:t>
            </w:r>
          </w:p>
        </w:tc>
        <w:tc>
          <w:tcPr>
            <w:tcW w:w="855" w:type="dxa"/>
            <w:tcBorders>
              <w:top w:val="nil"/>
              <w:left w:val="nil"/>
              <w:bottom w:val="nil"/>
              <w:right w:val="single" w:color="339966" w:sz="4" w:space="0"/>
            </w:tcBorders>
            <w:shd w:val="clear" w:color="auto" w:fill="FFFFFF"/>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3.40</w:t>
            </w:r>
          </w:p>
        </w:tc>
        <w:tc>
          <w:tcPr>
            <w:tcW w:w="810" w:type="dxa"/>
            <w:tcBorders>
              <w:top w:val="nil"/>
              <w:left w:val="nil"/>
              <w:bottom w:val="nil"/>
              <w:right w:val="single" w:color="339966" w:sz="4" w:space="0"/>
            </w:tcBorders>
            <w:shd w:val="clear" w:color="auto" w:fill="FFFFFF"/>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3.64</w:t>
            </w:r>
          </w:p>
        </w:tc>
        <w:tc>
          <w:tcPr>
            <w:tcW w:w="639" w:type="dxa"/>
            <w:tcBorders>
              <w:top w:val="nil"/>
              <w:left w:val="nil"/>
              <w:bottom w:val="nil"/>
              <w:right w:val="single" w:color="339966" w:sz="4" w:space="0"/>
            </w:tcBorders>
            <w:shd w:val="clear" w:color="auto" w:fill="FFFFFF"/>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3.77</w:t>
            </w:r>
          </w:p>
        </w:tc>
        <w:tc>
          <w:tcPr>
            <w:tcW w:w="685" w:type="dxa"/>
            <w:shd w:val="clear" w:color="auto" w:fill="FFFFFF"/>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3.77</w:t>
            </w:r>
          </w:p>
        </w:tc>
        <w:tc>
          <w:tcPr>
            <w:tcW w:w="690" w:type="dxa"/>
            <w:tcBorders>
              <w:top w:val="nil"/>
              <w:left w:val="single" w:color="339966" w:sz="8" w:space="0"/>
              <w:bottom w:val="nil"/>
              <w:right w:val="single" w:color="339966" w:sz="4" w:space="0"/>
            </w:tcBorders>
            <w:shd w:val="clear" w:color="auto" w:fill="FFFFFF"/>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3.94</w:t>
            </w:r>
          </w:p>
        </w:tc>
        <w:tc>
          <w:tcPr>
            <w:tcW w:w="862" w:type="dxa"/>
            <w:tcBorders>
              <w:top w:val="nil"/>
              <w:left w:val="nil"/>
              <w:bottom w:val="nil"/>
              <w:right w:val="single" w:color="339966" w:sz="4" w:space="0"/>
            </w:tcBorders>
            <w:shd w:val="clear" w:color="auto" w:fill="FFFFFF"/>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4.06</w:t>
            </w:r>
          </w:p>
        </w:tc>
        <w:tc>
          <w:tcPr>
            <w:tcW w:w="810" w:type="dxa"/>
            <w:tcBorders>
              <w:top w:val="nil"/>
              <w:left w:val="nil"/>
              <w:bottom w:val="nil"/>
              <w:right w:val="single" w:color="339966" w:sz="4" w:space="0"/>
            </w:tcBorders>
            <w:shd w:val="clear" w:color="auto" w:fill="FFFFFF"/>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3.72</w:t>
            </w:r>
          </w:p>
        </w:tc>
        <w:tc>
          <w:tcPr>
            <w:tcW w:w="576" w:type="dxa"/>
            <w:tcBorders>
              <w:top w:val="nil"/>
              <w:left w:val="nil"/>
              <w:bottom w:val="nil"/>
              <w:right w:val="single" w:color="339966" w:sz="4" w:space="0"/>
            </w:tcBorders>
            <w:shd w:val="clear" w:color="auto" w:fill="FFFFFF"/>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3.99</w:t>
            </w:r>
          </w:p>
        </w:tc>
        <w:tc>
          <w:tcPr>
            <w:tcW w:w="663" w:type="dxa"/>
            <w:shd w:val="clear" w:color="auto" w:fill="FFFFFF"/>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4.90</w:t>
            </w:r>
          </w:p>
        </w:tc>
      </w:tr>
      <w:tr>
        <w:tblPrEx>
          <w:tblLayout w:type="fixed"/>
          <w:tblCellMar>
            <w:top w:w="0" w:type="dxa"/>
            <w:left w:w="0" w:type="dxa"/>
            <w:bottom w:w="0" w:type="dxa"/>
            <w:right w:w="0" w:type="dxa"/>
          </w:tblCellMar>
        </w:tblPrEx>
        <w:trPr>
          <w:trHeight w:val="319" w:hRule="atLeast"/>
        </w:trPr>
        <w:tc>
          <w:tcPr>
            <w:tcW w:w="865" w:type="dxa"/>
            <w:tcBorders>
              <w:top w:val="nil"/>
              <w:left w:val="nil"/>
              <w:bottom w:val="nil"/>
              <w:right w:val="single" w:color="339966" w:sz="4" w:space="0"/>
            </w:tcBorders>
            <w:shd w:val="clear" w:color="auto" w:fill="CCFFCC"/>
            <w:vAlign w:val="cente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February</w:t>
            </w:r>
          </w:p>
        </w:tc>
        <w:tc>
          <w:tcPr>
            <w:tcW w:w="713" w:type="dxa"/>
            <w:tcBorders>
              <w:top w:val="nil"/>
              <w:left w:val="nil"/>
              <w:bottom w:val="nil"/>
              <w:right w:val="single" w:color="339966" w:sz="4" w:space="0"/>
            </w:tcBorders>
            <w:shd w:val="clear" w:color="auto" w:fill="CCFFCC"/>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0.45</w:t>
            </w:r>
          </w:p>
        </w:tc>
        <w:tc>
          <w:tcPr>
            <w:tcW w:w="688" w:type="dxa"/>
            <w:tcBorders>
              <w:top w:val="nil"/>
              <w:left w:val="nil"/>
              <w:bottom w:val="nil"/>
              <w:right w:val="single" w:color="339966" w:sz="4" w:space="0"/>
            </w:tcBorders>
            <w:shd w:val="clear" w:color="auto" w:fill="CCFFCC"/>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2.70</w:t>
            </w:r>
          </w:p>
        </w:tc>
        <w:tc>
          <w:tcPr>
            <w:tcW w:w="855" w:type="dxa"/>
            <w:tcBorders>
              <w:top w:val="nil"/>
              <w:left w:val="nil"/>
              <w:bottom w:val="nil"/>
              <w:right w:val="single" w:color="339966" w:sz="4" w:space="0"/>
            </w:tcBorders>
            <w:shd w:val="clear" w:color="auto" w:fill="CCFFCC"/>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3.29</w:t>
            </w:r>
          </w:p>
        </w:tc>
        <w:tc>
          <w:tcPr>
            <w:tcW w:w="810" w:type="dxa"/>
            <w:tcBorders>
              <w:top w:val="nil"/>
              <w:left w:val="nil"/>
              <w:bottom w:val="nil"/>
              <w:right w:val="single" w:color="339966" w:sz="4" w:space="0"/>
            </w:tcBorders>
            <w:shd w:val="clear" w:color="auto" w:fill="CCFFCC"/>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3.44</w:t>
            </w:r>
          </w:p>
        </w:tc>
        <w:tc>
          <w:tcPr>
            <w:tcW w:w="639" w:type="dxa"/>
            <w:tcBorders>
              <w:top w:val="nil"/>
              <w:left w:val="nil"/>
              <w:bottom w:val="nil"/>
              <w:right w:val="single" w:color="339966" w:sz="4" w:space="0"/>
            </w:tcBorders>
            <w:shd w:val="clear" w:color="auto" w:fill="CCFFCC"/>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3.63</w:t>
            </w:r>
          </w:p>
        </w:tc>
        <w:tc>
          <w:tcPr>
            <w:tcW w:w="685" w:type="dxa"/>
            <w:shd w:val="clear" w:color="auto" w:fill="CCFFCC"/>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3.53</w:t>
            </w:r>
          </w:p>
        </w:tc>
        <w:tc>
          <w:tcPr>
            <w:tcW w:w="690" w:type="dxa"/>
            <w:tcBorders>
              <w:top w:val="nil"/>
              <w:left w:val="single" w:color="339966" w:sz="8" w:space="0"/>
              <w:bottom w:val="nil"/>
              <w:right w:val="single" w:color="339966" w:sz="4" w:space="0"/>
            </w:tcBorders>
            <w:shd w:val="clear" w:color="auto" w:fill="CCFFCC"/>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3.62</w:t>
            </w:r>
          </w:p>
        </w:tc>
        <w:tc>
          <w:tcPr>
            <w:tcW w:w="862" w:type="dxa"/>
            <w:tcBorders>
              <w:top w:val="nil"/>
              <w:left w:val="nil"/>
              <w:bottom w:val="nil"/>
              <w:right w:val="single" w:color="339966" w:sz="4" w:space="0"/>
            </w:tcBorders>
            <w:shd w:val="clear" w:color="auto" w:fill="CCFFCC"/>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3.90</w:t>
            </w:r>
          </w:p>
        </w:tc>
        <w:tc>
          <w:tcPr>
            <w:tcW w:w="810" w:type="dxa"/>
            <w:tcBorders>
              <w:top w:val="nil"/>
              <w:left w:val="nil"/>
              <w:bottom w:val="nil"/>
              <w:right w:val="single" w:color="339966" w:sz="4" w:space="0"/>
            </w:tcBorders>
            <w:shd w:val="clear" w:color="auto" w:fill="CCFFCC"/>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3.58</w:t>
            </w:r>
          </w:p>
        </w:tc>
        <w:tc>
          <w:tcPr>
            <w:tcW w:w="576" w:type="dxa"/>
            <w:tcBorders>
              <w:top w:val="nil"/>
              <w:left w:val="nil"/>
              <w:bottom w:val="nil"/>
              <w:right w:val="single" w:color="339966" w:sz="4" w:space="0"/>
            </w:tcBorders>
            <w:shd w:val="clear" w:color="auto" w:fill="CCFFCC"/>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3.79</w:t>
            </w:r>
          </w:p>
        </w:tc>
        <w:tc>
          <w:tcPr>
            <w:tcW w:w="663" w:type="dxa"/>
            <w:shd w:val="clear" w:color="auto" w:fill="CCFFCC"/>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4.32</w:t>
            </w:r>
          </w:p>
        </w:tc>
      </w:tr>
      <w:tr>
        <w:tblPrEx>
          <w:tblLayout w:type="fixed"/>
          <w:tblCellMar>
            <w:top w:w="0" w:type="dxa"/>
            <w:left w:w="0" w:type="dxa"/>
            <w:bottom w:w="0" w:type="dxa"/>
            <w:right w:w="0" w:type="dxa"/>
          </w:tblCellMar>
        </w:tblPrEx>
        <w:trPr>
          <w:trHeight w:val="319" w:hRule="atLeast"/>
        </w:trPr>
        <w:tc>
          <w:tcPr>
            <w:tcW w:w="865" w:type="dxa"/>
            <w:tcBorders>
              <w:top w:val="nil"/>
              <w:left w:val="nil"/>
              <w:bottom w:val="nil"/>
              <w:right w:val="single" w:color="008000" w:sz="4" w:space="0"/>
            </w:tcBorders>
            <w:vAlign w:val="cente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March</w:t>
            </w:r>
          </w:p>
        </w:tc>
        <w:tc>
          <w:tcPr>
            <w:tcW w:w="713" w:type="dxa"/>
            <w:tcBorders>
              <w:top w:val="nil"/>
              <w:left w:val="nil"/>
              <w:bottom w:val="nil"/>
              <w:right w:val="single" w:color="008000" w:sz="4" w:space="0"/>
            </w:tcBorders>
            <w:shd w:val="clear" w:color="auto" w:fill="FFFFFF"/>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0.44</w:t>
            </w:r>
          </w:p>
        </w:tc>
        <w:tc>
          <w:tcPr>
            <w:tcW w:w="688" w:type="dxa"/>
            <w:tcBorders>
              <w:top w:val="nil"/>
              <w:left w:val="nil"/>
              <w:bottom w:val="nil"/>
              <w:right w:val="single" w:color="008000" w:sz="4" w:space="0"/>
            </w:tcBorders>
            <w:shd w:val="clear" w:color="auto" w:fill="FFFFFF"/>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2.67</w:t>
            </w:r>
          </w:p>
        </w:tc>
        <w:tc>
          <w:tcPr>
            <w:tcW w:w="855" w:type="dxa"/>
            <w:tcBorders>
              <w:top w:val="nil"/>
              <w:left w:val="nil"/>
              <w:bottom w:val="nil"/>
              <w:right w:val="single" w:color="008000" w:sz="4" w:space="0"/>
            </w:tcBorders>
            <w:shd w:val="clear" w:color="auto" w:fill="FFFFFF"/>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3.26</w:t>
            </w:r>
          </w:p>
        </w:tc>
        <w:tc>
          <w:tcPr>
            <w:tcW w:w="810" w:type="dxa"/>
            <w:tcBorders>
              <w:top w:val="nil"/>
              <w:left w:val="nil"/>
              <w:bottom w:val="nil"/>
              <w:right w:val="single" w:color="008000" w:sz="4" w:space="0"/>
            </w:tcBorders>
            <w:shd w:val="clear" w:color="auto" w:fill="FFFFFF"/>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3.38</w:t>
            </w:r>
          </w:p>
        </w:tc>
        <w:tc>
          <w:tcPr>
            <w:tcW w:w="639" w:type="dxa"/>
            <w:tcBorders>
              <w:top w:val="nil"/>
              <w:left w:val="nil"/>
              <w:bottom w:val="nil"/>
              <w:right w:val="single" w:color="008000" w:sz="4" w:space="0"/>
            </w:tcBorders>
            <w:shd w:val="clear" w:color="auto" w:fill="FFFFFF"/>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3.39</w:t>
            </w:r>
          </w:p>
        </w:tc>
        <w:tc>
          <w:tcPr>
            <w:tcW w:w="685" w:type="dxa"/>
            <w:tcBorders>
              <w:top w:val="nil"/>
              <w:left w:val="nil"/>
              <w:bottom w:val="nil"/>
              <w:right w:val="single" w:color="008000" w:sz="4" w:space="0"/>
            </w:tcBorders>
            <w:shd w:val="clear" w:color="auto" w:fill="FFFFFF"/>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3.58</w:t>
            </w:r>
          </w:p>
        </w:tc>
        <w:tc>
          <w:tcPr>
            <w:tcW w:w="690" w:type="dxa"/>
            <w:tcBorders>
              <w:top w:val="nil"/>
              <w:left w:val="nil"/>
              <w:bottom w:val="nil"/>
              <w:right w:val="single" w:color="008000" w:sz="4" w:space="0"/>
            </w:tcBorders>
            <w:shd w:val="clear" w:color="auto" w:fill="FFFFFF"/>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3.63</w:t>
            </w:r>
          </w:p>
        </w:tc>
        <w:tc>
          <w:tcPr>
            <w:tcW w:w="862" w:type="dxa"/>
            <w:tcBorders>
              <w:top w:val="nil"/>
              <w:left w:val="nil"/>
              <w:bottom w:val="nil"/>
              <w:right w:val="single" w:color="008000" w:sz="4" w:space="0"/>
            </w:tcBorders>
            <w:shd w:val="clear" w:color="auto" w:fill="FFFFFF"/>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3.59</w:t>
            </w:r>
          </w:p>
        </w:tc>
        <w:tc>
          <w:tcPr>
            <w:tcW w:w="810" w:type="dxa"/>
            <w:tcBorders>
              <w:top w:val="nil"/>
              <w:left w:val="nil"/>
              <w:bottom w:val="nil"/>
              <w:right w:val="single" w:color="008000" w:sz="4" w:space="0"/>
            </w:tcBorders>
            <w:shd w:val="clear" w:color="auto" w:fill="FFFFFF"/>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3.87</w:t>
            </w:r>
          </w:p>
        </w:tc>
        <w:tc>
          <w:tcPr>
            <w:tcW w:w="576" w:type="dxa"/>
            <w:tcBorders>
              <w:top w:val="nil"/>
              <w:left w:val="nil"/>
              <w:bottom w:val="nil"/>
              <w:right w:val="single" w:color="008000" w:sz="4" w:space="0"/>
            </w:tcBorders>
            <w:shd w:val="clear" w:color="auto" w:fill="FFFFFF"/>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3.66</w:t>
            </w:r>
          </w:p>
        </w:tc>
        <w:tc>
          <w:tcPr>
            <w:tcW w:w="663" w:type="dxa"/>
            <w:tcBorders>
              <w:top w:val="nil"/>
              <w:left w:val="nil"/>
              <w:bottom w:val="nil"/>
              <w:right w:val="nil"/>
            </w:tcBorders>
            <w:shd w:val="clear" w:color="auto" w:fill="FFFFFF"/>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4.65</w:t>
            </w:r>
          </w:p>
        </w:tc>
      </w:tr>
      <w:tr>
        <w:tblPrEx>
          <w:tblLayout w:type="fixed"/>
          <w:tblCellMar>
            <w:top w:w="0" w:type="dxa"/>
            <w:left w:w="0" w:type="dxa"/>
            <w:bottom w:w="0" w:type="dxa"/>
            <w:right w:w="0" w:type="dxa"/>
          </w:tblCellMar>
        </w:tblPrEx>
        <w:trPr>
          <w:trHeight w:val="319" w:hRule="atLeast"/>
        </w:trPr>
        <w:tc>
          <w:tcPr>
            <w:tcW w:w="865" w:type="dxa"/>
            <w:tcBorders>
              <w:top w:val="nil"/>
              <w:left w:val="nil"/>
              <w:bottom w:val="nil"/>
              <w:right w:val="single" w:color="339966" w:sz="4" w:space="0"/>
            </w:tcBorders>
            <w:shd w:val="clear" w:color="auto" w:fill="CCFFCC"/>
            <w:vAlign w:val="cente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April</w:t>
            </w:r>
          </w:p>
        </w:tc>
        <w:tc>
          <w:tcPr>
            <w:tcW w:w="713" w:type="dxa"/>
            <w:tcBorders>
              <w:top w:val="nil"/>
              <w:left w:val="nil"/>
              <w:bottom w:val="nil"/>
              <w:right w:val="single" w:color="339966" w:sz="4" w:space="0"/>
            </w:tcBorders>
            <w:shd w:val="clear" w:color="auto" w:fill="CCFFCC"/>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0.46</w:t>
            </w:r>
          </w:p>
        </w:tc>
        <w:tc>
          <w:tcPr>
            <w:tcW w:w="688" w:type="dxa"/>
            <w:tcBorders>
              <w:top w:val="nil"/>
              <w:left w:val="nil"/>
              <w:bottom w:val="nil"/>
              <w:right w:val="single" w:color="339966" w:sz="4" w:space="0"/>
            </w:tcBorders>
            <w:shd w:val="clear" w:color="auto" w:fill="CCFFCC"/>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2.61</w:t>
            </w:r>
          </w:p>
        </w:tc>
        <w:tc>
          <w:tcPr>
            <w:tcW w:w="855" w:type="dxa"/>
            <w:tcBorders>
              <w:top w:val="nil"/>
              <w:left w:val="nil"/>
              <w:bottom w:val="nil"/>
              <w:right w:val="single" w:color="339966" w:sz="4" w:space="0"/>
            </w:tcBorders>
            <w:shd w:val="clear" w:color="auto" w:fill="CCFFCC"/>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3.12</w:t>
            </w:r>
          </w:p>
        </w:tc>
        <w:tc>
          <w:tcPr>
            <w:tcW w:w="810" w:type="dxa"/>
            <w:tcBorders>
              <w:top w:val="nil"/>
              <w:left w:val="nil"/>
              <w:bottom w:val="nil"/>
              <w:right w:val="single" w:color="339966" w:sz="4" w:space="0"/>
            </w:tcBorders>
            <w:shd w:val="clear" w:color="auto" w:fill="CCFFCC"/>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3.28</w:t>
            </w:r>
          </w:p>
        </w:tc>
        <w:tc>
          <w:tcPr>
            <w:tcW w:w="639" w:type="dxa"/>
            <w:tcBorders>
              <w:top w:val="nil"/>
              <w:left w:val="nil"/>
              <w:bottom w:val="nil"/>
              <w:right w:val="single" w:color="339966" w:sz="4" w:space="0"/>
            </w:tcBorders>
            <w:shd w:val="clear" w:color="auto" w:fill="CCFFCC"/>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3.37</w:t>
            </w:r>
          </w:p>
        </w:tc>
        <w:tc>
          <w:tcPr>
            <w:tcW w:w="685" w:type="dxa"/>
            <w:shd w:val="clear" w:color="auto" w:fill="CCFFCC"/>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3.48</w:t>
            </w:r>
          </w:p>
        </w:tc>
        <w:tc>
          <w:tcPr>
            <w:tcW w:w="690" w:type="dxa"/>
            <w:tcBorders>
              <w:top w:val="nil"/>
              <w:left w:val="single" w:color="339966" w:sz="8" w:space="0"/>
              <w:bottom w:val="nil"/>
              <w:right w:val="single" w:color="339966" w:sz="4" w:space="0"/>
            </w:tcBorders>
            <w:shd w:val="clear" w:color="auto" w:fill="CCFFCC"/>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3.73</w:t>
            </w:r>
          </w:p>
        </w:tc>
        <w:tc>
          <w:tcPr>
            <w:tcW w:w="862" w:type="dxa"/>
            <w:tcBorders>
              <w:top w:val="nil"/>
              <w:left w:val="nil"/>
              <w:bottom w:val="nil"/>
              <w:right w:val="single" w:color="339966" w:sz="4" w:space="0"/>
            </w:tcBorders>
            <w:shd w:val="clear" w:color="auto" w:fill="CCFFCC"/>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3.71</w:t>
            </w:r>
          </w:p>
        </w:tc>
        <w:tc>
          <w:tcPr>
            <w:tcW w:w="810" w:type="dxa"/>
            <w:tcBorders>
              <w:top w:val="nil"/>
              <w:left w:val="nil"/>
              <w:bottom w:val="nil"/>
              <w:right w:val="single" w:color="339966" w:sz="4" w:space="0"/>
            </w:tcBorders>
            <w:shd w:val="clear" w:color="auto" w:fill="CCFFCC"/>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3.40</w:t>
            </w:r>
          </w:p>
        </w:tc>
        <w:tc>
          <w:tcPr>
            <w:tcW w:w="576" w:type="dxa"/>
            <w:tcBorders>
              <w:top w:val="nil"/>
              <w:left w:val="nil"/>
              <w:bottom w:val="nil"/>
              <w:right w:val="single" w:color="339966" w:sz="4" w:space="0"/>
            </w:tcBorders>
            <w:shd w:val="clear" w:color="auto" w:fill="CCFFCC"/>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3.68</w:t>
            </w:r>
          </w:p>
        </w:tc>
        <w:tc>
          <w:tcPr>
            <w:tcW w:w="663" w:type="dxa"/>
            <w:shd w:val="clear" w:color="auto" w:fill="CCFFCC"/>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4.43</w:t>
            </w:r>
          </w:p>
        </w:tc>
      </w:tr>
      <w:tr>
        <w:tblPrEx>
          <w:tblLayout w:type="fixed"/>
          <w:tblCellMar>
            <w:top w:w="0" w:type="dxa"/>
            <w:left w:w="0" w:type="dxa"/>
            <w:bottom w:w="0" w:type="dxa"/>
            <w:right w:w="0" w:type="dxa"/>
          </w:tblCellMar>
        </w:tblPrEx>
        <w:trPr>
          <w:trHeight w:val="319" w:hRule="atLeast"/>
        </w:trPr>
        <w:tc>
          <w:tcPr>
            <w:tcW w:w="865" w:type="dxa"/>
            <w:tcBorders>
              <w:top w:val="nil"/>
              <w:left w:val="nil"/>
              <w:bottom w:val="nil"/>
              <w:right w:val="single" w:color="008000" w:sz="4" w:space="0"/>
            </w:tcBorders>
            <w:vAlign w:val="cente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May</w:t>
            </w:r>
          </w:p>
        </w:tc>
        <w:tc>
          <w:tcPr>
            <w:tcW w:w="713" w:type="dxa"/>
            <w:tcBorders>
              <w:top w:val="nil"/>
              <w:left w:val="nil"/>
              <w:bottom w:val="nil"/>
              <w:right w:val="single" w:color="008000" w:sz="4" w:space="0"/>
            </w:tcBorders>
            <w:shd w:val="clear" w:color="auto" w:fill="FFFFFF"/>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0.42</w:t>
            </w:r>
          </w:p>
        </w:tc>
        <w:tc>
          <w:tcPr>
            <w:tcW w:w="688" w:type="dxa"/>
            <w:tcBorders>
              <w:top w:val="nil"/>
              <w:left w:val="nil"/>
              <w:bottom w:val="nil"/>
              <w:right w:val="single" w:color="008000" w:sz="4" w:space="0"/>
            </w:tcBorders>
            <w:shd w:val="clear" w:color="auto" w:fill="FFFFFF"/>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2.55</w:t>
            </w:r>
          </w:p>
        </w:tc>
        <w:tc>
          <w:tcPr>
            <w:tcW w:w="855" w:type="dxa"/>
            <w:tcBorders>
              <w:top w:val="nil"/>
              <w:left w:val="nil"/>
              <w:bottom w:val="nil"/>
              <w:right w:val="single" w:color="008000" w:sz="4" w:space="0"/>
            </w:tcBorders>
            <w:shd w:val="clear" w:color="auto" w:fill="FFFFFF"/>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3.13</w:t>
            </w:r>
          </w:p>
        </w:tc>
        <w:tc>
          <w:tcPr>
            <w:tcW w:w="810" w:type="dxa"/>
            <w:tcBorders>
              <w:top w:val="nil"/>
              <w:left w:val="nil"/>
              <w:bottom w:val="nil"/>
              <w:right w:val="single" w:color="008000" w:sz="4" w:space="0"/>
            </w:tcBorders>
            <w:shd w:val="clear" w:color="auto" w:fill="FFFFFF"/>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3.50</w:t>
            </w:r>
          </w:p>
        </w:tc>
        <w:tc>
          <w:tcPr>
            <w:tcW w:w="639" w:type="dxa"/>
            <w:tcBorders>
              <w:top w:val="nil"/>
              <w:left w:val="nil"/>
              <w:bottom w:val="nil"/>
              <w:right w:val="single" w:color="008000" w:sz="4" w:space="0"/>
            </w:tcBorders>
            <w:shd w:val="clear" w:color="auto" w:fill="FFFFFF"/>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3.11</w:t>
            </w:r>
          </w:p>
        </w:tc>
        <w:tc>
          <w:tcPr>
            <w:tcW w:w="685" w:type="dxa"/>
            <w:tcBorders>
              <w:top w:val="nil"/>
              <w:left w:val="nil"/>
              <w:bottom w:val="nil"/>
              <w:right w:val="single" w:color="008000" w:sz="4" w:space="0"/>
            </w:tcBorders>
            <w:shd w:val="clear" w:color="auto" w:fill="FFFFFF"/>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3.33</w:t>
            </w:r>
          </w:p>
        </w:tc>
        <w:tc>
          <w:tcPr>
            <w:tcW w:w="690" w:type="dxa"/>
            <w:tcBorders>
              <w:top w:val="nil"/>
              <w:left w:val="nil"/>
              <w:bottom w:val="nil"/>
              <w:right w:val="single" w:color="008000" w:sz="4" w:space="0"/>
            </w:tcBorders>
            <w:shd w:val="clear" w:color="auto" w:fill="FFFFFF"/>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3.68</w:t>
            </w:r>
          </w:p>
        </w:tc>
        <w:tc>
          <w:tcPr>
            <w:tcW w:w="862" w:type="dxa"/>
            <w:tcBorders>
              <w:top w:val="nil"/>
              <w:left w:val="nil"/>
              <w:bottom w:val="nil"/>
              <w:right w:val="single" w:color="008000" w:sz="4" w:space="0"/>
            </w:tcBorders>
            <w:shd w:val="clear" w:color="auto" w:fill="FFFFFF"/>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3.54</w:t>
            </w:r>
          </w:p>
        </w:tc>
        <w:tc>
          <w:tcPr>
            <w:tcW w:w="810" w:type="dxa"/>
            <w:tcBorders>
              <w:top w:val="nil"/>
              <w:left w:val="nil"/>
              <w:bottom w:val="nil"/>
              <w:right w:val="single" w:color="008000" w:sz="4" w:space="0"/>
            </w:tcBorders>
            <w:shd w:val="clear" w:color="auto" w:fill="FFFFFF"/>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3.34</w:t>
            </w:r>
          </w:p>
        </w:tc>
        <w:tc>
          <w:tcPr>
            <w:tcW w:w="576" w:type="dxa"/>
            <w:tcBorders>
              <w:top w:val="nil"/>
              <w:left w:val="nil"/>
              <w:bottom w:val="nil"/>
              <w:right w:val="single" w:color="008000" w:sz="4" w:space="0"/>
            </w:tcBorders>
            <w:shd w:val="clear" w:color="auto" w:fill="FFFFFF"/>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3.70</w:t>
            </w:r>
          </w:p>
        </w:tc>
        <w:tc>
          <w:tcPr>
            <w:tcW w:w="663" w:type="dxa"/>
            <w:tcBorders>
              <w:top w:val="nil"/>
              <w:left w:val="nil"/>
              <w:bottom w:val="nil"/>
              <w:right w:val="nil"/>
            </w:tcBorders>
            <w:shd w:val="clear" w:color="auto" w:fill="FFFFFF"/>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4.31</w:t>
            </w:r>
          </w:p>
        </w:tc>
      </w:tr>
      <w:tr>
        <w:tblPrEx>
          <w:tblLayout w:type="fixed"/>
          <w:tblCellMar>
            <w:top w:w="0" w:type="dxa"/>
            <w:left w:w="0" w:type="dxa"/>
            <w:bottom w:w="0" w:type="dxa"/>
            <w:right w:w="0" w:type="dxa"/>
          </w:tblCellMar>
        </w:tblPrEx>
        <w:trPr>
          <w:trHeight w:val="319" w:hRule="atLeast"/>
        </w:trPr>
        <w:tc>
          <w:tcPr>
            <w:tcW w:w="865" w:type="dxa"/>
            <w:tcBorders>
              <w:top w:val="nil"/>
              <w:left w:val="nil"/>
              <w:bottom w:val="nil"/>
              <w:right w:val="single" w:color="339966" w:sz="4" w:space="0"/>
            </w:tcBorders>
            <w:shd w:val="clear" w:color="auto" w:fill="CCFFCC"/>
            <w:vAlign w:val="center"/>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June</w:t>
            </w:r>
          </w:p>
        </w:tc>
        <w:tc>
          <w:tcPr>
            <w:tcW w:w="713" w:type="dxa"/>
            <w:tcBorders>
              <w:top w:val="nil"/>
              <w:left w:val="nil"/>
              <w:bottom w:val="nil"/>
              <w:right w:val="single" w:color="339966" w:sz="4" w:space="0"/>
            </w:tcBorders>
            <w:shd w:val="clear" w:color="auto" w:fill="CCFFCC"/>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0.32</w:t>
            </w:r>
          </w:p>
        </w:tc>
        <w:tc>
          <w:tcPr>
            <w:tcW w:w="688" w:type="dxa"/>
            <w:tcBorders>
              <w:top w:val="nil"/>
              <w:left w:val="nil"/>
              <w:bottom w:val="nil"/>
              <w:right w:val="single" w:color="339966" w:sz="4" w:space="0"/>
            </w:tcBorders>
            <w:shd w:val="clear" w:color="auto" w:fill="CCFFCC"/>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2.60</w:t>
            </w:r>
          </w:p>
        </w:tc>
        <w:tc>
          <w:tcPr>
            <w:tcW w:w="855" w:type="dxa"/>
            <w:tcBorders>
              <w:top w:val="nil"/>
              <w:left w:val="nil"/>
              <w:bottom w:val="nil"/>
              <w:right w:val="single" w:color="339966" w:sz="4" w:space="0"/>
            </w:tcBorders>
            <w:shd w:val="clear" w:color="auto" w:fill="CCFFCC"/>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3.04</w:t>
            </w:r>
          </w:p>
        </w:tc>
        <w:tc>
          <w:tcPr>
            <w:tcW w:w="810" w:type="dxa"/>
            <w:tcBorders>
              <w:top w:val="nil"/>
              <w:left w:val="nil"/>
              <w:bottom w:val="nil"/>
              <w:right w:val="single" w:color="339966" w:sz="4" w:space="0"/>
            </w:tcBorders>
            <w:shd w:val="clear" w:color="auto" w:fill="CCFFCC"/>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2.93</w:t>
            </w:r>
          </w:p>
        </w:tc>
        <w:tc>
          <w:tcPr>
            <w:tcW w:w="639" w:type="dxa"/>
            <w:tcBorders>
              <w:top w:val="nil"/>
              <w:left w:val="nil"/>
              <w:bottom w:val="nil"/>
              <w:right w:val="single" w:color="339966" w:sz="4" w:space="0"/>
            </w:tcBorders>
            <w:shd w:val="clear" w:color="auto" w:fill="CCFFCC"/>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3.04</w:t>
            </w:r>
          </w:p>
        </w:tc>
        <w:tc>
          <w:tcPr>
            <w:tcW w:w="685" w:type="dxa"/>
            <w:shd w:val="clear" w:color="auto" w:fill="CCFFCC"/>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3.04</w:t>
            </w:r>
          </w:p>
        </w:tc>
        <w:tc>
          <w:tcPr>
            <w:tcW w:w="690" w:type="dxa"/>
            <w:tcBorders>
              <w:top w:val="nil"/>
              <w:left w:val="single" w:color="339966" w:sz="8" w:space="0"/>
              <w:bottom w:val="nil"/>
              <w:right w:val="single" w:color="339966" w:sz="4" w:space="0"/>
            </w:tcBorders>
            <w:shd w:val="clear" w:color="auto" w:fill="CCFFCC"/>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3.65</w:t>
            </w:r>
          </w:p>
        </w:tc>
        <w:tc>
          <w:tcPr>
            <w:tcW w:w="862" w:type="dxa"/>
            <w:tcBorders>
              <w:top w:val="nil"/>
              <w:left w:val="nil"/>
              <w:bottom w:val="nil"/>
              <w:right w:val="single" w:color="339966" w:sz="4" w:space="0"/>
            </w:tcBorders>
            <w:shd w:val="clear" w:color="auto" w:fill="CCFFCC"/>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3.36</w:t>
            </w:r>
          </w:p>
        </w:tc>
        <w:tc>
          <w:tcPr>
            <w:tcW w:w="810" w:type="dxa"/>
            <w:tcBorders>
              <w:top w:val="nil"/>
              <w:left w:val="nil"/>
              <w:bottom w:val="nil"/>
              <w:right w:val="single" w:color="339966" w:sz="4" w:space="0"/>
            </w:tcBorders>
            <w:shd w:val="clear" w:color="auto" w:fill="CCFFCC"/>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3.21</w:t>
            </w:r>
          </w:p>
        </w:tc>
        <w:tc>
          <w:tcPr>
            <w:tcW w:w="576" w:type="dxa"/>
            <w:tcBorders>
              <w:top w:val="nil"/>
              <w:left w:val="nil"/>
              <w:bottom w:val="nil"/>
              <w:right w:val="single" w:color="339966" w:sz="4" w:space="0"/>
            </w:tcBorders>
            <w:shd w:val="clear" w:color="auto" w:fill="CCFFCC"/>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3.22</w:t>
            </w:r>
          </w:p>
        </w:tc>
        <w:tc>
          <w:tcPr>
            <w:tcW w:w="663" w:type="dxa"/>
            <w:shd w:val="clear" w:color="auto" w:fill="CCFFCC"/>
          </w:tcPr>
          <w:p>
            <w:pPr>
              <w:widowControl/>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4.38</w:t>
            </w:r>
          </w:p>
        </w:tc>
      </w:tr>
    </w:tbl>
    <w:p>
      <w:pPr>
        <w:widowControl/>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Source: The People’s Bank of China.</w:t>
      </w:r>
    </w:p>
    <w:p>
      <w:pPr>
        <w:widowControl/>
        <w:rPr>
          <w:rFonts w:ascii="Times New Roman" w:hAnsi="Times New Roman" w:cs="Times New Roman"/>
          <w:color w:val="000000" w:themeColor="text1"/>
          <w:kern w:val="0"/>
          <w:sz w:val="24"/>
          <w:szCs w:val="24"/>
          <w14:textFill>
            <w14:solidFill>
              <w14:schemeClr w14:val="tx1"/>
            </w14:solidFill>
          </w14:textFill>
        </w:rPr>
      </w:pPr>
    </w:p>
    <w:p>
      <w:pPr>
        <w:widowControl/>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b/>
          <w:bCs/>
          <w:color w:val="000000" w:themeColor="text1"/>
          <w:kern w:val="0"/>
          <w:sz w:val="24"/>
          <w:szCs w:val="24"/>
          <w14:textFill>
            <w14:solidFill>
              <w14:schemeClr w14:val="tx1"/>
            </w14:solidFill>
          </w14:textFill>
        </w:rPr>
        <w:t xml:space="preserve">The growth of deposits </w:t>
      </w:r>
      <w:r>
        <w:rPr>
          <w:rFonts w:hint="eastAsia" w:ascii="Times New Roman" w:hAnsi="Times New Roman" w:cs="Times New Roman"/>
          <w:b/>
          <w:bCs/>
          <w:color w:val="000000" w:themeColor="text1"/>
          <w:kern w:val="0"/>
          <w:sz w:val="24"/>
          <w:szCs w:val="24"/>
          <w14:textFill>
            <w14:solidFill>
              <w14:schemeClr w14:val="tx1"/>
            </w14:solidFill>
          </w14:textFill>
        </w:rPr>
        <w:t>was stable</w:t>
      </w:r>
      <w:r>
        <w:rPr>
          <w:rFonts w:ascii="Times New Roman" w:hAnsi="Times New Roman" w:cs="Times New Roman"/>
          <w:b/>
          <w:bCs/>
          <w:color w:val="000000" w:themeColor="text1"/>
          <w:kern w:val="0"/>
          <w:sz w:val="24"/>
          <w:szCs w:val="24"/>
          <w14:textFill>
            <w14:solidFill>
              <w14:schemeClr w14:val="tx1"/>
            </w14:solidFill>
          </w14:textFill>
        </w:rPr>
        <w:t xml:space="preserve">, with term deposits accounting for a smaller share of the total new deposits. </w:t>
      </w:r>
      <w:r>
        <w:rPr>
          <w:rFonts w:ascii="Times New Roman" w:hAnsi="Times New Roman" w:cs="Times New Roman"/>
          <w:color w:val="000000" w:themeColor="text1"/>
          <w:kern w:val="0"/>
          <w:sz w:val="24"/>
          <w:szCs w:val="24"/>
          <w14:textFill>
            <w14:solidFill>
              <w14:schemeClr w14:val="tx1"/>
            </w14:solidFill>
          </w14:textFill>
        </w:rPr>
        <w:t xml:space="preserve">At end-June, outstanding deposits in domestic and foreign currencies in all financial institutions posted RMB 192.8 trillion, up 8.1 percent year on year, the same as that during the same period of the last year, an increase of RMB 10.3 trillion from the beginning of the year, rising RMB 1.2 trillion more year on year. Outstanding RMB deposits registered RMB 187.6 trillion, up 8.4 percent year on year, which was at the same pace as that in </w:t>
      </w:r>
      <w:r>
        <w:rPr>
          <w:rFonts w:hint="eastAsia" w:ascii="Times New Roman" w:hAnsi="Times New Roman" w:cs="Times New Roman"/>
          <w:color w:val="000000" w:themeColor="text1"/>
          <w:kern w:val="0"/>
          <w:sz w:val="24"/>
          <w:szCs w:val="24"/>
          <w14:textFill>
            <w14:solidFill>
              <w14:schemeClr w14:val="tx1"/>
            </w14:solidFill>
          </w14:textFill>
        </w:rPr>
        <w:t>H1</w:t>
      </w:r>
      <w:r>
        <w:rPr>
          <w:rFonts w:ascii="Times New Roman" w:hAnsi="Times New Roman" w:cs="Times New Roman"/>
          <w:color w:val="000000" w:themeColor="text1"/>
          <w:kern w:val="0"/>
          <w:sz w:val="24"/>
          <w:szCs w:val="24"/>
          <w14:textFill>
            <w14:solidFill>
              <w14:schemeClr w14:val="tx1"/>
            </w14:solidFill>
          </w14:textFill>
        </w:rPr>
        <w:t xml:space="preserve"> 2018; up by RMB 10.1 trillion from the start of the year and </w:t>
      </w:r>
      <w:r>
        <w:rPr>
          <w:rFonts w:hint="eastAsia" w:ascii="Times New Roman" w:hAnsi="Times New Roman" w:cs="Times New Roman"/>
          <w:color w:val="000000" w:themeColor="text1"/>
          <w:kern w:val="0"/>
          <w:sz w:val="24"/>
          <w:szCs w:val="24"/>
          <w14:textFill>
            <w14:solidFill>
              <w14:schemeClr w14:val="tx1"/>
            </w14:solidFill>
          </w14:textFill>
        </w:rPr>
        <w:t>rising</w:t>
      </w:r>
      <w:r>
        <w:rPr>
          <w:rFonts w:ascii="Times New Roman" w:hAnsi="Times New Roman" w:cs="Times New Roman"/>
          <w:color w:val="000000" w:themeColor="text1"/>
          <w:kern w:val="0"/>
          <w:sz w:val="24"/>
          <w:szCs w:val="24"/>
          <w14:textFill>
            <w14:solidFill>
              <w14:schemeClr w14:val="tx1"/>
            </w14:solidFill>
          </w14:textFill>
        </w:rPr>
        <w:t xml:space="preserve"> RMB 1.1 trillion </w:t>
      </w:r>
      <w:r>
        <w:rPr>
          <w:rFonts w:hint="eastAsia" w:ascii="Times New Roman" w:hAnsi="Times New Roman" w:cs="Times New Roman"/>
          <w:color w:val="000000" w:themeColor="text1"/>
          <w:kern w:val="0"/>
          <w:sz w:val="24"/>
          <w:szCs w:val="24"/>
          <w14:textFill>
            <w14:solidFill>
              <w14:schemeClr w14:val="tx1"/>
            </w14:solidFill>
          </w14:textFill>
        </w:rPr>
        <w:t>more over H1 2018</w:t>
      </w:r>
      <w:r>
        <w:rPr>
          <w:rFonts w:ascii="Times New Roman" w:hAnsi="Times New Roman" w:cs="Times New Roman"/>
          <w:color w:val="000000" w:themeColor="text1"/>
          <w:kern w:val="0"/>
          <w:sz w:val="24"/>
          <w:szCs w:val="24"/>
          <w14:textFill>
            <w14:solidFill>
              <w14:schemeClr w14:val="tx1"/>
            </w14:solidFill>
          </w14:textFill>
        </w:rPr>
        <w:t>. Outstanding deposits in foreign currencies stood at USD 760.0 billion, up by USD 32.5 billion from the beginning of the year, or a rise of USD 34.3 billion year on year. Term deposits accounted for 87.4 percent of new deposits by households and non-financial enterprises in the first half of 2019, down 12.0 percentage points year on year. In terms of sectors, household, non-financial corporate, and fiscal deposits registered year-on-year accelerations of RMB 2.6 trillion, RMB 1.5 trillion,</w:t>
      </w:r>
      <w:r>
        <w:rPr>
          <w:rFonts w:hint="eastAsia" w:ascii="Times New Roman" w:hAnsi="Times New Roman" w:cs="Times New Roman"/>
          <w:color w:val="000000" w:themeColor="text1"/>
          <w:kern w:val="0"/>
          <w:sz w:val="24"/>
          <w:szCs w:val="24"/>
          <w14:textFill>
            <w14:solidFill>
              <w14:schemeClr w14:val="tx1"/>
            </w14:solidFill>
          </w14:textFill>
        </w:rPr>
        <w:t xml:space="preserve"> and</w:t>
      </w:r>
      <w:r>
        <w:rPr>
          <w:rFonts w:ascii="Times New Roman" w:hAnsi="Times New Roman" w:cs="Times New Roman"/>
          <w:color w:val="000000" w:themeColor="text1"/>
          <w:kern w:val="0"/>
          <w:sz w:val="24"/>
          <w:szCs w:val="24"/>
          <w14:textFill>
            <w14:solidFill>
              <w14:schemeClr w14:val="tx1"/>
            </w14:solidFill>
          </w14:textFill>
        </w:rPr>
        <w:t xml:space="preserve"> RMB 294.9 billion respectively, whereas deposits by non-banking financial institutions recorded a year-on-year deceleration of RMB 3.3 trillion. </w:t>
      </w:r>
      <w:bookmarkStart w:id="31" w:name="_Toc11317456"/>
    </w:p>
    <w:p>
      <w:pPr>
        <w:widowControl/>
        <w:jc w:val="center"/>
        <w:rPr>
          <w:rFonts w:ascii="Times New Roman" w:hAnsi="Times New Roman" w:cs="Times New Roman"/>
          <w:color w:val="000000" w:themeColor="text1"/>
          <w:kern w:val="0"/>
          <w:sz w:val="24"/>
          <w:szCs w:val="24"/>
          <w14:textFill>
            <w14:solidFill>
              <w14:schemeClr w14:val="tx1"/>
            </w14:solidFill>
          </w14:textFill>
        </w:rPr>
      </w:pPr>
    </w:p>
    <w:p>
      <w:pPr>
        <w:pStyle w:val="5"/>
        <w:jc w:val="center"/>
        <w:rPr>
          <w:rFonts w:ascii="Times New Roman" w:hAnsi="Times New Roman" w:cs="Times New Roman"/>
          <w:b/>
          <w:bCs/>
          <w:color w:val="000000" w:themeColor="text1"/>
          <w:kern w:val="0"/>
          <w:sz w:val="24"/>
          <w:szCs w:val="24"/>
          <w14:textFill>
            <w14:solidFill>
              <w14:schemeClr w14:val="tx1"/>
            </w14:solidFill>
          </w14:textFill>
        </w:rPr>
      </w:pPr>
      <w:bookmarkStart w:id="32" w:name="_Toc17809066"/>
      <w:r>
        <w:rPr>
          <w:rFonts w:ascii="Times New Roman" w:hAnsi="Times New Roman" w:cs="Times New Roman"/>
          <w:b/>
          <w:bCs/>
          <w:color w:val="000000" w:themeColor="text1"/>
          <w:kern w:val="0"/>
          <w:sz w:val="24"/>
          <w:szCs w:val="24"/>
          <w14:textFill>
            <w14:solidFill>
              <w14:schemeClr w14:val="tx1"/>
            </w14:solidFill>
          </w14:textFill>
        </w:rPr>
        <w:t xml:space="preserve">Table </w:t>
      </w:r>
      <w:r>
        <w:rPr>
          <w:rFonts w:ascii="Times New Roman" w:hAnsi="Times New Roman" w:cs="Times New Roman"/>
          <w:b/>
          <w:bCs/>
          <w:color w:val="000000" w:themeColor="text1"/>
          <w:kern w:val="0"/>
          <w:sz w:val="24"/>
          <w:szCs w:val="24"/>
          <w14:textFill>
            <w14:solidFill>
              <w14:schemeClr w14:val="tx1"/>
            </w14:solidFill>
          </w14:textFill>
        </w:rPr>
        <w:fldChar w:fldCharType="begin"/>
      </w:r>
      <w:r>
        <w:rPr>
          <w:rFonts w:ascii="Times New Roman" w:hAnsi="Times New Roman" w:cs="Times New Roman"/>
          <w:b/>
          <w:bCs/>
          <w:color w:val="000000" w:themeColor="text1"/>
          <w:kern w:val="0"/>
          <w:sz w:val="24"/>
          <w:szCs w:val="24"/>
          <w14:textFill>
            <w14:solidFill>
              <w14:schemeClr w14:val="tx1"/>
            </w14:solidFill>
          </w14:textFill>
        </w:rPr>
        <w:instrText xml:space="preserve"> SEQ Table \* ARABIC </w:instrText>
      </w:r>
      <w:r>
        <w:rPr>
          <w:rFonts w:ascii="Times New Roman" w:hAnsi="Times New Roman" w:cs="Times New Roman"/>
          <w:b/>
          <w:bCs/>
          <w:color w:val="000000" w:themeColor="text1"/>
          <w:kern w:val="0"/>
          <w:sz w:val="24"/>
          <w:szCs w:val="24"/>
          <w14:textFill>
            <w14:solidFill>
              <w14:schemeClr w14:val="tx1"/>
            </w14:solidFill>
          </w14:textFill>
        </w:rPr>
        <w:fldChar w:fldCharType="separate"/>
      </w:r>
      <w:r>
        <w:rPr>
          <w:rFonts w:ascii="Times New Roman" w:hAnsi="Times New Roman" w:cs="Times New Roman"/>
          <w:b/>
          <w:bCs/>
          <w:color w:val="000000" w:themeColor="text1"/>
          <w:kern w:val="0"/>
          <w:sz w:val="24"/>
          <w:szCs w:val="24"/>
          <w14:textFill>
            <w14:solidFill>
              <w14:schemeClr w14:val="tx1"/>
            </w14:solidFill>
          </w14:textFill>
        </w:rPr>
        <w:t>5</w:t>
      </w:r>
      <w:r>
        <w:rPr>
          <w:rFonts w:ascii="Times New Roman" w:hAnsi="Times New Roman" w:cs="Times New Roman"/>
          <w:b/>
          <w:bCs/>
          <w:color w:val="000000" w:themeColor="text1"/>
          <w:kern w:val="0"/>
          <w:sz w:val="24"/>
          <w:szCs w:val="24"/>
          <w14:textFill>
            <w14:solidFill>
              <w14:schemeClr w14:val="tx1"/>
            </w14:solidFill>
          </w14:textFill>
        </w:rPr>
        <w:fldChar w:fldCharType="end"/>
      </w:r>
      <w:r>
        <w:rPr>
          <w:rFonts w:hint="eastAsia" w:ascii="Times New Roman" w:hAnsi="Times New Roman" w:cs="Times New Roman"/>
          <w:b/>
          <w:bCs/>
          <w:color w:val="000000" w:themeColor="text1"/>
          <w:kern w:val="0"/>
          <w:sz w:val="24"/>
          <w:szCs w:val="24"/>
          <w14:textFill>
            <w14:solidFill>
              <w14:schemeClr w14:val="tx1"/>
            </w14:solidFill>
          </w14:textFill>
        </w:rPr>
        <w:t xml:space="preserve"> </w:t>
      </w:r>
      <w:r>
        <w:rPr>
          <w:rFonts w:ascii="Times New Roman" w:hAnsi="Times New Roman" w:cs="Times New Roman"/>
          <w:b/>
          <w:bCs/>
          <w:color w:val="000000" w:themeColor="text1"/>
          <w:kern w:val="0"/>
          <w:sz w:val="24"/>
          <w:szCs w:val="24"/>
          <w14:textFill>
            <w14:solidFill>
              <w14:schemeClr w14:val="tx1"/>
            </w14:solidFill>
          </w14:textFill>
        </w:rPr>
        <w:t>The Structure of RMB Deposits during the First Half of 2019</w:t>
      </w:r>
      <w:bookmarkEnd w:id="31"/>
      <w:bookmarkEnd w:id="32"/>
    </w:p>
    <w:p>
      <w:pPr>
        <w:widowControl/>
        <w:ind w:right="210"/>
        <w:jc w:val="righ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RMB 100 million</w:t>
      </w:r>
    </w:p>
    <w:tbl>
      <w:tblPr>
        <w:tblStyle w:val="14"/>
        <w:tblW w:w="8112" w:type="dxa"/>
        <w:jc w:val="center"/>
        <w:tblInd w:w="0" w:type="dxa"/>
        <w:tblLayout w:type="fixed"/>
        <w:tblCellMar>
          <w:top w:w="0" w:type="dxa"/>
          <w:left w:w="0" w:type="dxa"/>
          <w:bottom w:w="0" w:type="dxa"/>
          <w:right w:w="0" w:type="dxa"/>
        </w:tblCellMar>
      </w:tblPr>
      <w:tblGrid>
        <w:gridCol w:w="2524"/>
        <w:gridCol w:w="1243"/>
        <w:gridCol w:w="1136"/>
        <w:gridCol w:w="1663"/>
        <w:gridCol w:w="1546"/>
      </w:tblGrid>
      <w:tr>
        <w:tblPrEx>
          <w:tblLayout w:type="fixed"/>
          <w:tblCellMar>
            <w:top w:w="0" w:type="dxa"/>
            <w:left w:w="0" w:type="dxa"/>
            <w:bottom w:w="0" w:type="dxa"/>
            <w:right w:w="0" w:type="dxa"/>
          </w:tblCellMar>
        </w:tblPrEx>
        <w:trPr>
          <w:trHeight w:val="1683" w:hRule="atLeast"/>
          <w:jc w:val="center"/>
        </w:trPr>
        <w:tc>
          <w:tcPr>
            <w:tcW w:w="2524" w:type="dxa"/>
            <w:tcBorders>
              <w:top w:val="single" w:color="339966" w:sz="12" w:space="0"/>
              <w:left w:val="nil"/>
              <w:bottom w:val="single" w:color="339966" w:sz="12" w:space="0"/>
              <w:right w:val="single" w:color="339966" w:sz="4" w:space="0"/>
            </w:tcBorders>
            <w:shd w:val="clear" w:color="auto" w:fill="CCFFCC"/>
            <w:vAlign w:val="center"/>
          </w:tcPr>
          <w:p>
            <w:pPr>
              <w:widowControl/>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　</w:t>
            </w:r>
          </w:p>
        </w:tc>
        <w:tc>
          <w:tcPr>
            <w:tcW w:w="1243" w:type="dxa"/>
            <w:tcBorders>
              <w:top w:val="single" w:color="339966" w:sz="12" w:space="0"/>
              <w:left w:val="nil"/>
              <w:bottom w:val="single" w:color="339966" w:sz="12" w:space="0"/>
              <w:right w:val="single" w:color="339966" w:sz="6" w:space="0"/>
            </w:tcBorders>
            <w:shd w:val="clear" w:color="auto" w:fill="CCFFCC"/>
            <w:vAlign w:val="center"/>
          </w:tcPr>
          <w:p>
            <w:pPr>
              <w:widowControl/>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Deposits at end-June</w:t>
            </w:r>
          </w:p>
        </w:tc>
        <w:tc>
          <w:tcPr>
            <w:tcW w:w="1136" w:type="dxa"/>
            <w:tcBorders>
              <w:top w:val="single" w:color="339966" w:sz="12" w:space="0"/>
              <w:left w:val="nil"/>
              <w:bottom w:val="single" w:color="339966" w:sz="12" w:space="0"/>
              <w:right w:val="single" w:color="339966" w:sz="6" w:space="0"/>
            </w:tcBorders>
            <w:shd w:val="clear" w:color="auto" w:fill="CCFFCC"/>
            <w:vAlign w:val="center"/>
          </w:tcPr>
          <w:p>
            <w:pPr>
              <w:widowControl/>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Year-on-</w:t>
            </w:r>
          </w:p>
          <w:p>
            <w:pPr>
              <w:widowControl/>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year growth</w:t>
            </w:r>
          </w:p>
        </w:tc>
        <w:tc>
          <w:tcPr>
            <w:tcW w:w="1663" w:type="dxa"/>
            <w:tcBorders>
              <w:top w:val="single" w:color="339966" w:sz="12" w:space="0"/>
              <w:left w:val="nil"/>
              <w:bottom w:val="single" w:color="339966" w:sz="12" w:space="0"/>
              <w:right w:val="single" w:color="339966" w:sz="6" w:space="0"/>
            </w:tcBorders>
            <w:shd w:val="clear" w:color="auto" w:fill="CCFFCC"/>
            <w:vAlign w:val="center"/>
          </w:tcPr>
          <w:p>
            <w:pPr>
              <w:widowControl/>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Increase from the beginning of the year</w:t>
            </w:r>
          </w:p>
        </w:tc>
        <w:tc>
          <w:tcPr>
            <w:tcW w:w="1546" w:type="dxa"/>
            <w:tcBorders>
              <w:top w:val="single" w:color="339966" w:sz="12" w:space="0"/>
              <w:left w:val="nil"/>
              <w:bottom w:val="single" w:color="339966" w:sz="12" w:space="0"/>
              <w:right w:val="nil"/>
            </w:tcBorders>
            <w:shd w:val="clear" w:color="auto" w:fill="CCFFCC"/>
            <w:vAlign w:val="center"/>
          </w:tcPr>
          <w:p>
            <w:pPr>
              <w:widowControl/>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Change in the increase from the same period of the last year</w:t>
            </w:r>
          </w:p>
        </w:tc>
      </w:tr>
      <w:tr>
        <w:tblPrEx>
          <w:tblLayout w:type="fixed"/>
          <w:tblCellMar>
            <w:top w:w="0" w:type="dxa"/>
            <w:left w:w="0" w:type="dxa"/>
            <w:bottom w:w="0" w:type="dxa"/>
            <w:right w:w="0" w:type="dxa"/>
          </w:tblCellMar>
        </w:tblPrEx>
        <w:trPr>
          <w:trHeight w:val="300" w:hRule="atLeast"/>
          <w:jc w:val="center"/>
        </w:trPr>
        <w:tc>
          <w:tcPr>
            <w:tcW w:w="2524" w:type="dxa"/>
            <w:tcBorders>
              <w:top w:val="nil"/>
              <w:left w:val="nil"/>
              <w:bottom w:val="nil"/>
              <w:right w:val="single" w:color="339966" w:sz="4" w:space="0"/>
            </w:tcBorders>
            <w:vAlign w:val="center"/>
          </w:tcPr>
          <w:p>
            <w:pPr>
              <w:widowControl/>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RMB deposits</w:t>
            </w:r>
          </w:p>
        </w:tc>
        <w:tc>
          <w:tcPr>
            <w:tcW w:w="1243" w:type="dxa"/>
            <w:tcBorders>
              <w:top w:val="nil"/>
              <w:left w:val="nil"/>
              <w:bottom w:val="nil"/>
              <w:right w:val="single" w:color="339966" w:sz="6" w:space="0"/>
            </w:tcBorders>
            <w:vAlign w:val="center"/>
          </w:tcPr>
          <w:p>
            <w:pPr>
              <w:widowControl/>
              <w:ind w:right="105"/>
              <w:jc w:val="righ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1,875,680</w:t>
            </w:r>
          </w:p>
        </w:tc>
        <w:tc>
          <w:tcPr>
            <w:tcW w:w="1136" w:type="dxa"/>
            <w:tcBorders>
              <w:top w:val="nil"/>
              <w:left w:val="nil"/>
              <w:bottom w:val="nil"/>
              <w:right w:val="single" w:color="339966" w:sz="6" w:space="0"/>
            </w:tcBorders>
            <w:vAlign w:val="center"/>
          </w:tcPr>
          <w:p>
            <w:pPr>
              <w:widowControl/>
              <w:ind w:right="105"/>
              <w:jc w:val="righ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8.4%</w:t>
            </w:r>
          </w:p>
        </w:tc>
        <w:tc>
          <w:tcPr>
            <w:tcW w:w="1663" w:type="dxa"/>
            <w:tcBorders>
              <w:top w:val="nil"/>
              <w:left w:val="nil"/>
              <w:bottom w:val="nil"/>
              <w:right w:val="single" w:color="339966" w:sz="6" w:space="0"/>
            </w:tcBorders>
            <w:vAlign w:val="center"/>
          </w:tcPr>
          <w:p>
            <w:pPr>
              <w:widowControl/>
              <w:ind w:right="105"/>
              <w:jc w:val="righ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100,512</w:t>
            </w:r>
          </w:p>
        </w:tc>
        <w:tc>
          <w:tcPr>
            <w:tcW w:w="1546" w:type="dxa"/>
            <w:vAlign w:val="center"/>
          </w:tcPr>
          <w:p>
            <w:pPr>
              <w:widowControl/>
              <w:ind w:right="105"/>
              <w:jc w:val="righ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10,513</w:t>
            </w:r>
          </w:p>
        </w:tc>
      </w:tr>
      <w:tr>
        <w:tblPrEx>
          <w:tblLayout w:type="fixed"/>
          <w:tblCellMar>
            <w:top w:w="0" w:type="dxa"/>
            <w:left w:w="0" w:type="dxa"/>
            <w:bottom w:w="0" w:type="dxa"/>
            <w:right w:w="0" w:type="dxa"/>
          </w:tblCellMar>
        </w:tblPrEx>
        <w:trPr>
          <w:trHeight w:val="285" w:hRule="atLeast"/>
          <w:jc w:val="center"/>
        </w:trPr>
        <w:tc>
          <w:tcPr>
            <w:tcW w:w="2524" w:type="dxa"/>
            <w:tcBorders>
              <w:top w:val="nil"/>
              <w:left w:val="nil"/>
              <w:bottom w:val="nil"/>
              <w:right w:val="single" w:color="339966" w:sz="4" w:space="0"/>
            </w:tcBorders>
            <w:shd w:val="clear" w:color="auto" w:fill="CCFFCC"/>
            <w:vAlign w:val="center"/>
          </w:tcPr>
          <w:p>
            <w:pPr>
              <w:widowControl/>
              <w:ind w:left="441"/>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 xml:space="preserve">Households </w:t>
            </w:r>
          </w:p>
        </w:tc>
        <w:tc>
          <w:tcPr>
            <w:tcW w:w="1243" w:type="dxa"/>
            <w:tcBorders>
              <w:top w:val="nil"/>
              <w:left w:val="nil"/>
              <w:bottom w:val="nil"/>
              <w:right w:val="single" w:color="339966" w:sz="6" w:space="0"/>
            </w:tcBorders>
            <w:shd w:val="clear" w:color="auto" w:fill="CCFFCC"/>
            <w:vAlign w:val="center"/>
          </w:tcPr>
          <w:p>
            <w:pPr>
              <w:widowControl/>
              <w:ind w:right="105"/>
              <w:jc w:val="righ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784,172</w:t>
            </w:r>
          </w:p>
        </w:tc>
        <w:tc>
          <w:tcPr>
            <w:tcW w:w="1136" w:type="dxa"/>
            <w:tcBorders>
              <w:top w:val="nil"/>
              <w:left w:val="nil"/>
              <w:bottom w:val="nil"/>
              <w:right w:val="single" w:color="339966" w:sz="6" w:space="0"/>
            </w:tcBorders>
            <w:shd w:val="clear" w:color="auto" w:fill="CCFFCC"/>
            <w:vAlign w:val="center"/>
          </w:tcPr>
          <w:p>
            <w:pPr>
              <w:widowControl/>
              <w:ind w:right="105"/>
              <w:jc w:val="righ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14.2%</w:t>
            </w:r>
          </w:p>
        </w:tc>
        <w:tc>
          <w:tcPr>
            <w:tcW w:w="1663" w:type="dxa"/>
            <w:tcBorders>
              <w:top w:val="nil"/>
              <w:left w:val="nil"/>
              <w:bottom w:val="nil"/>
              <w:right w:val="single" w:color="339966" w:sz="6" w:space="0"/>
            </w:tcBorders>
            <w:shd w:val="clear" w:color="auto" w:fill="CCFFCC"/>
            <w:vAlign w:val="center"/>
          </w:tcPr>
          <w:p>
            <w:pPr>
              <w:widowControl/>
              <w:ind w:right="105"/>
              <w:jc w:val="righ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68,196</w:t>
            </w:r>
          </w:p>
        </w:tc>
        <w:tc>
          <w:tcPr>
            <w:tcW w:w="1546" w:type="dxa"/>
            <w:shd w:val="clear" w:color="auto" w:fill="CCFFCC"/>
            <w:vAlign w:val="center"/>
          </w:tcPr>
          <w:p>
            <w:pPr>
              <w:widowControl/>
              <w:ind w:right="105"/>
              <w:jc w:val="righ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25,570</w:t>
            </w:r>
          </w:p>
        </w:tc>
      </w:tr>
      <w:tr>
        <w:tblPrEx>
          <w:tblLayout w:type="fixed"/>
          <w:tblCellMar>
            <w:top w:w="0" w:type="dxa"/>
            <w:left w:w="0" w:type="dxa"/>
            <w:bottom w:w="0" w:type="dxa"/>
            <w:right w:w="0" w:type="dxa"/>
          </w:tblCellMar>
        </w:tblPrEx>
        <w:trPr>
          <w:trHeight w:val="441" w:hRule="atLeast"/>
          <w:jc w:val="center"/>
        </w:trPr>
        <w:tc>
          <w:tcPr>
            <w:tcW w:w="2524" w:type="dxa"/>
            <w:tcBorders>
              <w:top w:val="nil"/>
              <w:left w:val="nil"/>
              <w:bottom w:val="nil"/>
              <w:right w:val="single" w:color="339966" w:sz="4" w:space="0"/>
            </w:tcBorders>
            <w:vAlign w:val="center"/>
          </w:tcPr>
          <w:p>
            <w:pPr>
              <w:widowControl/>
              <w:ind w:left="441"/>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Non-financial corporate</w:t>
            </w:r>
          </w:p>
        </w:tc>
        <w:tc>
          <w:tcPr>
            <w:tcW w:w="1243" w:type="dxa"/>
            <w:tcBorders>
              <w:top w:val="nil"/>
              <w:left w:val="nil"/>
              <w:bottom w:val="nil"/>
              <w:right w:val="single" w:color="339966" w:sz="6" w:space="0"/>
            </w:tcBorders>
            <w:vAlign w:val="center"/>
          </w:tcPr>
          <w:p>
            <w:pPr>
              <w:widowControl/>
              <w:ind w:right="105"/>
              <w:jc w:val="righ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580,837</w:t>
            </w:r>
          </w:p>
        </w:tc>
        <w:tc>
          <w:tcPr>
            <w:tcW w:w="1136" w:type="dxa"/>
            <w:tcBorders>
              <w:top w:val="nil"/>
              <w:left w:val="nil"/>
              <w:bottom w:val="nil"/>
              <w:right w:val="single" w:color="339966" w:sz="6" w:space="0"/>
            </w:tcBorders>
            <w:vAlign w:val="center"/>
          </w:tcPr>
          <w:p>
            <w:pPr>
              <w:widowControl/>
              <w:ind w:right="105"/>
              <w:jc w:val="righ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6.7%</w:t>
            </w:r>
          </w:p>
        </w:tc>
        <w:tc>
          <w:tcPr>
            <w:tcW w:w="1663" w:type="dxa"/>
            <w:tcBorders>
              <w:top w:val="nil"/>
              <w:left w:val="nil"/>
              <w:bottom w:val="nil"/>
              <w:right w:val="single" w:color="339966" w:sz="6" w:space="0"/>
            </w:tcBorders>
            <w:vAlign w:val="center"/>
          </w:tcPr>
          <w:p>
            <w:pPr>
              <w:widowControl/>
              <w:ind w:right="105"/>
              <w:jc w:val="righ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18,414</w:t>
            </w:r>
          </w:p>
        </w:tc>
        <w:tc>
          <w:tcPr>
            <w:tcW w:w="1546" w:type="dxa"/>
            <w:vAlign w:val="center"/>
          </w:tcPr>
          <w:p>
            <w:pPr>
              <w:widowControl/>
              <w:ind w:right="105"/>
              <w:jc w:val="righ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15,443</w:t>
            </w:r>
          </w:p>
        </w:tc>
      </w:tr>
      <w:tr>
        <w:tblPrEx>
          <w:tblLayout w:type="fixed"/>
          <w:tblCellMar>
            <w:top w:w="0" w:type="dxa"/>
            <w:left w:w="0" w:type="dxa"/>
            <w:bottom w:w="0" w:type="dxa"/>
            <w:right w:w="0" w:type="dxa"/>
          </w:tblCellMar>
        </w:tblPrEx>
        <w:trPr>
          <w:trHeight w:val="315" w:hRule="atLeast"/>
          <w:jc w:val="center"/>
        </w:trPr>
        <w:tc>
          <w:tcPr>
            <w:tcW w:w="2524" w:type="dxa"/>
            <w:tcBorders>
              <w:top w:val="nil"/>
              <w:left w:val="nil"/>
              <w:bottom w:val="nil"/>
              <w:right w:val="single" w:color="339966" w:sz="4" w:space="0"/>
            </w:tcBorders>
            <w:shd w:val="clear" w:color="auto" w:fill="CCFFCC"/>
            <w:vAlign w:val="center"/>
          </w:tcPr>
          <w:p>
            <w:pPr>
              <w:widowControl/>
              <w:ind w:left="441"/>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Public entities</w:t>
            </w:r>
          </w:p>
        </w:tc>
        <w:tc>
          <w:tcPr>
            <w:tcW w:w="1243" w:type="dxa"/>
            <w:tcBorders>
              <w:top w:val="nil"/>
              <w:left w:val="nil"/>
              <w:bottom w:val="nil"/>
              <w:right w:val="single" w:color="339966" w:sz="6" w:space="0"/>
            </w:tcBorders>
            <w:shd w:val="clear" w:color="auto" w:fill="CCFFCC"/>
            <w:vAlign w:val="center"/>
          </w:tcPr>
          <w:p>
            <w:pPr>
              <w:widowControl/>
              <w:ind w:right="105"/>
              <w:jc w:val="righ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303,277</w:t>
            </w:r>
          </w:p>
        </w:tc>
        <w:tc>
          <w:tcPr>
            <w:tcW w:w="1136" w:type="dxa"/>
            <w:tcBorders>
              <w:top w:val="nil"/>
              <w:left w:val="nil"/>
              <w:bottom w:val="nil"/>
              <w:right w:val="single" w:color="339966" w:sz="6" w:space="0"/>
            </w:tcBorders>
            <w:shd w:val="clear" w:color="auto" w:fill="CCFFCC"/>
            <w:vAlign w:val="center"/>
          </w:tcPr>
          <w:p>
            <w:pPr>
              <w:widowControl/>
              <w:ind w:right="105"/>
              <w:jc w:val="righ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7.6%</w:t>
            </w:r>
          </w:p>
        </w:tc>
        <w:tc>
          <w:tcPr>
            <w:tcW w:w="1663" w:type="dxa"/>
            <w:tcBorders>
              <w:top w:val="nil"/>
              <w:left w:val="nil"/>
              <w:bottom w:val="nil"/>
              <w:right w:val="single" w:color="339966" w:sz="6" w:space="0"/>
            </w:tcBorders>
            <w:shd w:val="clear" w:color="auto" w:fill="CCFFCC"/>
            <w:vAlign w:val="center"/>
          </w:tcPr>
          <w:p>
            <w:pPr>
              <w:widowControl/>
              <w:ind w:right="105"/>
              <w:jc w:val="righ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17,833</w:t>
            </w:r>
          </w:p>
        </w:tc>
        <w:tc>
          <w:tcPr>
            <w:tcW w:w="1546" w:type="dxa"/>
            <w:shd w:val="clear" w:color="auto" w:fill="CCFFCC"/>
            <w:vAlign w:val="center"/>
          </w:tcPr>
          <w:p>
            <w:pPr>
              <w:widowControl/>
              <w:ind w:right="105"/>
              <w:jc w:val="righ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-136</w:t>
            </w:r>
          </w:p>
        </w:tc>
      </w:tr>
      <w:tr>
        <w:tblPrEx>
          <w:tblLayout w:type="fixed"/>
          <w:tblCellMar>
            <w:top w:w="0" w:type="dxa"/>
            <w:left w:w="0" w:type="dxa"/>
            <w:bottom w:w="0" w:type="dxa"/>
            <w:right w:w="0" w:type="dxa"/>
          </w:tblCellMar>
        </w:tblPrEx>
        <w:trPr>
          <w:trHeight w:val="315" w:hRule="atLeast"/>
          <w:jc w:val="center"/>
        </w:trPr>
        <w:tc>
          <w:tcPr>
            <w:tcW w:w="2524" w:type="dxa"/>
            <w:tcBorders>
              <w:top w:val="nil"/>
              <w:left w:val="nil"/>
              <w:bottom w:val="nil"/>
              <w:right w:val="single" w:color="339966" w:sz="4" w:space="0"/>
            </w:tcBorders>
            <w:vAlign w:val="center"/>
          </w:tcPr>
          <w:p>
            <w:pPr>
              <w:widowControl/>
              <w:ind w:left="442"/>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Fiscal</w:t>
            </w:r>
          </w:p>
        </w:tc>
        <w:tc>
          <w:tcPr>
            <w:tcW w:w="1243" w:type="dxa"/>
            <w:tcBorders>
              <w:top w:val="nil"/>
              <w:left w:val="nil"/>
              <w:bottom w:val="nil"/>
              <w:right w:val="single" w:color="339966" w:sz="6" w:space="0"/>
            </w:tcBorders>
            <w:vAlign w:val="center"/>
          </w:tcPr>
          <w:p>
            <w:pPr>
              <w:widowControl/>
              <w:ind w:right="105"/>
              <w:jc w:val="righ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47,365</w:t>
            </w:r>
          </w:p>
        </w:tc>
        <w:tc>
          <w:tcPr>
            <w:tcW w:w="1136" w:type="dxa"/>
            <w:tcBorders>
              <w:top w:val="nil"/>
              <w:left w:val="nil"/>
              <w:bottom w:val="nil"/>
              <w:right w:val="single" w:color="339966" w:sz="6" w:space="0"/>
            </w:tcBorders>
            <w:vAlign w:val="center"/>
          </w:tcPr>
          <w:p>
            <w:pPr>
              <w:widowControl/>
              <w:ind w:right="105"/>
              <w:jc w:val="righ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5.2%</w:t>
            </w:r>
          </w:p>
        </w:tc>
        <w:tc>
          <w:tcPr>
            <w:tcW w:w="1663" w:type="dxa"/>
            <w:tcBorders>
              <w:top w:val="nil"/>
              <w:left w:val="nil"/>
              <w:bottom w:val="nil"/>
              <w:right w:val="single" w:color="339966" w:sz="6" w:space="0"/>
            </w:tcBorders>
            <w:vAlign w:val="center"/>
          </w:tcPr>
          <w:p>
            <w:pPr>
              <w:widowControl/>
              <w:ind w:right="105"/>
              <w:jc w:val="righ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6,827</w:t>
            </w:r>
          </w:p>
        </w:tc>
        <w:tc>
          <w:tcPr>
            <w:tcW w:w="1546" w:type="dxa"/>
            <w:vAlign w:val="center"/>
          </w:tcPr>
          <w:p>
            <w:pPr>
              <w:widowControl/>
              <w:ind w:right="105"/>
              <w:jc w:val="righ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2,949</w:t>
            </w:r>
          </w:p>
        </w:tc>
      </w:tr>
      <w:tr>
        <w:tblPrEx>
          <w:tblLayout w:type="fixed"/>
          <w:tblCellMar>
            <w:top w:w="0" w:type="dxa"/>
            <w:left w:w="0" w:type="dxa"/>
            <w:bottom w:w="0" w:type="dxa"/>
            <w:right w:w="0" w:type="dxa"/>
          </w:tblCellMar>
        </w:tblPrEx>
        <w:trPr>
          <w:trHeight w:val="315" w:hRule="atLeast"/>
          <w:jc w:val="center"/>
        </w:trPr>
        <w:tc>
          <w:tcPr>
            <w:tcW w:w="2524" w:type="dxa"/>
            <w:tcBorders>
              <w:top w:val="nil"/>
              <w:left w:val="nil"/>
              <w:bottom w:val="nil"/>
              <w:right w:val="single" w:color="339966" w:sz="4" w:space="0"/>
            </w:tcBorders>
            <w:shd w:val="clear" w:color="auto" w:fill="CCFFCC"/>
            <w:vAlign w:val="center"/>
          </w:tcPr>
          <w:p>
            <w:pPr>
              <w:widowControl/>
              <w:ind w:left="442"/>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Non-banking financial</w:t>
            </w:r>
          </w:p>
          <w:p>
            <w:pPr>
              <w:widowControl/>
              <w:ind w:left="441"/>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 xml:space="preserve">   institutions</w:t>
            </w:r>
          </w:p>
        </w:tc>
        <w:tc>
          <w:tcPr>
            <w:tcW w:w="1243" w:type="dxa"/>
            <w:tcBorders>
              <w:top w:val="nil"/>
              <w:left w:val="nil"/>
              <w:bottom w:val="nil"/>
              <w:right w:val="single" w:color="339966" w:sz="6" w:space="0"/>
            </w:tcBorders>
            <w:shd w:val="clear" w:color="auto" w:fill="CCFFCC"/>
            <w:vAlign w:val="center"/>
          </w:tcPr>
          <w:p>
            <w:pPr>
              <w:widowControl/>
              <w:ind w:right="105"/>
              <w:jc w:val="righ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148,559</w:t>
            </w:r>
          </w:p>
        </w:tc>
        <w:tc>
          <w:tcPr>
            <w:tcW w:w="1136" w:type="dxa"/>
            <w:tcBorders>
              <w:top w:val="nil"/>
              <w:left w:val="nil"/>
              <w:bottom w:val="nil"/>
              <w:right w:val="single" w:color="339966" w:sz="6" w:space="0"/>
            </w:tcBorders>
            <w:shd w:val="clear" w:color="auto" w:fill="CCFFCC"/>
            <w:vAlign w:val="center"/>
          </w:tcPr>
          <w:p>
            <w:pPr>
              <w:widowControl/>
              <w:ind w:right="105"/>
              <w:jc w:val="righ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-8.5%</w:t>
            </w:r>
          </w:p>
        </w:tc>
        <w:tc>
          <w:tcPr>
            <w:tcW w:w="1663" w:type="dxa"/>
            <w:tcBorders>
              <w:top w:val="nil"/>
              <w:left w:val="nil"/>
              <w:bottom w:val="nil"/>
              <w:right w:val="single" w:color="339966" w:sz="6" w:space="0"/>
            </w:tcBorders>
            <w:shd w:val="clear" w:color="auto" w:fill="CCFFCC"/>
            <w:vAlign w:val="center"/>
          </w:tcPr>
          <w:p>
            <w:pPr>
              <w:widowControl/>
              <w:ind w:right="105"/>
              <w:jc w:val="righ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-11,333</w:t>
            </w:r>
          </w:p>
        </w:tc>
        <w:tc>
          <w:tcPr>
            <w:tcW w:w="1546" w:type="dxa"/>
            <w:tcBorders>
              <w:top w:val="nil"/>
              <w:left w:val="nil"/>
              <w:bottom w:val="nil"/>
              <w:right w:val="nil"/>
            </w:tcBorders>
            <w:shd w:val="clear" w:color="auto" w:fill="CCFFCC"/>
            <w:vAlign w:val="center"/>
          </w:tcPr>
          <w:p>
            <w:pPr>
              <w:widowControl/>
              <w:ind w:right="105"/>
              <w:jc w:val="righ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-33,452</w:t>
            </w:r>
          </w:p>
        </w:tc>
      </w:tr>
      <w:tr>
        <w:tblPrEx>
          <w:tblLayout w:type="fixed"/>
          <w:tblCellMar>
            <w:top w:w="0" w:type="dxa"/>
            <w:left w:w="0" w:type="dxa"/>
            <w:bottom w:w="0" w:type="dxa"/>
            <w:right w:w="0" w:type="dxa"/>
          </w:tblCellMar>
        </w:tblPrEx>
        <w:trPr>
          <w:trHeight w:val="315" w:hRule="atLeast"/>
          <w:jc w:val="center"/>
        </w:trPr>
        <w:tc>
          <w:tcPr>
            <w:tcW w:w="2524" w:type="dxa"/>
            <w:tcBorders>
              <w:top w:val="nil"/>
              <w:left w:val="nil"/>
              <w:bottom w:val="single" w:color="339966" w:sz="12" w:space="0"/>
              <w:right w:val="single" w:color="339966" w:sz="4" w:space="0"/>
            </w:tcBorders>
            <w:vAlign w:val="center"/>
          </w:tcPr>
          <w:p>
            <w:pPr>
              <w:widowControl/>
              <w:ind w:left="441"/>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Overseas</w:t>
            </w:r>
          </w:p>
        </w:tc>
        <w:tc>
          <w:tcPr>
            <w:tcW w:w="1243" w:type="dxa"/>
            <w:tcBorders>
              <w:top w:val="nil"/>
              <w:left w:val="nil"/>
              <w:bottom w:val="single" w:color="339966" w:sz="12" w:space="0"/>
              <w:right w:val="single" w:color="339966" w:sz="6" w:space="0"/>
            </w:tcBorders>
            <w:vAlign w:val="center"/>
          </w:tcPr>
          <w:p>
            <w:pPr>
              <w:widowControl/>
              <w:ind w:right="105"/>
              <w:jc w:val="righ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11,470</w:t>
            </w:r>
          </w:p>
        </w:tc>
        <w:tc>
          <w:tcPr>
            <w:tcW w:w="1136" w:type="dxa"/>
            <w:tcBorders>
              <w:top w:val="nil"/>
              <w:left w:val="nil"/>
              <w:bottom w:val="single" w:color="339966" w:sz="12" w:space="0"/>
              <w:right w:val="single" w:color="339966" w:sz="6" w:space="0"/>
            </w:tcBorders>
            <w:vAlign w:val="center"/>
          </w:tcPr>
          <w:p>
            <w:pPr>
              <w:widowControl/>
              <w:ind w:right="105"/>
              <w:jc w:val="righ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5.2%</w:t>
            </w:r>
          </w:p>
        </w:tc>
        <w:tc>
          <w:tcPr>
            <w:tcW w:w="1663" w:type="dxa"/>
            <w:tcBorders>
              <w:top w:val="nil"/>
              <w:left w:val="nil"/>
              <w:bottom w:val="single" w:color="339966" w:sz="12" w:space="0"/>
              <w:right w:val="single" w:color="339966" w:sz="6" w:space="0"/>
            </w:tcBorders>
            <w:vAlign w:val="center"/>
          </w:tcPr>
          <w:p>
            <w:pPr>
              <w:widowControl/>
              <w:ind w:right="105"/>
              <w:jc w:val="righ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575</w:t>
            </w:r>
          </w:p>
        </w:tc>
        <w:tc>
          <w:tcPr>
            <w:tcW w:w="1546" w:type="dxa"/>
            <w:tcBorders>
              <w:top w:val="nil"/>
              <w:left w:val="nil"/>
              <w:bottom w:val="single" w:color="339966" w:sz="12" w:space="0"/>
              <w:right w:val="nil"/>
            </w:tcBorders>
            <w:vAlign w:val="center"/>
          </w:tcPr>
          <w:p>
            <w:pPr>
              <w:widowControl/>
              <w:ind w:right="105"/>
              <w:jc w:val="righ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139</w:t>
            </w:r>
          </w:p>
        </w:tc>
      </w:tr>
    </w:tbl>
    <w:p>
      <w:pPr>
        <w:widowControl/>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 xml:space="preserve">Source: People’s Bank of China. </w:t>
      </w:r>
    </w:p>
    <w:p>
      <w:pPr>
        <w:widowControl/>
        <w:rPr>
          <w:rFonts w:ascii="Times New Roman" w:hAnsi="Times New Roman" w:cs="Times New Roman"/>
          <w:sz w:val="24"/>
          <w:szCs w:val="24"/>
        </w:rPr>
      </w:pPr>
    </w:p>
    <w:p>
      <w:pPr>
        <w:pStyle w:val="3"/>
        <w:ind w:firstLine="0" w:firstLineChars="0"/>
        <w:rPr>
          <w:rFonts w:ascii="Times New Roman" w:hAnsi="Times New Roman" w:eastAsiaTheme="minorEastAsia"/>
          <w:kern w:val="0"/>
        </w:rPr>
      </w:pPr>
      <w:bookmarkStart w:id="33" w:name="_Toc17808065"/>
      <w:bookmarkStart w:id="34" w:name="_Toc17808025"/>
      <w:bookmarkStart w:id="35" w:name="_Toc17807913"/>
      <w:bookmarkStart w:id="36" w:name="_Toc3909015"/>
      <w:bookmarkStart w:id="37" w:name="_Toc17798256"/>
      <w:r>
        <w:rPr>
          <w:rFonts w:ascii="Times New Roman" w:hAnsi="Times New Roman" w:eastAsia="黑体"/>
          <w:kern w:val="0"/>
        </w:rPr>
        <w:t>III. The money supply and aggregate financing increased moderately</w:t>
      </w:r>
      <w:bookmarkEnd w:id="33"/>
      <w:bookmarkEnd w:id="34"/>
      <w:bookmarkEnd w:id="35"/>
      <w:bookmarkEnd w:id="36"/>
      <w:bookmarkEnd w:id="37"/>
    </w:p>
    <w:p>
      <w:pPr>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b/>
          <w:sz w:val="24"/>
          <w:szCs w:val="24"/>
        </w:rPr>
        <w:t xml:space="preserve">Growth of </w:t>
      </w:r>
      <w:r>
        <w:rPr>
          <w:rFonts w:ascii="Times New Roman" w:hAnsi="Times New Roman" w:eastAsia="仿宋_GB2312" w:cs="Times New Roman"/>
          <w:b/>
          <w:sz w:val="24"/>
          <w:szCs w:val="24"/>
        </w:rPr>
        <w:t xml:space="preserve">M2 and aggregate financing </w:t>
      </w:r>
      <w:r>
        <w:rPr>
          <w:rFonts w:hint="eastAsia" w:ascii="Times New Roman" w:hAnsi="Times New Roman" w:eastAsia="仿宋_GB2312" w:cs="Times New Roman"/>
          <w:b/>
          <w:sz w:val="24"/>
          <w:szCs w:val="24"/>
        </w:rPr>
        <w:t>w</w:t>
      </w:r>
      <w:r>
        <w:rPr>
          <w:rFonts w:ascii="Times New Roman" w:hAnsi="Times New Roman" w:eastAsia="仿宋_GB2312" w:cs="Times New Roman"/>
          <w:b/>
          <w:sz w:val="24"/>
          <w:szCs w:val="24"/>
        </w:rPr>
        <w:t>as roughly equivalent to nominal GDP growth.</w:t>
      </w:r>
      <w:r>
        <w:rPr>
          <w:rFonts w:ascii="Times New Roman" w:hAnsi="Times New Roman" w:eastAsia="仿宋_GB2312" w:cs="Times New Roman"/>
          <w:sz w:val="24"/>
          <w:szCs w:val="24"/>
        </w:rPr>
        <w:t xml:space="preserve"> At end-June, outstanding M2 stood at RMB 192.1 trillion, up 8.5 percent year on year, an acceleration of 0.4 percentage point from the end of the last year. Moderate growth </w:t>
      </w:r>
      <w:r>
        <w:rPr>
          <w:rFonts w:hint="eastAsia" w:ascii="Times New Roman" w:hAnsi="Times New Roman" w:eastAsia="仿宋_GB2312" w:cs="Times New Roman"/>
          <w:sz w:val="24"/>
          <w:szCs w:val="24"/>
        </w:rPr>
        <w:t xml:space="preserve">of </w:t>
      </w:r>
      <w:r>
        <w:rPr>
          <w:rFonts w:ascii="Times New Roman" w:hAnsi="Times New Roman" w:eastAsia="仿宋_GB2312" w:cs="Times New Roman"/>
          <w:sz w:val="24"/>
          <w:szCs w:val="24"/>
        </w:rPr>
        <w:t xml:space="preserve">money supply </w:t>
      </w:r>
      <w:r>
        <w:rPr>
          <w:rFonts w:hint="eastAsia" w:ascii="Times New Roman" w:hAnsi="Times New Roman" w:eastAsia="仿宋_GB2312" w:cs="Times New Roman"/>
          <w:sz w:val="24"/>
          <w:szCs w:val="24"/>
        </w:rPr>
        <w:t>provides support to</w:t>
      </w:r>
      <w:r>
        <w:rPr>
          <w:rFonts w:ascii="Times New Roman" w:hAnsi="Times New Roman" w:eastAsia="仿宋_GB2312" w:cs="Times New Roman"/>
          <w:sz w:val="24"/>
          <w:szCs w:val="24"/>
        </w:rPr>
        <w:t xml:space="preserve"> high-quality economic growth. Outstanding M1 stood at RMB 56.8 trillion, up 4.4 percent year on year. Outstanding M0 reached RMB 7.3 trillion, up 4.3 percent year on year. In H1, the PBC withdrew from circulation RMB 62.8 billion of cash, a decrease of RMB 42.8 billion year on year.</w:t>
      </w:r>
    </w:p>
    <w:p>
      <w:pPr>
        <w:rPr>
          <w:rFonts w:ascii="Times New Roman" w:hAnsi="Times New Roman" w:eastAsia="仿宋_GB2312" w:cs="Times New Roman"/>
          <w:b/>
          <w:sz w:val="24"/>
          <w:szCs w:val="24"/>
        </w:rPr>
      </w:pPr>
    </w:p>
    <w:p>
      <w:pPr>
        <w:rPr>
          <w:rFonts w:ascii="Times New Roman" w:hAnsi="Times New Roman" w:eastAsia="仿宋_GB2312" w:cs="Times New Roman"/>
          <w:sz w:val="24"/>
          <w:szCs w:val="24"/>
        </w:rPr>
      </w:pPr>
      <w:r>
        <w:rPr>
          <w:rFonts w:ascii="Times New Roman" w:hAnsi="Times New Roman" w:eastAsia="仿宋_GB2312" w:cs="Times New Roman"/>
          <w:b/>
          <w:sz w:val="24"/>
          <w:szCs w:val="24"/>
        </w:rPr>
        <w:t xml:space="preserve">Aggregate financing increased moderately. </w:t>
      </w:r>
      <w:r>
        <w:rPr>
          <w:rFonts w:ascii="Times New Roman" w:hAnsi="Times New Roman" w:eastAsia="仿宋_GB2312" w:cs="Times New Roman"/>
          <w:sz w:val="24"/>
          <w:szCs w:val="24"/>
        </w:rPr>
        <w:t xml:space="preserve">According to preliminary statistics, outstanding aggregate financing reached RMB 213.26 trillion at end-June, up 10.9 percent year on year, an acceleration of 1.1 percentage points from the end of the last year. </w:t>
      </w:r>
      <w:r>
        <w:rPr>
          <w:rFonts w:ascii="Times New Roman" w:hAnsi="Times New Roman" w:cs="Times New Roman"/>
          <w:sz w:val="24"/>
          <w:szCs w:val="24"/>
        </w:rPr>
        <w:t>In</w:t>
      </w:r>
      <w:r>
        <w:rPr>
          <w:rFonts w:ascii="Times New Roman" w:hAnsi="Times New Roman" w:eastAsia="仿宋_GB2312" w:cs="Times New Roman"/>
          <w:sz w:val="24"/>
          <w:szCs w:val="24"/>
        </w:rPr>
        <w:t xml:space="preserve"> H1, incremental aggregate financing reached RMB 13.23 trillion, up </w:t>
      </w:r>
      <w:r>
        <w:rPr>
          <w:rFonts w:hint="eastAsia" w:ascii="Times New Roman" w:hAnsi="Times New Roman" w:eastAsia="仿宋_GB2312" w:cs="Times New Roman"/>
          <w:sz w:val="24"/>
          <w:szCs w:val="24"/>
        </w:rPr>
        <w:t xml:space="preserve">by </w:t>
      </w:r>
      <w:r>
        <w:rPr>
          <w:rFonts w:ascii="Times New Roman" w:hAnsi="Times New Roman" w:eastAsia="仿宋_GB2312" w:cs="Times New Roman"/>
          <w:sz w:val="24"/>
          <w:szCs w:val="24"/>
        </w:rPr>
        <w:t xml:space="preserve">RMB 3.18 trillion year on year. </w:t>
      </w:r>
      <w:r>
        <w:rPr>
          <w:rFonts w:ascii="Times New Roman" w:hAnsi="Times New Roman" w:cs="Times New Roman"/>
          <w:sz w:val="24"/>
          <w:szCs w:val="24"/>
        </w:rPr>
        <w:t>I</w:t>
      </w:r>
      <w:r>
        <w:rPr>
          <w:rFonts w:ascii="Times New Roman" w:hAnsi="Times New Roman" w:eastAsia="仿宋_GB2312" w:cs="Times New Roman"/>
          <w:sz w:val="24"/>
          <w:szCs w:val="24"/>
        </w:rPr>
        <w:t xml:space="preserve">ncremental aggregate financing </w:t>
      </w:r>
      <w:r>
        <w:rPr>
          <w:rFonts w:hint="eastAsia" w:ascii="Times New Roman" w:hAnsi="Times New Roman" w:eastAsia="仿宋_GB2312" w:cs="Times New Roman"/>
          <w:sz w:val="24"/>
          <w:szCs w:val="24"/>
        </w:rPr>
        <w:t>showed</w:t>
      </w: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rPr>
        <w:t xml:space="preserve">the </w:t>
      </w:r>
      <w:r>
        <w:rPr>
          <w:rFonts w:ascii="Times New Roman" w:hAnsi="Times New Roman" w:eastAsia="仿宋_GB2312" w:cs="Times New Roman"/>
          <w:sz w:val="24"/>
          <w:szCs w:val="24"/>
        </w:rPr>
        <w:t>following</w:t>
      </w:r>
      <w:r>
        <w:rPr>
          <w:rFonts w:hint="eastAsia" w:ascii="Times New Roman" w:hAnsi="Times New Roman" w:eastAsia="仿宋_GB2312" w:cs="Times New Roman"/>
          <w:sz w:val="24"/>
          <w:szCs w:val="24"/>
        </w:rPr>
        <w:t xml:space="preserve"> features</w:t>
      </w:r>
      <w:r>
        <w:rPr>
          <w:rFonts w:ascii="Times New Roman" w:hAnsi="Times New Roman" w:eastAsia="仿宋_GB2312" w:cs="Times New Roman"/>
          <w:sz w:val="24"/>
          <w:szCs w:val="24"/>
        </w:rPr>
        <w:t xml:space="preserve">: </w:t>
      </w:r>
      <w:r>
        <w:rPr>
          <w:rFonts w:ascii="Times New Roman" w:hAnsi="Times New Roman" w:eastAsia="仿宋_GB2312" w:cs="Times New Roman"/>
          <w:b/>
          <w:sz w:val="24"/>
          <w:szCs w:val="24"/>
        </w:rPr>
        <w:t>First, loan growth</w:t>
      </w:r>
      <w:r>
        <w:rPr>
          <w:rFonts w:hint="eastAsia" w:ascii="Times New Roman" w:hAnsi="Times New Roman" w:eastAsia="仿宋_GB2312" w:cs="Times New Roman"/>
          <w:b/>
          <w:sz w:val="24"/>
          <w:szCs w:val="24"/>
        </w:rPr>
        <w:t xml:space="preserve"> was still</w:t>
      </w:r>
      <w:r>
        <w:rPr>
          <w:rFonts w:ascii="Times New Roman" w:hAnsi="Times New Roman" w:eastAsia="仿宋_GB2312" w:cs="Times New Roman"/>
          <w:b/>
          <w:sz w:val="24"/>
          <w:szCs w:val="24"/>
        </w:rPr>
        <w:t xml:space="preserve"> </w:t>
      </w:r>
      <w:r>
        <w:rPr>
          <w:rFonts w:hint="eastAsia" w:ascii="Times New Roman" w:hAnsi="Times New Roman" w:eastAsia="仿宋_GB2312" w:cs="Times New Roman"/>
          <w:b/>
          <w:sz w:val="24"/>
          <w:szCs w:val="24"/>
        </w:rPr>
        <w:t xml:space="preserve">quite </w:t>
      </w:r>
      <w:r>
        <w:rPr>
          <w:rFonts w:ascii="Times New Roman" w:hAnsi="Times New Roman" w:eastAsia="仿宋_GB2312" w:cs="Times New Roman"/>
          <w:b/>
          <w:sz w:val="24"/>
          <w:szCs w:val="24"/>
        </w:rPr>
        <w:t>rapid.</w:t>
      </w:r>
      <w:r>
        <w:rPr>
          <w:rFonts w:ascii="Times New Roman" w:hAnsi="Times New Roman" w:eastAsia="仿宋_GB2312" w:cs="Times New Roman"/>
          <w:sz w:val="24"/>
          <w:szCs w:val="24"/>
        </w:rPr>
        <w:t xml:space="preserve"> </w:t>
      </w:r>
      <w:r>
        <w:rPr>
          <w:rFonts w:ascii="Times New Roman" w:hAnsi="Times New Roman" w:cs="Times New Roman"/>
          <w:sz w:val="24"/>
          <w:szCs w:val="24"/>
        </w:rPr>
        <w:t>In</w:t>
      </w:r>
      <w:r>
        <w:rPr>
          <w:rFonts w:ascii="Times New Roman" w:hAnsi="Times New Roman" w:eastAsia="仿宋_GB2312" w:cs="Times New Roman"/>
          <w:sz w:val="24"/>
          <w:szCs w:val="24"/>
        </w:rPr>
        <w:t xml:space="preserve"> H1, RMB loans by financial institutions to the real economy increased by RMB 10.02 trillion, an acceleration of RMB 1.26 trillion year on year and accounting for 75.8 percent of the incremental aggregate financing. </w:t>
      </w:r>
      <w:r>
        <w:rPr>
          <w:rFonts w:ascii="Times New Roman" w:hAnsi="Times New Roman" w:eastAsia="仿宋_GB2312" w:cs="Times New Roman"/>
          <w:b/>
          <w:sz w:val="24"/>
          <w:szCs w:val="24"/>
        </w:rPr>
        <w:t>Second, the negative growth of entrusted loans and trust loans slowed down significantly.</w:t>
      </w:r>
      <w:r>
        <w:rPr>
          <w:rFonts w:ascii="Times New Roman" w:hAnsi="Times New Roman" w:eastAsia="仿宋_GB2312" w:cs="Times New Roman"/>
          <w:sz w:val="24"/>
          <w:szCs w:val="24"/>
        </w:rPr>
        <w:t xml:space="preserve"> In H1, entrusted loans decreased by RMB 493.3 billion, down RMB 307.0 billion year on year; trust loans increased by RMB 92.8 billion, up by RMB 281.5 billion year on year. </w:t>
      </w:r>
      <w:r>
        <w:rPr>
          <w:rFonts w:ascii="Times New Roman" w:hAnsi="Times New Roman" w:eastAsia="仿宋_GB2312" w:cs="Times New Roman"/>
          <w:b/>
          <w:sz w:val="24"/>
          <w:szCs w:val="24"/>
        </w:rPr>
        <w:t>Third, corporate debt financing registered a significant increase, whereas equity financing registered a year-on-year decrease.</w:t>
      </w:r>
      <w:r>
        <w:rPr>
          <w:rFonts w:ascii="Times New Roman" w:hAnsi="Times New Roman" w:eastAsia="仿宋_GB2312" w:cs="Times New Roman"/>
          <w:sz w:val="24"/>
          <w:szCs w:val="24"/>
        </w:rPr>
        <w:t xml:space="preserve"> </w:t>
      </w:r>
      <w:r>
        <w:rPr>
          <w:rFonts w:ascii="Times New Roman" w:hAnsi="Times New Roman" w:cs="Times New Roman"/>
          <w:sz w:val="24"/>
          <w:szCs w:val="24"/>
        </w:rPr>
        <w:t>In</w:t>
      </w:r>
      <w:r>
        <w:rPr>
          <w:rFonts w:ascii="Times New Roman" w:hAnsi="Times New Roman" w:eastAsia="仿宋_GB2312" w:cs="Times New Roman"/>
          <w:sz w:val="24"/>
          <w:szCs w:val="24"/>
        </w:rPr>
        <w:t xml:space="preserve"> H1, corporate debt financing registered RMB 1.46 trillion, up by RMB 438.2 billion year on year; and equity financing by non-financial enterprises recorded RMB 120.5 billion, </w:t>
      </w:r>
      <w:r>
        <w:rPr>
          <w:rFonts w:hint="eastAsia" w:ascii="Times New Roman" w:hAnsi="Times New Roman" w:eastAsia="仿宋_GB2312" w:cs="Times New Roman"/>
          <w:sz w:val="24"/>
          <w:szCs w:val="24"/>
        </w:rPr>
        <w:t xml:space="preserve">plummeting </w:t>
      </w:r>
      <w:r>
        <w:rPr>
          <w:rFonts w:ascii="Times New Roman" w:hAnsi="Times New Roman" w:eastAsia="仿宋_GB2312" w:cs="Times New Roman"/>
          <w:sz w:val="24"/>
          <w:szCs w:val="24"/>
        </w:rPr>
        <w:t>RMB 130.6 billion year on year.</w:t>
      </w:r>
      <w:r>
        <w:rPr>
          <w:rFonts w:ascii="Times New Roman" w:hAnsi="Times New Roman" w:cs="Times New Roman"/>
          <w:sz w:val="24"/>
          <w:szCs w:val="24"/>
        </w:rPr>
        <w:t xml:space="preserve"> </w:t>
      </w:r>
      <w:r>
        <w:rPr>
          <w:rFonts w:ascii="Times New Roman" w:hAnsi="Times New Roman" w:eastAsia="仿宋_GB2312" w:cs="Times New Roman"/>
          <w:b/>
          <w:sz w:val="24"/>
          <w:szCs w:val="24"/>
        </w:rPr>
        <w:t>Fourth, special bonds issued by local governments registered strong year-on-year growth.</w:t>
      </w:r>
      <w:r>
        <w:rPr>
          <w:rFonts w:ascii="Times New Roman" w:hAnsi="Times New Roman" w:eastAsia="仿宋_GB2312" w:cs="Times New Roman"/>
          <w:sz w:val="24"/>
          <w:szCs w:val="24"/>
        </w:rPr>
        <w:t xml:space="preserve"> </w:t>
      </w:r>
      <w:r>
        <w:rPr>
          <w:rFonts w:ascii="Times New Roman" w:hAnsi="Times New Roman" w:cs="Times New Roman"/>
          <w:sz w:val="24"/>
          <w:szCs w:val="24"/>
        </w:rPr>
        <w:t>In</w:t>
      </w:r>
      <w:r>
        <w:rPr>
          <w:rFonts w:ascii="Times New Roman" w:hAnsi="Times New Roman" w:eastAsia="仿宋_GB2312" w:cs="Times New Roman"/>
          <w:sz w:val="24"/>
          <w:szCs w:val="24"/>
        </w:rPr>
        <w:t xml:space="preserve"> H1, local government special bond financing was recorded at RMB 1.19 trillion, up RMB 825.8 billion from the same period of the previous year. </w:t>
      </w:r>
      <w:r>
        <w:rPr>
          <w:rFonts w:ascii="Times New Roman" w:hAnsi="Times New Roman" w:eastAsia="仿宋_GB2312" w:cs="Times New Roman"/>
          <w:b/>
          <w:sz w:val="24"/>
          <w:szCs w:val="24"/>
        </w:rPr>
        <w:t xml:space="preserve">Fifth, undiscounted bankers’ acceptance bills </w:t>
      </w:r>
      <w:r>
        <w:rPr>
          <w:rFonts w:hint="eastAsia" w:ascii="Times New Roman" w:hAnsi="Times New Roman" w:eastAsia="仿宋_GB2312" w:cs="Times New Roman"/>
          <w:b/>
          <w:sz w:val="24"/>
          <w:szCs w:val="24"/>
        </w:rPr>
        <w:t>declined</w:t>
      </w:r>
      <w:r>
        <w:rPr>
          <w:rFonts w:ascii="Times New Roman" w:hAnsi="Times New Roman" w:eastAsia="仿宋_GB2312" w:cs="Times New Roman"/>
          <w:b/>
          <w:sz w:val="24"/>
          <w:szCs w:val="24"/>
        </w:rPr>
        <w:t xml:space="preserve"> at slower pace.</w:t>
      </w:r>
      <w:r>
        <w:rPr>
          <w:rFonts w:ascii="Times New Roman" w:hAnsi="Times New Roman" w:eastAsia="仿宋_GB2312" w:cs="Times New Roman"/>
          <w:sz w:val="24"/>
          <w:szCs w:val="24"/>
        </w:rPr>
        <w:t xml:space="preserve"> </w:t>
      </w:r>
      <w:r>
        <w:rPr>
          <w:rFonts w:ascii="Times New Roman" w:hAnsi="Times New Roman" w:cs="Times New Roman"/>
          <w:sz w:val="24"/>
          <w:szCs w:val="24"/>
        </w:rPr>
        <w:t xml:space="preserve">In </w:t>
      </w:r>
      <w:r>
        <w:rPr>
          <w:rFonts w:ascii="Times New Roman" w:hAnsi="Times New Roman" w:eastAsia="仿宋_GB2312" w:cs="Times New Roman"/>
          <w:sz w:val="24"/>
          <w:szCs w:val="24"/>
        </w:rPr>
        <w:t xml:space="preserve">H1, undiscounted bankers’ acceptance bills declined by RMB 38.9 billion, RMB 232.7 billion less than the drop in H1 2018. </w:t>
      </w:r>
      <w:r>
        <w:rPr>
          <w:rFonts w:ascii="Times New Roman" w:hAnsi="Times New Roman" w:eastAsia="仿宋_GB2312" w:cs="Times New Roman"/>
          <w:b/>
          <w:sz w:val="24"/>
          <w:szCs w:val="24"/>
        </w:rPr>
        <w:t>Sixth, asset-backed securities and loan write-offs by deposit-taking financial institutions registered a year-on-year deceleration.</w:t>
      </w:r>
      <w:r>
        <w:rPr>
          <w:rFonts w:ascii="Times New Roman" w:hAnsi="Times New Roman" w:eastAsia="仿宋_GB2312" w:cs="Times New Roman"/>
          <w:sz w:val="24"/>
          <w:szCs w:val="24"/>
        </w:rPr>
        <w:t xml:space="preserve"> </w:t>
      </w:r>
      <w:r>
        <w:rPr>
          <w:rFonts w:ascii="Times New Roman" w:hAnsi="Times New Roman" w:cs="Times New Roman"/>
          <w:sz w:val="24"/>
          <w:szCs w:val="24"/>
        </w:rPr>
        <w:t xml:space="preserve">In </w:t>
      </w:r>
      <w:r>
        <w:rPr>
          <w:rFonts w:ascii="Times New Roman" w:hAnsi="Times New Roman" w:eastAsia="仿宋_GB2312" w:cs="Times New Roman"/>
          <w:sz w:val="24"/>
          <w:szCs w:val="24"/>
        </w:rPr>
        <w:t>H1, asset-backed security financing by deposit-taking financial institutions recorded RMB 101.4 billion, a year-on-year deceleration of RMB 55.9 billion; loan write-offs recorded RMB 418.3 billion, a year-on-year deceleration of RMB 10.7 billion.</w:t>
      </w:r>
    </w:p>
    <w:p>
      <w:pPr>
        <w:pStyle w:val="5"/>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br w:type="page"/>
      </w:r>
      <w:bookmarkStart w:id="38" w:name="_Toc3902869"/>
      <w:bookmarkStart w:id="39" w:name="_Toc17809067"/>
      <w:bookmarkStart w:id="40" w:name="_Toc425868059"/>
      <w:bookmarkStart w:id="41" w:name="_Toc442116578"/>
      <w:r>
        <w:rPr>
          <w:rFonts w:ascii="Times New Roman" w:hAnsi="Times New Roman" w:cs="Times New Roman"/>
          <w:b/>
          <w:sz w:val="24"/>
          <w:szCs w:val="24"/>
        </w:rPr>
        <w:t xml:space="preserve">Table </w:t>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SEQ Table \* ARABIC </w:instrText>
      </w:r>
      <w:r>
        <w:rPr>
          <w:rFonts w:ascii="Times New Roman" w:hAnsi="Times New Roman" w:cs="Times New Roman"/>
          <w:b/>
          <w:sz w:val="24"/>
          <w:szCs w:val="24"/>
        </w:rPr>
        <w:fldChar w:fldCharType="separate"/>
      </w:r>
      <w:r>
        <w:rPr>
          <w:rFonts w:ascii="Times New Roman" w:hAnsi="Times New Roman" w:cs="Times New Roman"/>
          <w:b/>
          <w:sz w:val="24"/>
          <w:szCs w:val="24"/>
        </w:rPr>
        <w:t>6</w:t>
      </w:r>
      <w:r>
        <w:rPr>
          <w:rFonts w:ascii="Times New Roman" w:hAnsi="Times New Roman" w:cs="Times New Roman"/>
          <w:b/>
          <w:sz w:val="24"/>
          <w:szCs w:val="24"/>
        </w:rPr>
        <w:fldChar w:fldCharType="end"/>
      </w:r>
      <w:r>
        <w:rPr>
          <w:rFonts w:hint="eastAsia" w:ascii="Times New Roman" w:hAnsi="Times New Roman" w:cs="Times New Roman"/>
          <w:b/>
          <w:sz w:val="24"/>
          <w:szCs w:val="24"/>
        </w:rPr>
        <w:t xml:space="preserve"> </w:t>
      </w:r>
      <w:r>
        <w:rPr>
          <w:rFonts w:ascii="Times New Roman" w:hAnsi="Times New Roman" w:cs="Times New Roman"/>
          <w:b/>
          <w:sz w:val="24"/>
          <w:szCs w:val="24"/>
        </w:rPr>
        <w:t xml:space="preserve"> Aggregate Financing </w:t>
      </w:r>
      <w:bookmarkEnd w:id="38"/>
      <w:r>
        <w:rPr>
          <w:rFonts w:ascii="Times New Roman" w:hAnsi="Times New Roman" w:cs="Times New Roman"/>
          <w:b/>
          <w:sz w:val="24"/>
          <w:szCs w:val="24"/>
        </w:rPr>
        <w:t>in H1 2019</w:t>
      </w:r>
      <w:bookmarkEnd w:id="39"/>
    </w:p>
    <w:p>
      <w:pPr>
        <w:jc w:val="center"/>
        <w:rPr>
          <w:rFonts w:ascii="Times New Roman" w:hAnsi="Times New Roman" w:eastAsia="仿宋_GB2312" w:cs="Times New Roman"/>
          <w:sz w:val="24"/>
          <w:szCs w:val="24"/>
        </w:rPr>
      </w:pPr>
      <w:r>
        <w:rPr>
          <w:rFonts w:ascii="Times New Roman" w:hAnsi="Times New Roman" w:cs="Times New Roman"/>
          <w:sz w:val="24"/>
          <w:szCs w:val="24"/>
        </w:rPr>
        <w:t>Unit: RMB 100 million</w:t>
      </w:r>
    </w:p>
    <w:tbl>
      <w:tblPr>
        <w:tblStyle w:val="14"/>
        <w:tblW w:w="8505" w:type="dxa"/>
        <w:tblInd w:w="250" w:type="dxa"/>
        <w:tblLayout w:type="fixed"/>
        <w:tblCellMar>
          <w:top w:w="0" w:type="dxa"/>
          <w:left w:w="108" w:type="dxa"/>
          <w:bottom w:w="0" w:type="dxa"/>
          <w:right w:w="108" w:type="dxa"/>
        </w:tblCellMar>
      </w:tblPr>
      <w:tblGrid>
        <w:gridCol w:w="3671"/>
        <w:gridCol w:w="13"/>
        <w:gridCol w:w="1134"/>
        <w:gridCol w:w="1136"/>
        <w:gridCol w:w="994"/>
        <w:gridCol w:w="1557"/>
      </w:tblGrid>
      <w:tr>
        <w:tblPrEx>
          <w:tblLayout w:type="fixed"/>
          <w:tblCellMar>
            <w:top w:w="0" w:type="dxa"/>
            <w:left w:w="108" w:type="dxa"/>
            <w:bottom w:w="0" w:type="dxa"/>
            <w:right w:w="108" w:type="dxa"/>
          </w:tblCellMar>
        </w:tblPrEx>
        <w:trPr>
          <w:trHeight w:val="285" w:hRule="atLeast"/>
        </w:trPr>
        <w:tc>
          <w:tcPr>
            <w:tcW w:w="3671" w:type="dxa"/>
            <w:tcBorders>
              <w:top w:val="single" w:color="00B050" w:sz="8" w:space="0"/>
              <w:left w:val="nil"/>
              <w:bottom w:val="single" w:color="00B050" w:sz="8" w:space="0"/>
              <w:right w:val="single" w:color="00B050" w:sz="8" w:space="0"/>
            </w:tcBorders>
            <w:shd w:val="clear" w:color="000000" w:fill="CCFFCC"/>
            <w:vAlign w:val="bottom"/>
          </w:tcPr>
          <w:p>
            <w:pPr>
              <w:widowControl/>
              <w:jc w:val="center"/>
              <w:rPr>
                <w:rFonts w:ascii="Times New Roman" w:hAnsi="Times New Roman" w:cs="Times New Roman"/>
                <w:color w:val="000000"/>
                <w:kern w:val="0"/>
                <w:sz w:val="24"/>
                <w:szCs w:val="24"/>
              </w:rPr>
            </w:pPr>
          </w:p>
        </w:tc>
        <w:tc>
          <w:tcPr>
            <w:tcW w:w="2283" w:type="dxa"/>
            <w:gridSpan w:val="3"/>
            <w:tcBorders>
              <w:top w:val="single" w:color="00B050" w:sz="8" w:space="0"/>
              <w:left w:val="nil"/>
              <w:bottom w:val="single" w:color="00B050" w:sz="8" w:space="0"/>
              <w:right w:val="single" w:color="00B050" w:sz="8" w:space="0"/>
            </w:tcBorders>
            <w:shd w:val="clear" w:color="000000" w:fill="CCFFCC"/>
            <w:vAlign w:val="bottom"/>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At End-June 2019</w:t>
            </w:r>
          </w:p>
        </w:tc>
        <w:tc>
          <w:tcPr>
            <w:tcW w:w="2551" w:type="dxa"/>
            <w:gridSpan w:val="2"/>
            <w:tcBorders>
              <w:top w:val="single" w:color="00B050" w:sz="8" w:space="0"/>
              <w:left w:val="nil"/>
              <w:bottom w:val="single" w:color="00B050" w:sz="8" w:space="0"/>
            </w:tcBorders>
            <w:shd w:val="clear" w:color="000000" w:fill="CCFFCC"/>
            <w:vAlign w:val="bottom"/>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In H1 2019</w:t>
            </w:r>
          </w:p>
        </w:tc>
      </w:tr>
      <w:tr>
        <w:tblPrEx>
          <w:tblLayout w:type="fixed"/>
          <w:tblCellMar>
            <w:top w:w="0" w:type="dxa"/>
            <w:left w:w="108" w:type="dxa"/>
            <w:bottom w:w="0" w:type="dxa"/>
            <w:right w:w="108" w:type="dxa"/>
          </w:tblCellMar>
        </w:tblPrEx>
        <w:trPr>
          <w:trHeight w:val="285" w:hRule="atLeast"/>
        </w:trPr>
        <w:tc>
          <w:tcPr>
            <w:tcW w:w="3684" w:type="dxa"/>
            <w:gridSpan w:val="2"/>
            <w:tcBorders>
              <w:top w:val="single" w:color="00B050" w:sz="8" w:space="0"/>
              <w:left w:val="nil"/>
              <w:bottom w:val="single" w:color="00B050" w:sz="8" w:space="0"/>
              <w:right w:val="single" w:color="00B050" w:sz="8" w:space="0"/>
            </w:tcBorders>
            <w:shd w:val="clear" w:color="000000" w:fill="CCFFCC"/>
            <w:vAlign w:val="bottom"/>
          </w:tcPr>
          <w:p>
            <w:pPr>
              <w:widowControl/>
              <w:jc w:val="center"/>
              <w:rPr>
                <w:rFonts w:ascii="Times New Roman" w:hAnsi="Times New Roman" w:cs="Times New Roman"/>
                <w:color w:val="000000"/>
                <w:kern w:val="0"/>
                <w:sz w:val="24"/>
                <w:szCs w:val="24"/>
              </w:rPr>
            </w:pPr>
          </w:p>
        </w:tc>
        <w:tc>
          <w:tcPr>
            <w:tcW w:w="1134" w:type="dxa"/>
            <w:tcBorders>
              <w:top w:val="single" w:color="00B050" w:sz="8" w:space="0"/>
              <w:left w:val="nil"/>
              <w:bottom w:val="single" w:color="00B050" w:sz="8" w:space="0"/>
              <w:right w:val="single" w:color="00B050" w:sz="8" w:space="0"/>
            </w:tcBorders>
            <w:shd w:val="clear" w:color="000000" w:fill="CCFFCC"/>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Outstanding（RMB trillion）</w:t>
            </w:r>
          </w:p>
        </w:tc>
        <w:tc>
          <w:tcPr>
            <w:tcW w:w="1136" w:type="dxa"/>
            <w:tcBorders>
              <w:top w:val="single" w:color="00B050" w:sz="8" w:space="0"/>
              <w:left w:val="nil"/>
              <w:bottom w:val="single" w:color="00B050" w:sz="8" w:space="0"/>
              <w:right w:val="single" w:color="00B050" w:sz="8" w:space="0"/>
            </w:tcBorders>
            <w:shd w:val="clear" w:color="000000" w:fill="CCFFCC"/>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Year-on-year change</w:t>
            </w:r>
          </w:p>
        </w:tc>
        <w:tc>
          <w:tcPr>
            <w:tcW w:w="994" w:type="dxa"/>
            <w:tcBorders>
              <w:top w:val="single" w:color="00B050" w:sz="8" w:space="0"/>
              <w:left w:val="nil"/>
              <w:bottom w:val="single" w:color="00B050" w:sz="8" w:space="0"/>
              <w:right w:val="single" w:color="00B050" w:sz="8" w:space="0"/>
            </w:tcBorders>
            <w:shd w:val="clear" w:color="000000" w:fill="CCFFCC"/>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Increment（RMB trillion）</w:t>
            </w:r>
          </w:p>
        </w:tc>
        <w:tc>
          <w:tcPr>
            <w:tcW w:w="1557" w:type="dxa"/>
            <w:tcBorders>
              <w:top w:val="single" w:color="00B050" w:sz="8" w:space="0"/>
              <w:left w:val="nil"/>
              <w:bottom w:val="single" w:color="00B050" w:sz="8" w:space="0"/>
            </w:tcBorders>
            <w:shd w:val="clear" w:color="000000" w:fill="CCFFCC"/>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Year-on-year change (RMB 100 million)</w:t>
            </w:r>
          </w:p>
        </w:tc>
      </w:tr>
      <w:tr>
        <w:tblPrEx>
          <w:tblLayout w:type="fixed"/>
          <w:tblCellMar>
            <w:top w:w="0" w:type="dxa"/>
            <w:left w:w="108" w:type="dxa"/>
            <w:bottom w:w="0" w:type="dxa"/>
            <w:right w:w="108" w:type="dxa"/>
          </w:tblCellMar>
        </w:tblPrEx>
        <w:trPr>
          <w:trHeight w:val="315" w:hRule="atLeast"/>
        </w:trPr>
        <w:tc>
          <w:tcPr>
            <w:tcW w:w="3684" w:type="dxa"/>
            <w:gridSpan w:val="2"/>
            <w:tcBorders>
              <w:top w:val="single" w:color="00B050" w:sz="8" w:space="0"/>
              <w:bottom w:val="single" w:color="00B050" w:sz="8" w:space="0"/>
              <w:right w:val="single" w:color="00B050" w:sz="8" w:space="0"/>
            </w:tcBorders>
            <w:vAlign w:val="bottom"/>
          </w:tcPr>
          <w:p>
            <w:pPr>
              <w:widowControl/>
              <w:jc w:val="left"/>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Aggregate Financing </w:t>
            </w:r>
          </w:p>
        </w:tc>
        <w:tc>
          <w:tcPr>
            <w:tcW w:w="1134" w:type="dxa"/>
            <w:tcBorders>
              <w:top w:val="nil"/>
              <w:left w:val="nil"/>
              <w:bottom w:val="single" w:color="00B050" w:sz="8" w:space="0"/>
              <w:right w:val="single" w:color="00B050" w:sz="8" w:space="0"/>
            </w:tcBorders>
          </w:tcPr>
          <w:p>
            <w:pPr>
              <w:jc w:val="right"/>
              <w:rPr>
                <w:rFonts w:ascii="Times New Roman" w:hAnsi="Times New Roman" w:cs="Times New Roman"/>
                <w:sz w:val="24"/>
                <w:szCs w:val="24"/>
              </w:rPr>
            </w:pPr>
            <w:r>
              <w:rPr>
                <w:rFonts w:ascii="Times New Roman" w:hAnsi="Times New Roman" w:cs="Times New Roman"/>
                <w:sz w:val="24"/>
                <w:szCs w:val="24"/>
              </w:rPr>
              <w:t xml:space="preserve">213.26 </w:t>
            </w:r>
          </w:p>
        </w:tc>
        <w:tc>
          <w:tcPr>
            <w:tcW w:w="1136" w:type="dxa"/>
            <w:tcBorders>
              <w:top w:val="nil"/>
              <w:left w:val="nil"/>
              <w:bottom w:val="single" w:color="00B050" w:sz="8" w:space="0"/>
              <w:right w:val="single" w:color="00B050" w:sz="8" w:space="0"/>
            </w:tcBorders>
          </w:tcPr>
          <w:p>
            <w:pPr>
              <w:jc w:val="right"/>
              <w:rPr>
                <w:rFonts w:ascii="Times New Roman" w:hAnsi="Times New Roman" w:cs="Times New Roman"/>
                <w:sz w:val="24"/>
                <w:szCs w:val="24"/>
              </w:rPr>
            </w:pPr>
            <w:r>
              <w:rPr>
                <w:rFonts w:ascii="Times New Roman" w:hAnsi="Times New Roman" w:cs="Times New Roman"/>
                <w:sz w:val="24"/>
                <w:szCs w:val="24"/>
              </w:rPr>
              <w:t>10.9</w:t>
            </w:r>
          </w:p>
        </w:tc>
        <w:tc>
          <w:tcPr>
            <w:tcW w:w="994" w:type="dxa"/>
            <w:tcBorders>
              <w:top w:val="nil"/>
              <w:left w:val="nil"/>
              <w:bottom w:val="single" w:color="00B050" w:sz="8" w:space="0"/>
              <w:right w:val="single" w:color="00B050" w:sz="8" w:space="0"/>
            </w:tcBorders>
          </w:tcPr>
          <w:p>
            <w:pPr>
              <w:jc w:val="right"/>
              <w:rPr>
                <w:rFonts w:ascii="Times New Roman" w:hAnsi="Times New Roman" w:cs="Times New Roman"/>
                <w:sz w:val="24"/>
                <w:szCs w:val="24"/>
              </w:rPr>
            </w:pPr>
            <w:r>
              <w:rPr>
                <w:rFonts w:ascii="Times New Roman" w:hAnsi="Times New Roman" w:cs="Times New Roman"/>
                <w:sz w:val="24"/>
                <w:szCs w:val="24"/>
              </w:rPr>
              <w:t>132271</w:t>
            </w:r>
          </w:p>
        </w:tc>
        <w:tc>
          <w:tcPr>
            <w:tcW w:w="1557" w:type="dxa"/>
            <w:tcBorders>
              <w:top w:val="nil"/>
              <w:left w:val="nil"/>
              <w:bottom w:val="single" w:color="00B050" w:sz="8" w:space="0"/>
            </w:tcBorders>
          </w:tcPr>
          <w:p>
            <w:pPr>
              <w:jc w:val="right"/>
              <w:rPr>
                <w:rFonts w:ascii="Times New Roman" w:hAnsi="Times New Roman" w:cs="Times New Roman"/>
                <w:sz w:val="24"/>
                <w:szCs w:val="24"/>
              </w:rPr>
            </w:pPr>
            <w:r>
              <w:rPr>
                <w:rFonts w:ascii="Times New Roman" w:hAnsi="Times New Roman" w:cs="Times New Roman"/>
                <w:sz w:val="24"/>
                <w:szCs w:val="24"/>
              </w:rPr>
              <w:t>31812</w:t>
            </w:r>
          </w:p>
        </w:tc>
      </w:tr>
      <w:tr>
        <w:tblPrEx>
          <w:tblLayout w:type="fixed"/>
          <w:tblCellMar>
            <w:top w:w="0" w:type="dxa"/>
            <w:left w:w="108" w:type="dxa"/>
            <w:bottom w:w="0" w:type="dxa"/>
            <w:right w:w="108" w:type="dxa"/>
          </w:tblCellMar>
        </w:tblPrEx>
        <w:trPr>
          <w:trHeight w:val="315" w:hRule="atLeast"/>
        </w:trPr>
        <w:tc>
          <w:tcPr>
            <w:tcW w:w="3684" w:type="dxa"/>
            <w:gridSpan w:val="2"/>
            <w:tcBorders>
              <w:top w:val="single" w:color="00B050" w:sz="8" w:space="0"/>
              <w:left w:val="nil"/>
              <w:bottom w:val="single" w:color="00B050" w:sz="8" w:space="0"/>
              <w:right w:val="single" w:color="00B050" w:sz="8" w:space="0"/>
            </w:tcBorders>
            <w:shd w:val="clear" w:color="000000" w:fill="CCFFCC"/>
            <w:vAlign w:val="bottom"/>
          </w:tcPr>
          <w:p>
            <w:pPr>
              <w:widowControl/>
              <w:jc w:val="left"/>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Of Which：RMB Loans</w:t>
            </w:r>
          </w:p>
        </w:tc>
        <w:tc>
          <w:tcPr>
            <w:tcW w:w="1134" w:type="dxa"/>
            <w:tcBorders>
              <w:top w:val="nil"/>
              <w:left w:val="nil"/>
              <w:bottom w:val="single" w:color="00B050" w:sz="8" w:space="0"/>
              <w:right w:val="single" w:color="00B050" w:sz="8" w:space="0"/>
            </w:tcBorders>
            <w:shd w:val="clear" w:color="000000" w:fill="CCFFCC"/>
          </w:tcPr>
          <w:p>
            <w:pPr>
              <w:jc w:val="right"/>
              <w:rPr>
                <w:rFonts w:ascii="Times New Roman" w:hAnsi="Times New Roman" w:cs="Times New Roman"/>
                <w:sz w:val="24"/>
                <w:szCs w:val="24"/>
              </w:rPr>
            </w:pPr>
            <w:r>
              <w:rPr>
                <w:rFonts w:ascii="Times New Roman" w:hAnsi="Times New Roman" w:cs="Times New Roman"/>
                <w:sz w:val="24"/>
                <w:szCs w:val="24"/>
              </w:rPr>
              <w:t xml:space="preserve">144.71 </w:t>
            </w:r>
          </w:p>
        </w:tc>
        <w:tc>
          <w:tcPr>
            <w:tcW w:w="1136" w:type="dxa"/>
            <w:tcBorders>
              <w:top w:val="nil"/>
              <w:left w:val="nil"/>
              <w:bottom w:val="single" w:color="00B050" w:sz="8" w:space="0"/>
              <w:right w:val="single" w:color="00B050" w:sz="8" w:space="0"/>
            </w:tcBorders>
            <w:shd w:val="clear" w:color="000000" w:fill="CCFFCC"/>
          </w:tcPr>
          <w:p>
            <w:pPr>
              <w:jc w:val="right"/>
              <w:rPr>
                <w:rFonts w:ascii="Times New Roman" w:hAnsi="Times New Roman" w:cs="Times New Roman"/>
                <w:sz w:val="24"/>
                <w:szCs w:val="24"/>
              </w:rPr>
            </w:pPr>
            <w:r>
              <w:rPr>
                <w:rFonts w:ascii="Times New Roman" w:hAnsi="Times New Roman" w:cs="Times New Roman"/>
                <w:sz w:val="24"/>
                <w:szCs w:val="24"/>
              </w:rPr>
              <w:t>13.2</w:t>
            </w:r>
          </w:p>
        </w:tc>
        <w:tc>
          <w:tcPr>
            <w:tcW w:w="994" w:type="dxa"/>
            <w:tcBorders>
              <w:top w:val="nil"/>
              <w:left w:val="nil"/>
              <w:bottom w:val="single" w:color="00B050" w:sz="8" w:space="0"/>
              <w:right w:val="single" w:color="00B050" w:sz="8" w:space="0"/>
            </w:tcBorders>
            <w:shd w:val="clear" w:color="000000" w:fill="CCFFCC"/>
          </w:tcPr>
          <w:p>
            <w:pPr>
              <w:jc w:val="right"/>
              <w:rPr>
                <w:rFonts w:ascii="Times New Roman" w:hAnsi="Times New Roman" w:cs="Times New Roman"/>
                <w:sz w:val="24"/>
                <w:szCs w:val="24"/>
              </w:rPr>
            </w:pPr>
            <w:r>
              <w:rPr>
                <w:rFonts w:ascii="Times New Roman" w:hAnsi="Times New Roman" w:cs="Times New Roman"/>
                <w:sz w:val="24"/>
                <w:szCs w:val="24"/>
              </w:rPr>
              <w:t>100219</w:t>
            </w:r>
          </w:p>
        </w:tc>
        <w:tc>
          <w:tcPr>
            <w:tcW w:w="1557" w:type="dxa"/>
            <w:tcBorders>
              <w:top w:val="nil"/>
              <w:left w:val="nil"/>
              <w:bottom w:val="single" w:color="00B050" w:sz="8" w:space="0"/>
            </w:tcBorders>
            <w:shd w:val="clear" w:color="000000" w:fill="CCFFCC"/>
          </w:tcPr>
          <w:p>
            <w:pPr>
              <w:jc w:val="right"/>
              <w:rPr>
                <w:rFonts w:ascii="Times New Roman" w:hAnsi="Times New Roman" w:cs="Times New Roman"/>
                <w:sz w:val="24"/>
                <w:szCs w:val="24"/>
              </w:rPr>
            </w:pPr>
            <w:r>
              <w:rPr>
                <w:rFonts w:ascii="Times New Roman" w:hAnsi="Times New Roman" w:cs="Times New Roman"/>
                <w:sz w:val="24"/>
                <w:szCs w:val="24"/>
              </w:rPr>
              <w:t>12574</w:t>
            </w:r>
          </w:p>
        </w:tc>
      </w:tr>
      <w:tr>
        <w:tblPrEx>
          <w:tblLayout w:type="fixed"/>
          <w:tblCellMar>
            <w:top w:w="0" w:type="dxa"/>
            <w:left w:w="108" w:type="dxa"/>
            <w:bottom w:w="0" w:type="dxa"/>
            <w:right w:w="108" w:type="dxa"/>
          </w:tblCellMar>
        </w:tblPrEx>
        <w:trPr>
          <w:trHeight w:val="315" w:hRule="atLeast"/>
        </w:trPr>
        <w:tc>
          <w:tcPr>
            <w:tcW w:w="3684" w:type="dxa"/>
            <w:gridSpan w:val="2"/>
            <w:tcBorders>
              <w:top w:val="single" w:color="00B050" w:sz="8" w:space="0"/>
              <w:left w:val="nil"/>
              <w:bottom w:val="single" w:color="00B050" w:sz="8" w:space="0"/>
              <w:right w:val="single" w:color="00B050" w:sz="8" w:space="0"/>
            </w:tcBorders>
            <w:vAlign w:val="bottom"/>
          </w:tcPr>
          <w:p>
            <w:pPr>
              <w:widowControl/>
              <w:ind w:firstLine="720" w:firstLineChars="300"/>
              <w:jc w:val="left"/>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    Foreign Currency Loans（Converted into RMB）</w:t>
            </w:r>
          </w:p>
        </w:tc>
        <w:tc>
          <w:tcPr>
            <w:tcW w:w="1134" w:type="dxa"/>
            <w:tcBorders>
              <w:top w:val="nil"/>
              <w:left w:val="nil"/>
              <w:bottom w:val="single" w:color="00B050" w:sz="8" w:space="0"/>
              <w:right w:val="single" w:color="00B050" w:sz="8" w:space="0"/>
            </w:tcBorders>
          </w:tcPr>
          <w:p>
            <w:pPr>
              <w:jc w:val="right"/>
              <w:rPr>
                <w:rFonts w:ascii="Times New Roman" w:hAnsi="Times New Roman" w:cs="Times New Roman"/>
                <w:sz w:val="24"/>
                <w:szCs w:val="24"/>
              </w:rPr>
            </w:pPr>
            <w:r>
              <w:rPr>
                <w:rFonts w:ascii="Times New Roman" w:hAnsi="Times New Roman" w:cs="Times New Roman"/>
                <w:sz w:val="24"/>
                <w:szCs w:val="24"/>
              </w:rPr>
              <w:t xml:space="preserve">2.21 </w:t>
            </w:r>
          </w:p>
        </w:tc>
        <w:tc>
          <w:tcPr>
            <w:tcW w:w="1136" w:type="dxa"/>
            <w:tcBorders>
              <w:top w:val="nil"/>
              <w:left w:val="nil"/>
              <w:bottom w:val="single" w:color="00B050" w:sz="8" w:space="0"/>
              <w:right w:val="single" w:color="00B050" w:sz="8" w:space="0"/>
            </w:tcBorders>
          </w:tcPr>
          <w:p>
            <w:pPr>
              <w:jc w:val="right"/>
              <w:rPr>
                <w:rFonts w:ascii="Times New Roman" w:hAnsi="Times New Roman" w:cs="Times New Roman"/>
                <w:sz w:val="24"/>
                <w:szCs w:val="24"/>
              </w:rPr>
            </w:pPr>
            <w:r>
              <w:rPr>
                <w:rFonts w:ascii="Times New Roman" w:hAnsi="Times New Roman" w:cs="Times New Roman"/>
                <w:sz w:val="24"/>
                <w:szCs w:val="24"/>
              </w:rPr>
              <w:t>-12.4</w:t>
            </w:r>
          </w:p>
        </w:tc>
        <w:tc>
          <w:tcPr>
            <w:tcW w:w="994" w:type="dxa"/>
            <w:tcBorders>
              <w:top w:val="nil"/>
              <w:left w:val="nil"/>
              <w:bottom w:val="single" w:color="00B050" w:sz="8" w:space="0"/>
              <w:right w:val="single" w:color="00B050" w:sz="8" w:space="0"/>
            </w:tcBorders>
          </w:tcPr>
          <w:p>
            <w:pPr>
              <w:jc w:val="right"/>
              <w:rPr>
                <w:rFonts w:ascii="Times New Roman" w:hAnsi="Times New Roman" w:cs="Times New Roman"/>
                <w:sz w:val="24"/>
                <w:szCs w:val="24"/>
              </w:rPr>
            </w:pPr>
            <w:r>
              <w:rPr>
                <w:rFonts w:ascii="Times New Roman" w:hAnsi="Times New Roman" w:cs="Times New Roman"/>
                <w:sz w:val="24"/>
                <w:szCs w:val="24"/>
              </w:rPr>
              <w:t>97</w:t>
            </w:r>
          </w:p>
        </w:tc>
        <w:tc>
          <w:tcPr>
            <w:tcW w:w="1557" w:type="dxa"/>
            <w:tcBorders>
              <w:top w:val="nil"/>
              <w:left w:val="nil"/>
              <w:bottom w:val="single" w:color="00B050" w:sz="8" w:space="0"/>
            </w:tcBorders>
          </w:tcPr>
          <w:p>
            <w:pPr>
              <w:jc w:val="right"/>
              <w:rPr>
                <w:rFonts w:ascii="Times New Roman" w:hAnsi="Times New Roman" w:cs="Times New Roman"/>
                <w:sz w:val="24"/>
                <w:szCs w:val="24"/>
              </w:rPr>
            </w:pPr>
            <w:r>
              <w:rPr>
                <w:rFonts w:ascii="Times New Roman" w:hAnsi="Times New Roman" w:cs="Times New Roman"/>
                <w:sz w:val="24"/>
                <w:szCs w:val="24"/>
              </w:rPr>
              <w:t>222</w:t>
            </w:r>
          </w:p>
        </w:tc>
      </w:tr>
      <w:tr>
        <w:tblPrEx>
          <w:tblLayout w:type="fixed"/>
          <w:tblCellMar>
            <w:top w:w="0" w:type="dxa"/>
            <w:left w:w="108" w:type="dxa"/>
            <w:bottom w:w="0" w:type="dxa"/>
            <w:right w:w="108" w:type="dxa"/>
          </w:tblCellMar>
        </w:tblPrEx>
        <w:trPr>
          <w:trHeight w:val="315" w:hRule="atLeast"/>
        </w:trPr>
        <w:tc>
          <w:tcPr>
            <w:tcW w:w="3684" w:type="dxa"/>
            <w:gridSpan w:val="2"/>
            <w:tcBorders>
              <w:top w:val="single" w:color="00B050" w:sz="8" w:space="0"/>
              <w:left w:val="nil"/>
              <w:bottom w:val="single" w:color="00B050" w:sz="8" w:space="0"/>
              <w:right w:val="single" w:color="00B050" w:sz="8" w:space="0"/>
            </w:tcBorders>
            <w:shd w:val="clear" w:color="000000" w:fill="CCFFCC"/>
            <w:vAlign w:val="bottom"/>
          </w:tcPr>
          <w:p>
            <w:pPr>
              <w:widowControl/>
              <w:ind w:firstLine="720" w:firstLineChars="300"/>
              <w:jc w:val="left"/>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Entrusted Loans</w:t>
            </w:r>
          </w:p>
        </w:tc>
        <w:tc>
          <w:tcPr>
            <w:tcW w:w="1134" w:type="dxa"/>
            <w:tcBorders>
              <w:top w:val="nil"/>
              <w:left w:val="nil"/>
              <w:bottom w:val="single" w:color="00B050" w:sz="8" w:space="0"/>
              <w:right w:val="single" w:color="00B050" w:sz="8" w:space="0"/>
            </w:tcBorders>
            <w:shd w:val="clear" w:color="000000" w:fill="CCFFCC"/>
          </w:tcPr>
          <w:p>
            <w:pPr>
              <w:jc w:val="right"/>
              <w:rPr>
                <w:rFonts w:ascii="Times New Roman" w:hAnsi="Times New Roman" w:cs="Times New Roman"/>
                <w:sz w:val="24"/>
                <w:szCs w:val="24"/>
              </w:rPr>
            </w:pPr>
            <w:r>
              <w:rPr>
                <w:rFonts w:ascii="Times New Roman" w:hAnsi="Times New Roman" w:cs="Times New Roman"/>
                <w:sz w:val="24"/>
                <w:szCs w:val="24"/>
              </w:rPr>
              <w:t xml:space="preserve">11.89 </w:t>
            </w:r>
          </w:p>
        </w:tc>
        <w:tc>
          <w:tcPr>
            <w:tcW w:w="1136" w:type="dxa"/>
            <w:tcBorders>
              <w:top w:val="nil"/>
              <w:left w:val="nil"/>
              <w:bottom w:val="single" w:color="00B050" w:sz="8" w:space="0"/>
              <w:right w:val="single" w:color="00B050" w:sz="8" w:space="0"/>
            </w:tcBorders>
            <w:shd w:val="clear" w:color="000000" w:fill="CCFFCC"/>
          </w:tcPr>
          <w:p>
            <w:pPr>
              <w:jc w:val="right"/>
              <w:rPr>
                <w:rFonts w:ascii="Times New Roman" w:hAnsi="Times New Roman" w:cs="Times New Roman"/>
                <w:sz w:val="24"/>
                <w:szCs w:val="24"/>
              </w:rPr>
            </w:pPr>
            <w:r>
              <w:rPr>
                <w:rFonts w:ascii="Times New Roman" w:hAnsi="Times New Roman" w:cs="Times New Roman"/>
                <w:sz w:val="24"/>
                <w:szCs w:val="24"/>
              </w:rPr>
              <w:t>-9.9</w:t>
            </w:r>
          </w:p>
        </w:tc>
        <w:tc>
          <w:tcPr>
            <w:tcW w:w="994" w:type="dxa"/>
            <w:tcBorders>
              <w:top w:val="nil"/>
              <w:left w:val="nil"/>
              <w:bottom w:val="single" w:color="00B050" w:sz="8" w:space="0"/>
              <w:right w:val="single" w:color="00B050" w:sz="8" w:space="0"/>
            </w:tcBorders>
            <w:shd w:val="clear" w:color="000000" w:fill="CCFFCC"/>
          </w:tcPr>
          <w:p>
            <w:pPr>
              <w:jc w:val="right"/>
              <w:rPr>
                <w:rFonts w:ascii="Times New Roman" w:hAnsi="Times New Roman" w:cs="Times New Roman"/>
                <w:sz w:val="24"/>
                <w:szCs w:val="24"/>
              </w:rPr>
            </w:pPr>
            <w:r>
              <w:rPr>
                <w:rFonts w:ascii="Times New Roman" w:hAnsi="Times New Roman" w:cs="Times New Roman"/>
                <w:sz w:val="24"/>
                <w:szCs w:val="24"/>
              </w:rPr>
              <w:t>-4933</w:t>
            </w:r>
          </w:p>
        </w:tc>
        <w:tc>
          <w:tcPr>
            <w:tcW w:w="1557" w:type="dxa"/>
            <w:tcBorders>
              <w:top w:val="nil"/>
              <w:left w:val="nil"/>
              <w:bottom w:val="single" w:color="00B050" w:sz="8" w:space="0"/>
            </w:tcBorders>
            <w:shd w:val="clear" w:color="000000" w:fill="CCFFCC"/>
          </w:tcPr>
          <w:p>
            <w:pPr>
              <w:jc w:val="right"/>
              <w:rPr>
                <w:rFonts w:ascii="Times New Roman" w:hAnsi="Times New Roman" w:cs="Times New Roman"/>
                <w:sz w:val="24"/>
                <w:szCs w:val="24"/>
              </w:rPr>
            </w:pPr>
            <w:r>
              <w:rPr>
                <w:rFonts w:ascii="Times New Roman" w:hAnsi="Times New Roman" w:cs="Times New Roman"/>
                <w:sz w:val="24"/>
                <w:szCs w:val="24"/>
              </w:rPr>
              <w:t>3070</w:t>
            </w:r>
          </w:p>
        </w:tc>
      </w:tr>
      <w:tr>
        <w:tblPrEx>
          <w:tblLayout w:type="fixed"/>
          <w:tblCellMar>
            <w:top w:w="0" w:type="dxa"/>
            <w:left w:w="108" w:type="dxa"/>
            <w:bottom w:w="0" w:type="dxa"/>
            <w:right w:w="108" w:type="dxa"/>
          </w:tblCellMar>
        </w:tblPrEx>
        <w:trPr>
          <w:trHeight w:val="315" w:hRule="atLeast"/>
        </w:trPr>
        <w:tc>
          <w:tcPr>
            <w:tcW w:w="3684" w:type="dxa"/>
            <w:gridSpan w:val="2"/>
            <w:tcBorders>
              <w:top w:val="single" w:color="00B050" w:sz="8" w:space="0"/>
              <w:left w:val="nil"/>
              <w:bottom w:val="single" w:color="00B050" w:sz="8" w:space="0"/>
              <w:right w:val="single" w:color="00B050" w:sz="8" w:space="0"/>
            </w:tcBorders>
            <w:vAlign w:val="bottom"/>
          </w:tcPr>
          <w:p>
            <w:pPr>
              <w:widowControl/>
              <w:ind w:firstLine="720" w:firstLineChars="300"/>
              <w:jc w:val="left"/>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Trust Loans</w:t>
            </w:r>
          </w:p>
        </w:tc>
        <w:tc>
          <w:tcPr>
            <w:tcW w:w="1134" w:type="dxa"/>
            <w:tcBorders>
              <w:top w:val="nil"/>
              <w:left w:val="nil"/>
              <w:bottom w:val="single" w:color="00B050" w:sz="8" w:space="0"/>
              <w:right w:val="single" w:color="00B050" w:sz="8" w:space="0"/>
            </w:tcBorders>
          </w:tcPr>
          <w:p>
            <w:pPr>
              <w:jc w:val="right"/>
              <w:rPr>
                <w:rFonts w:ascii="Times New Roman" w:hAnsi="Times New Roman" w:cs="Times New Roman"/>
                <w:sz w:val="24"/>
                <w:szCs w:val="24"/>
              </w:rPr>
            </w:pPr>
            <w:r>
              <w:rPr>
                <w:rFonts w:ascii="Times New Roman" w:hAnsi="Times New Roman" w:cs="Times New Roman"/>
                <w:sz w:val="24"/>
                <w:szCs w:val="24"/>
              </w:rPr>
              <w:t xml:space="preserve">7.88 </w:t>
            </w:r>
          </w:p>
        </w:tc>
        <w:tc>
          <w:tcPr>
            <w:tcW w:w="1136" w:type="dxa"/>
            <w:tcBorders>
              <w:top w:val="nil"/>
              <w:left w:val="nil"/>
              <w:bottom w:val="single" w:color="00B050" w:sz="8" w:space="0"/>
              <w:right w:val="single" w:color="00B050" w:sz="8" w:space="0"/>
            </w:tcBorders>
          </w:tcPr>
          <w:p>
            <w:pPr>
              <w:jc w:val="right"/>
              <w:rPr>
                <w:rFonts w:ascii="Times New Roman" w:hAnsi="Times New Roman" w:cs="Times New Roman"/>
                <w:sz w:val="24"/>
                <w:szCs w:val="24"/>
              </w:rPr>
            </w:pPr>
            <w:r>
              <w:rPr>
                <w:rFonts w:ascii="Times New Roman" w:hAnsi="Times New Roman" w:cs="Times New Roman"/>
                <w:sz w:val="24"/>
                <w:szCs w:val="24"/>
              </w:rPr>
              <w:t>-4.9</w:t>
            </w:r>
          </w:p>
        </w:tc>
        <w:tc>
          <w:tcPr>
            <w:tcW w:w="994" w:type="dxa"/>
            <w:tcBorders>
              <w:top w:val="nil"/>
              <w:left w:val="nil"/>
              <w:bottom w:val="single" w:color="00B050" w:sz="8" w:space="0"/>
              <w:right w:val="single" w:color="00B050" w:sz="8" w:space="0"/>
            </w:tcBorders>
          </w:tcPr>
          <w:p>
            <w:pPr>
              <w:jc w:val="right"/>
              <w:rPr>
                <w:rFonts w:ascii="Times New Roman" w:hAnsi="Times New Roman" w:cs="Times New Roman"/>
                <w:sz w:val="24"/>
                <w:szCs w:val="24"/>
              </w:rPr>
            </w:pPr>
            <w:r>
              <w:rPr>
                <w:rFonts w:ascii="Times New Roman" w:hAnsi="Times New Roman" w:cs="Times New Roman"/>
                <w:sz w:val="24"/>
                <w:szCs w:val="24"/>
              </w:rPr>
              <w:t>928</w:t>
            </w:r>
          </w:p>
        </w:tc>
        <w:tc>
          <w:tcPr>
            <w:tcW w:w="1557" w:type="dxa"/>
            <w:tcBorders>
              <w:top w:val="nil"/>
              <w:left w:val="nil"/>
              <w:bottom w:val="single" w:color="00B050" w:sz="8" w:space="0"/>
            </w:tcBorders>
          </w:tcPr>
          <w:p>
            <w:pPr>
              <w:jc w:val="right"/>
              <w:rPr>
                <w:rFonts w:ascii="Times New Roman" w:hAnsi="Times New Roman" w:cs="Times New Roman"/>
                <w:sz w:val="24"/>
                <w:szCs w:val="24"/>
              </w:rPr>
            </w:pPr>
            <w:r>
              <w:rPr>
                <w:rFonts w:ascii="Times New Roman" w:hAnsi="Times New Roman" w:cs="Times New Roman"/>
                <w:sz w:val="24"/>
                <w:szCs w:val="24"/>
              </w:rPr>
              <w:t>2815</w:t>
            </w:r>
          </w:p>
        </w:tc>
      </w:tr>
      <w:tr>
        <w:tblPrEx>
          <w:tblLayout w:type="fixed"/>
          <w:tblCellMar>
            <w:top w:w="0" w:type="dxa"/>
            <w:left w:w="108" w:type="dxa"/>
            <w:bottom w:w="0" w:type="dxa"/>
            <w:right w:w="108" w:type="dxa"/>
          </w:tblCellMar>
        </w:tblPrEx>
        <w:trPr>
          <w:trHeight w:val="315" w:hRule="atLeast"/>
        </w:trPr>
        <w:tc>
          <w:tcPr>
            <w:tcW w:w="3684" w:type="dxa"/>
            <w:gridSpan w:val="2"/>
            <w:tcBorders>
              <w:top w:val="single" w:color="00B050" w:sz="8" w:space="0"/>
              <w:left w:val="nil"/>
              <w:bottom w:val="single" w:color="00B050" w:sz="8" w:space="0"/>
              <w:right w:val="single" w:color="00B050" w:sz="8" w:space="0"/>
            </w:tcBorders>
            <w:shd w:val="clear" w:color="000000" w:fill="CCFFCC"/>
            <w:vAlign w:val="bottom"/>
          </w:tcPr>
          <w:p>
            <w:pPr>
              <w:widowControl/>
              <w:ind w:firstLine="720" w:firstLineChars="300"/>
              <w:jc w:val="left"/>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Undiscounted Bankers’ Acceptance Bills</w:t>
            </w:r>
          </w:p>
        </w:tc>
        <w:tc>
          <w:tcPr>
            <w:tcW w:w="1134" w:type="dxa"/>
            <w:tcBorders>
              <w:top w:val="nil"/>
              <w:left w:val="nil"/>
              <w:bottom w:val="single" w:color="00B050" w:sz="8" w:space="0"/>
              <w:right w:val="single" w:color="00B050" w:sz="8" w:space="0"/>
            </w:tcBorders>
            <w:shd w:val="clear" w:color="000000" w:fill="CCFFCC"/>
          </w:tcPr>
          <w:p>
            <w:pPr>
              <w:jc w:val="right"/>
              <w:rPr>
                <w:rFonts w:ascii="Times New Roman" w:hAnsi="Times New Roman" w:cs="Times New Roman"/>
                <w:sz w:val="24"/>
                <w:szCs w:val="24"/>
              </w:rPr>
            </w:pPr>
            <w:r>
              <w:rPr>
                <w:rFonts w:ascii="Times New Roman" w:hAnsi="Times New Roman" w:cs="Times New Roman"/>
                <w:sz w:val="24"/>
                <w:szCs w:val="24"/>
              </w:rPr>
              <w:t xml:space="preserve">3.77 </w:t>
            </w:r>
          </w:p>
        </w:tc>
        <w:tc>
          <w:tcPr>
            <w:tcW w:w="1136" w:type="dxa"/>
            <w:tcBorders>
              <w:top w:val="nil"/>
              <w:left w:val="nil"/>
              <w:bottom w:val="single" w:color="00B050" w:sz="8" w:space="0"/>
              <w:right w:val="single" w:color="00B050" w:sz="8" w:space="0"/>
            </w:tcBorders>
            <w:shd w:val="clear" w:color="000000" w:fill="CCFFCC"/>
          </w:tcPr>
          <w:p>
            <w:pPr>
              <w:jc w:val="right"/>
              <w:rPr>
                <w:rFonts w:ascii="Times New Roman" w:hAnsi="Times New Roman" w:cs="Times New Roman"/>
                <w:sz w:val="24"/>
                <w:szCs w:val="24"/>
              </w:rPr>
            </w:pPr>
            <w:r>
              <w:rPr>
                <w:rFonts w:ascii="Times New Roman" w:hAnsi="Times New Roman" w:cs="Times New Roman"/>
                <w:sz w:val="24"/>
                <w:szCs w:val="24"/>
              </w:rPr>
              <w:t>-9.6</w:t>
            </w:r>
          </w:p>
        </w:tc>
        <w:tc>
          <w:tcPr>
            <w:tcW w:w="994" w:type="dxa"/>
            <w:tcBorders>
              <w:top w:val="nil"/>
              <w:left w:val="nil"/>
              <w:bottom w:val="single" w:color="00B050" w:sz="8" w:space="0"/>
              <w:right w:val="single" w:color="00B050" w:sz="8" w:space="0"/>
            </w:tcBorders>
            <w:shd w:val="clear" w:color="000000" w:fill="CCFFCC"/>
          </w:tcPr>
          <w:p>
            <w:pPr>
              <w:jc w:val="right"/>
              <w:rPr>
                <w:rFonts w:ascii="Times New Roman" w:hAnsi="Times New Roman" w:cs="Times New Roman"/>
                <w:sz w:val="24"/>
                <w:szCs w:val="24"/>
              </w:rPr>
            </w:pPr>
            <w:r>
              <w:rPr>
                <w:rFonts w:ascii="Times New Roman" w:hAnsi="Times New Roman" w:cs="Times New Roman"/>
                <w:sz w:val="24"/>
                <w:szCs w:val="24"/>
              </w:rPr>
              <w:t>-389</w:t>
            </w:r>
          </w:p>
        </w:tc>
        <w:tc>
          <w:tcPr>
            <w:tcW w:w="1557" w:type="dxa"/>
            <w:tcBorders>
              <w:top w:val="nil"/>
              <w:left w:val="nil"/>
              <w:bottom w:val="single" w:color="00B050" w:sz="8" w:space="0"/>
            </w:tcBorders>
            <w:shd w:val="clear" w:color="000000" w:fill="CCFFCC"/>
          </w:tcPr>
          <w:p>
            <w:pPr>
              <w:jc w:val="right"/>
              <w:rPr>
                <w:rFonts w:ascii="Times New Roman" w:hAnsi="Times New Roman" w:cs="Times New Roman"/>
                <w:sz w:val="24"/>
                <w:szCs w:val="24"/>
              </w:rPr>
            </w:pPr>
            <w:r>
              <w:rPr>
                <w:rFonts w:ascii="Times New Roman" w:hAnsi="Times New Roman" w:cs="Times New Roman"/>
                <w:sz w:val="24"/>
                <w:szCs w:val="24"/>
              </w:rPr>
              <w:t>2327</w:t>
            </w:r>
          </w:p>
        </w:tc>
      </w:tr>
      <w:tr>
        <w:tblPrEx>
          <w:tblLayout w:type="fixed"/>
          <w:tblCellMar>
            <w:top w:w="0" w:type="dxa"/>
            <w:left w:w="108" w:type="dxa"/>
            <w:bottom w:w="0" w:type="dxa"/>
            <w:right w:w="108" w:type="dxa"/>
          </w:tblCellMar>
        </w:tblPrEx>
        <w:trPr>
          <w:trHeight w:val="315" w:hRule="atLeast"/>
        </w:trPr>
        <w:tc>
          <w:tcPr>
            <w:tcW w:w="3684" w:type="dxa"/>
            <w:gridSpan w:val="2"/>
            <w:tcBorders>
              <w:top w:val="single" w:color="00B050" w:sz="8" w:space="0"/>
              <w:left w:val="nil"/>
              <w:bottom w:val="single" w:color="00B050" w:sz="8" w:space="0"/>
              <w:right w:val="single" w:color="00B050" w:sz="8" w:space="0"/>
            </w:tcBorders>
            <w:vAlign w:val="bottom"/>
          </w:tcPr>
          <w:p>
            <w:pPr>
              <w:widowControl/>
              <w:ind w:firstLine="720" w:firstLineChars="300"/>
              <w:jc w:val="left"/>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Corporate Debt</w:t>
            </w:r>
          </w:p>
        </w:tc>
        <w:tc>
          <w:tcPr>
            <w:tcW w:w="1134" w:type="dxa"/>
            <w:tcBorders>
              <w:top w:val="nil"/>
              <w:left w:val="nil"/>
              <w:bottom w:val="single" w:color="00B050" w:sz="8" w:space="0"/>
              <w:right w:val="single" w:color="00B050" w:sz="8" w:space="0"/>
            </w:tcBorders>
          </w:tcPr>
          <w:p>
            <w:pPr>
              <w:jc w:val="right"/>
              <w:rPr>
                <w:rFonts w:ascii="Times New Roman" w:hAnsi="Times New Roman" w:cs="Times New Roman"/>
                <w:sz w:val="24"/>
                <w:szCs w:val="24"/>
              </w:rPr>
            </w:pPr>
            <w:r>
              <w:rPr>
                <w:rFonts w:ascii="Times New Roman" w:hAnsi="Times New Roman" w:cs="Times New Roman"/>
                <w:sz w:val="24"/>
                <w:szCs w:val="24"/>
              </w:rPr>
              <w:t xml:space="preserve">21.28 </w:t>
            </w:r>
          </w:p>
        </w:tc>
        <w:tc>
          <w:tcPr>
            <w:tcW w:w="1136" w:type="dxa"/>
            <w:tcBorders>
              <w:top w:val="nil"/>
              <w:left w:val="nil"/>
              <w:bottom w:val="single" w:color="00B050" w:sz="8" w:space="0"/>
              <w:right w:val="single" w:color="00B050" w:sz="8" w:space="0"/>
            </w:tcBorders>
          </w:tcPr>
          <w:p>
            <w:pPr>
              <w:jc w:val="right"/>
              <w:rPr>
                <w:rFonts w:ascii="Times New Roman" w:hAnsi="Times New Roman" w:cs="Times New Roman"/>
                <w:sz w:val="24"/>
                <w:szCs w:val="24"/>
              </w:rPr>
            </w:pPr>
            <w:r>
              <w:rPr>
                <w:rFonts w:ascii="Times New Roman" w:hAnsi="Times New Roman" w:cs="Times New Roman"/>
                <w:sz w:val="24"/>
                <w:szCs w:val="24"/>
              </w:rPr>
              <w:t>11.2</w:t>
            </w:r>
          </w:p>
        </w:tc>
        <w:tc>
          <w:tcPr>
            <w:tcW w:w="994" w:type="dxa"/>
            <w:tcBorders>
              <w:top w:val="nil"/>
              <w:left w:val="nil"/>
              <w:bottom w:val="single" w:color="00B050" w:sz="8" w:space="0"/>
              <w:right w:val="single" w:color="00B050" w:sz="8" w:space="0"/>
            </w:tcBorders>
          </w:tcPr>
          <w:p>
            <w:pPr>
              <w:jc w:val="right"/>
              <w:rPr>
                <w:rFonts w:ascii="Times New Roman" w:hAnsi="Times New Roman" w:cs="Times New Roman"/>
                <w:sz w:val="24"/>
                <w:szCs w:val="24"/>
              </w:rPr>
            </w:pPr>
            <w:r>
              <w:rPr>
                <w:rFonts w:ascii="Times New Roman" w:hAnsi="Times New Roman" w:cs="Times New Roman"/>
                <w:sz w:val="24"/>
                <w:szCs w:val="24"/>
              </w:rPr>
              <w:t>14585</w:t>
            </w:r>
          </w:p>
        </w:tc>
        <w:tc>
          <w:tcPr>
            <w:tcW w:w="1557" w:type="dxa"/>
            <w:tcBorders>
              <w:top w:val="nil"/>
              <w:left w:val="nil"/>
              <w:bottom w:val="single" w:color="00B050" w:sz="8" w:space="0"/>
            </w:tcBorders>
          </w:tcPr>
          <w:p>
            <w:pPr>
              <w:jc w:val="right"/>
              <w:rPr>
                <w:rFonts w:ascii="Times New Roman" w:hAnsi="Times New Roman" w:cs="Times New Roman"/>
                <w:sz w:val="24"/>
                <w:szCs w:val="24"/>
              </w:rPr>
            </w:pPr>
            <w:r>
              <w:rPr>
                <w:rFonts w:ascii="Times New Roman" w:hAnsi="Times New Roman" w:cs="Times New Roman"/>
                <w:sz w:val="24"/>
                <w:szCs w:val="24"/>
              </w:rPr>
              <w:t>4382</w:t>
            </w:r>
          </w:p>
        </w:tc>
      </w:tr>
      <w:tr>
        <w:tblPrEx>
          <w:tblLayout w:type="fixed"/>
          <w:tblCellMar>
            <w:top w:w="0" w:type="dxa"/>
            <w:left w:w="108" w:type="dxa"/>
            <w:bottom w:w="0" w:type="dxa"/>
            <w:right w:w="108" w:type="dxa"/>
          </w:tblCellMar>
        </w:tblPrEx>
        <w:trPr>
          <w:trHeight w:val="315" w:hRule="atLeast"/>
        </w:trPr>
        <w:tc>
          <w:tcPr>
            <w:tcW w:w="3684" w:type="dxa"/>
            <w:gridSpan w:val="2"/>
            <w:tcBorders>
              <w:top w:val="single" w:color="00B050" w:sz="8" w:space="0"/>
              <w:left w:val="nil"/>
              <w:bottom w:val="single" w:color="00B050" w:sz="8" w:space="0"/>
              <w:right w:val="single" w:color="00B050" w:sz="8" w:space="0"/>
            </w:tcBorders>
            <w:shd w:val="clear" w:color="000000" w:fill="CCFFCC"/>
            <w:vAlign w:val="bottom"/>
          </w:tcPr>
          <w:p>
            <w:pPr>
              <w:widowControl/>
              <w:ind w:firstLine="720" w:firstLineChars="300"/>
              <w:jc w:val="left"/>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Specific Bonds Issued by Local Governments</w:t>
            </w:r>
          </w:p>
        </w:tc>
        <w:tc>
          <w:tcPr>
            <w:tcW w:w="1134" w:type="dxa"/>
            <w:tcBorders>
              <w:top w:val="nil"/>
              <w:left w:val="nil"/>
              <w:bottom w:val="single" w:color="00B050" w:sz="8" w:space="0"/>
              <w:right w:val="single" w:color="00B050" w:sz="8" w:space="0"/>
            </w:tcBorders>
            <w:shd w:val="clear" w:color="000000" w:fill="CCFFCC"/>
          </w:tcPr>
          <w:p>
            <w:pPr>
              <w:jc w:val="right"/>
              <w:rPr>
                <w:rFonts w:ascii="Times New Roman" w:hAnsi="Times New Roman" w:cs="Times New Roman"/>
                <w:sz w:val="24"/>
                <w:szCs w:val="24"/>
              </w:rPr>
            </w:pPr>
            <w:r>
              <w:rPr>
                <w:rFonts w:ascii="Times New Roman" w:hAnsi="Times New Roman" w:cs="Times New Roman"/>
                <w:sz w:val="24"/>
                <w:szCs w:val="24"/>
              </w:rPr>
              <w:t xml:space="preserve">8.45 </w:t>
            </w:r>
          </w:p>
        </w:tc>
        <w:tc>
          <w:tcPr>
            <w:tcW w:w="1136" w:type="dxa"/>
            <w:tcBorders>
              <w:top w:val="nil"/>
              <w:left w:val="nil"/>
              <w:bottom w:val="single" w:color="00B050" w:sz="8" w:space="0"/>
              <w:right w:val="single" w:color="00B050" w:sz="8" w:space="0"/>
            </w:tcBorders>
            <w:shd w:val="clear" w:color="000000" w:fill="CCFFCC"/>
          </w:tcPr>
          <w:p>
            <w:pPr>
              <w:jc w:val="right"/>
              <w:rPr>
                <w:rFonts w:ascii="Times New Roman" w:hAnsi="Times New Roman" w:cs="Times New Roman"/>
                <w:sz w:val="24"/>
                <w:szCs w:val="24"/>
              </w:rPr>
            </w:pPr>
            <w:r>
              <w:rPr>
                <w:rFonts w:ascii="Times New Roman" w:hAnsi="Times New Roman" w:cs="Times New Roman"/>
                <w:sz w:val="24"/>
                <w:szCs w:val="24"/>
              </w:rPr>
              <w:t>44.7</w:t>
            </w:r>
          </w:p>
        </w:tc>
        <w:tc>
          <w:tcPr>
            <w:tcW w:w="994" w:type="dxa"/>
            <w:tcBorders>
              <w:top w:val="nil"/>
              <w:left w:val="nil"/>
              <w:bottom w:val="single" w:color="00B050" w:sz="8" w:space="0"/>
              <w:right w:val="single" w:color="00B050" w:sz="8" w:space="0"/>
            </w:tcBorders>
            <w:shd w:val="clear" w:color="000000" w:fill="CCFFCC"/>
          </w:tcPr>
          <w:p>
            <w:pPr>
              <w:jc w:val="right"/>
              <w:rPr>
                <w:rFonts w:ascii="Times New Roman" w:hAnsi="Times New Roman" w:cs="Times New Roman"/>
                <w:sz w:val="24"/>
                <w:szCs w:val="24"/>
              </w:rPr>
            </w:pPr>
            <w:r>
              <w:rPr>
                <w:rFonts w:ascii="Times New Roman" w:hAnsi="Times New Roman" w:cs="Times New Roman"/>
                <w:sz w:val="24"/>
                <w:szCs w:val="24"/>
              </w:rPr>
              <w:t>11866</w:t>
            </w:r>
          </w:p>
        </w:tc>
        <w:tc>
          <w:tcPr>
            <w:tcW w:w="1557" w:type="dxa"/>
            <w:tcBorders>
              <w:top w:val="nil"/>
              <w:left w:val="nil"/>
              <w:bottom w:val="single" w:color="00B050" w:sz="8" w:space="0"/>
            </w:tcBorders>
            <w:shd w:val="clear" w:color="000000" w:fill="CCFFCC"/>
          </w:tcPr>
          <w:p>
            <w:pPr>
              <w:jc w:val="right"/>
              <w:rPr>
                <w:rFonts w:ascii="Times New Roman" w:hAnsi="Times New Roman" w:cs="Times New Roman"/>
                <w:sz w:val="24"/>
                <w:szCs w:val="24"/>
              </w:rPr>
            </w:pPr>
            <w:r>
              <w:rPr>
                <w:rFonts w:ascii="Times New Roman" w:hAnsi="Times New Roman" w:cs="Times New Roman"/>
                <w:sz w:val="24"/>
                <w:szCs w:val="24"/>
              </w:rPr>
              <w:t>8258</w:t>
            </w:r>
          </w:p>
        </w:tc>
      </w:tr>
      <w:tr>
        <w:tblPrEx>
          <w:tblLayout w:type="fixed"/>
          <w:tblCellMar>
            <w:top w:w="0" w:type="dxa"/>
            <w:left w:w="108" w:type="dxa"/>
            <w:bottom w:w="0" w:type="dxa"/>
            <w:right w:w="108" w:type="dxa"/>
          </w:tblCellMar>
        </w:tblPrEx>
        <w:trPr>
          <w:trHeight w:val="315" w:hRule="atLeast"/>
        </w:trPr>
        <w:tc>
          <w:tcPr>
            <w:tcW w:w="3684" w:type="dxa"/>
            <w:gridSpan w:val="2"/>
            <w:tcBorders>
              <w:top w:val="single" w:color="00B050" w:sz="8" w:space="0"/>
              <w:left w:val="nil"/>
              <w:bottom w:val="single" w:color="00B050" w:sz="8" w:space="0"/>
              <w:right w:val="single" w:color="00B050" w:sz="8" w:space="0"/>
            </w:tcBorders>
            <w:vAlign w:val="bottom"/>
          </w:tcPr>
          <w:p>
            <w:pPr>
              <w:widowControl/>
              <w:ind w:firstLine="720" w:firstLineChars="300"/>
              <w:jc w:val="left"/>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Domestic Equity Financing by Non-financial Enterprises </w:t>
            </w:r>
          </w:p>
        </w:tc>
        <w:tc>
          <w:tcPr>
            <w:tcW w:w="1134" w:type="dxa"/>
            <w:tcBorders>
              <w:top w:val="nil"/>
              <w:left w:val="nil"/>
              <w:bottom w:val="single" w:color="00B050" w:sz="8" w:space="0"/>
              <w:right w:val="single" w:color="00B050" w:sz="8" w:space="0"/>
            </w:tcBorders>
          </w:tcPr>
          <w:p>
            <w:pPr>
              <w:jc w:val="right"/>
              <w:rPr>
                <w:rFonts w:ascii="Times New Roman" w:hAnsi="Times New Roman" w:cs="Times New Roman"/>
                <w:sz w:val="24"/>
                <w:szCs w:val="24"/>
              </w:rPr>
            </w:pPr>
            <w:r>
              <w:rPr>
                <w:rFonts w:ascii="Times New Roman" w:hAnsi="Times New Roman" w:cs="Times New Roman"/>
                <w:sz w:val="24"/>
                <w:szCs w:val="24"/>
              </w:rPr>
              <w:t xml:space="preserve">7.13 </w:t>
            </w:r>
          </w:p>
        </w:tc>
        <w:tc>
          <w:tcPr>
            <w:tcW w:w="1136" w:type="dxa"/>
            <w:tcBorders>
              <w:top w:val="nil"/>
              <w:left w:val="nil"/>
              <w:bottom w:val="single" w:color="00B050" w:sz="8" w:space="0"/>
              <w:right w:val="single" w:color="00B050" w:sz="8" w:space="0"/>
            </w:tcBorders>
          </w:tcPr>
          <w:p>
            <w:pPr>
              <w:jc w:val="right"/>
              <w:rPr>
                <w:rFonts w:ascii="Times New Roman" w:hAnsi="Times New Roman" w:cs="Times New Roman"/>
                <w:sz w:val="24"/>
                <w:szCs w:val="24"/>
              </w:rPr>
            </w:pPr>
            <w:r>
              <w:rPr>
                <w:rFonts w:ascii="Times New Roman" w:hAnsi="Times New Roman" w:cs="Times New Roman"/>
                <w:sz w:val="24"/>
                <w:szCs w:val="24"/>
              </w:rPr>
              <w:t>3.3</w:t>
            </w:r>
          </w:p>
        </w:tc>
        <w:tc>
          <w:tcPr>
            <w:tcW w:w="994" w:type="dxa"/>
            <w:tcBorders>
              <w:top w:val="nil"/>
              <w:left w:val="nil"/>
              <w:bottom w:val="single" w:color="00B050" w:sz="8" w:space="0"/>
              <w:right w:val="single" w:color="00B050" w:sz="8" w:space="0"/>
            </w:tcBorders>
          </w:tcPr>
          <w:p>
            <w:pPr>
              <w:jc w:val="right"/>
              <w:rPr>
                <w:rFonts w:ascii="Times New Roman" w:hAnsi="Times New Roman" w:cs="Times New Roman"/>
                <w:sz w:val="24"/>
                <w:szCs w:val="24"/>
              </w:rPr>
            </w:pPr>
            <w:r>
              <w:rPr>
                <w:rFonts w:ascii="Times New Roman" w:hAnsi="Times New Roman" w:cs="Times New Roman"/>
                <w:sz w:val="24"/>
                <w:szCs w:val="24"/>
              </w:rPr>
              <w:t>1205</w:t>
            </w:r>
          </w:p>
        </w:tc>
        <w:tc>
          <w:tcPr>
            <w:tcW w:w="1557" w:type="dxa"/>
            <w:tcBorders>
              <w:top w:val="nil"/>
              <w:left w:val="nil"/>
              <w:bottom w:val="single" w:color="00B050" w:sz="8" w:space="0"/>
            </w:tcBorders>
          </w:tcPr>
          <w:p>
            <w:pPr>
              <w:jc w:val="right"/>
              <w:rPr>
                <w:rFonts w:ascii="Times New Roman" w:hAnsi="Times New Roman" w:cs="Times New Roman"/>
                <w:sz w:val="24"/>
                <w:szCs w:val="24"/>
              </w:rPr>
            </w:pPr>
            <w:r>
              <w:rPr>
                <w:rFonts w:ascii="Times New Roman" w:hAnsi="Times New Roman" w:cs="Times New Roman"/>
                <w:sz w:val="24"/>
                <w:szCs w:val="24"/>
              </w:rPr>
              <w:t>-1306</w:t>
            </w:r>
          </w:p>
        </w:tc>
      </w:tr>
      <w:tr>
        <w:tblPrEx>
          <w:tblLayout w:type="fixed"/>
          <w:tblCellMar>
            <w:top w:w="0" w:type="dxa"/>
            <w:left w:w="108" w:type="dxa"/>
            <w:bottom w:w="0" w:type="dxa"/>
            <w:right w:w="108" w:type="dxa"/>
          </w:tblCellMar>
        </w:tblPrEx>
        <w:trPr>
          <w:trHeight w:val="315" w:hRule="atLeast"/>
        </w:trPr>
        <w:tc>
          <w:tcPr>
            <w:tcW w:w="3684" w:type="dxa"/>
            <w:gridSpan w:val="2"/>
            <w:tcBorders>
              <w:top w:val="single" w:color="00B050" w:sz="8" w:space="0"/>
              <w:left w:val="nil"/>
              <w:bottom w:val="single" w:color="00B050" w:sz="8" w:space="0"/>
              <w:right w:val="single" w:color="00B050" w:sz="8" w:space="0"/>
            </w:tcBorders>
            <w:shd w:val="clear" w:color="000000" w:fill="CCFFCC"/>
            <w:vAlign w:val="bottom"/>
          </w:tcPr>
          <w:p>
            <w:pPr>
              <w:widowControl/>
              <w:ind w:firstLine="720" w:firstLineChars="300"/>
              <w:jc w:val="left"/>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Other Financing</w:t>
            </w:r>
          </w:p>
        </w:tc>
        <w:tc>
          <w:tcPr>
            <w:tcW w:w="1134" w:type="dxa"/>
            <w:tcBorders>
              <w:top w:val="nil"/>
              <w:left w:val="nil"/>
              <w:bottom w:val="single" w:color="00B050" w:sz="8" w:space="0"/>
              <w:right w:val="single" w:color="00B050" w:sz="8" w:space="0"/>
            </w:tcBorders>
            <w:shd w:val="clear" w:color="000000" w:fill="CCFFCC"/>
          </w:tcPr>
          <w:p>
            <w:pPr>
              <w:jc w:val="right"/>
              <w:rPr>
                <w:rFonts w:ascii="Times New Roman" w:hAnsi="Times New Roman" w:cs="Times New Roman"/>
                <w:sz w:val="24"/>
                <w:szCs w:val="24"/>
              </w:rPr>
            </w:pPr>
            <w:r>
              <w:rPr>
                <w:rFonts w:ascii="Times New Roman" w:hAnsi="Times New Roman" w:cs="Times New Roman"/>
                <w:sz w:val="24"/>
                <w:szCs w:val="24"/>
              </w:rPr>
              <w:t xml:space="preserve">5.74 </w:t>
            </w:r>
          </w:p>
        </w:tc>
        <w:tc>
          <w:tcPr>
            <w:tcW w:w="1136" w:type="dxa"/>
            <w:tcBorders>
              <w:top w:val="nil"/>
              <w:left w:val="nil"/>
              <w:bottom w:val="single" w:color="00B050" w:sz="8" w:space="0"/>
              <w:right w:val="single" w:color="00B050" w:sz="8" w:space="0"/>
            </w:tcBorders>
            <w:shd w:val="clear" w:color="000000" w:fill="CCFFCC"/>
          </w:tcPr>
          <w:p>
            <w:pPr>
              <w:jc w:val="right"/>
              <w:rPr>
                <w:rFonts w:ascii="Times New Roman" w:hAnsi="Times New Roman" w:cs="Times New Roman"/>
                <w:sz w:val="24"/>
                <w:szCs w:val="24"/>
              </w:rPr>
            </w:pPr>
            <w:r>
              <w:rPr>
                <w:rFonts w:ascii="Times New Roman" w:hAnsi="Times New Roman" w:cs="Times New Roman"/>
                <w:sz w:val="24"/>
                <w:szCs w:val="24"/>
              </w:rPr>
              <w:t>35.1</w:t>
            </w:r>
          </w:p>
        </w:tc>
        <w:tc>
          <w:tcPr>
            <w:tcW w:w="994" w:type="dxa"/>
            <w:tcBorders>
              <w:top w:val="nil"/>
              <w:left w:val="nil"/>
              <w:bottom w:val="single" w:color="00B050" w:sz="8" w:space="0"/>
              <w:right w:val="single" w:color="00B050" w:sz="8" w:space="0"/>
            </w:tcBorders>
            <w:shd w:val="clear" w:color="000000" w:fill="CCFFCC"/>
          </w:tcPr>
          <w:p>
            <w:pPr>
              <w:jc w:val="right"/>
              <w:rPr>
                <w:rFonts w:ascii="Times New Roman" w:hAnsi="Times New Roman" w:cs="Times New Roman"/>
                <w:sz w:val="24"/>
                <w:szCs w:val="24"/>
              </w:rPr>
            </w:pPr>
            <w:r>
              <w:rPr>
                <w:rFonts w:ascii="Times New Roman" w:hAnsi="Times New Roman" w:cs="Times New Roman"/>
                <w:sz w:val="24"/>
                <w:szCs w:val="24"/>
              </w:rPr>
              <w:t>4892</w:t>
            </w:r>
          </w:p>
        </w:tc>
        <w:tc>
          <w:tcPr>
            <w:tcW w:w="1557" w:type="dxa"/>
            <w:tcBorders>
              <w:top w:val="nil"/>
              <w:left w:val="nil"/>
              <w:bottom w:val="single" w:color="00B050" w:sz="8" w:space="0"/>
            </w:tcBorders>
            <w:shd w:val="clear" w:color="000000" w:fill="CCFFCC"/>
          </w:tcPr>
          <w:p>
            <w:pPr>
              <w:jc w:val="right"/>
              <w:rPr>
                <w:rFonts w:ascii="Times New Roman" w:hAnsi="Times New Roman" w:cs="Times New Roman"/>
                <w:sz w:val="24"/>
                <w:szCs w:val="24"/>
              </w:rPr>
            </w:pPr>
            <w:r>
              <w:rPr>
                <w:rFonts w:ascii="Times New Roman" w:hAnsi="Times New Roman" w:cs="Times New Roman"/>
                <w:sz w:val="24"/>
                <w:szCs w:val="24"/>
              </w:rPr>
              <w:t>-993</w:t>
            </w:r>
          </w:p>
        </w:tc>
      </w:tr>
      <w:tr>
        <w:tblPrEx>
          <w:tblLayout w:type="fixed"/>
          <w:tblCellMar>
            <w:top w:w="0" w:type="dxa"/>
            <w:left w:w="108" w:type="dxa"/>
            <w:bottom w:w="0" w:type="dxa"/>
            <w:right w:w="108" w:type="dxa"/>
          </w:tblCellMar>
        </w:tblPrEx>
        <w:trPr>
          <w:trHeight w:val="315" w:hRule="atLeast"/>
        </w:trPr>
        <w:tc>
          <w:tcPr>
            <w:tcW w:w="3684" w:type="dxa"/>
            <w:gridSpan w:val="2"/>
            <w:tcBorders>
              <w:top w:val="single" w:color="00B050" w:sz="8" w:space="0"/>
              <w:left w:val="nil"/>
              <w:bottom w:val="single" w:color="00B050" w:sz="8" w:space="0"/>
              <w:right w:val="single" w:color="00B050" w:sz="8" w:space="0"/>
            </w:tcBorders>
            <w:vAlign w:val="bottom"/>
          </w:tcPr>
          <w:p>
            <w:pPr>
              <w:widowControl/>
              <w:ind w:firstLine="720" w:firstLineChars="300"/>
              <w:jc w:val="left"/>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Of Which：Asset-backed Securities by Deposit-taking Financial Institutions</w:t>
            </w:r>
          </w:p>
        </w:tc>
        <w:tc>
          <w:tcPr>
            <w:tcW w:w="1134" w:type="dxa"/>
            <w:tcBorders>
              <w:top w:val="nil"/>
              <w:left w:val="nil"/>
              <w:bottom w:val="single" w:color="00B050" w:sz="8" w:space="0"/>
              <w:right w:val="single" w:color="00B050" w:sz="8" w:space="0"/>
            </w:tcBorders>
          </w:tcPr>
          <w:p>
            <w:pPr>
              <w:jc w:val="right"/>
              <w:rPr>
                <w:rFonts w:ascii="Times New Roman" w:hAnsi="Times New Roman" w:cs="Times New Roman"/>
                <w:sz w:val="24"/>
                <w:szCs w:val="24"/>
              </w:rPr>
            </w:pPr>
            <w:r>
              <w:rPr>
                <w:rFonts w:ascii="Times New Roman" w:hAnsi="Times New Roman" w:cs="Times New Roman"/>
                <w:sz w:val="24"/>
                <w:szCs w:val="24"/>
              </w:rPr>
              <w:t xml:space="preserve">1.38 </w:t>
            </w:r>
          </w:p>
        </w:tc>
        <w:tc>
          <w:tcPr>
            <w:tcW w:w="1136" w:type="dxa"/>
            <w:tcBorders>
              <w:top w:val="nil"/>
              <w:left w:val="nil"/>
              <w:bottom w:val="single" w:color="00B050" w:sz="8" w:space="0"/>
              <w:right w:val="single" w:color="00B050" w:sz="8" w:space="0"/>
            </w:tcBorders>
          </w:tcPr>
          <w:p>
            <w:pPr>
              <w:jc w:val="right"/>
              <w:rPr>
                <w:rFonts w:ascii="Times New Roman" w:hAnsi="Times New Roman" w:cs="Times New Roman"/>
                <w:sz w:val="24"/>
                <w:szCs w:val="24"/>
              </w:rPr>
            </w:pPr>
            <w:r>
              <w:rPr>
                <w:rFonts w:ascii="Times New Roman" w:hAnsi="Times New Roman" w:cs="Times New Roman"/>
                <w:sz w:val="24"/>
                <w:szCs w:val="24"/>
              </w:rPr>
              <w:t>63.8</w:t>
            </w:r>
          </w:p>
        </w:tc>
        <w:tc>
          <w:tcPr>
            <w:tcW w:w="994" w:type="dxa"/>
            <w:tcBorders>
              <w:top w:val="nil"/>
              <w:left w:val="nil"/>
              <w:bottom w:val="single" w:color="00B050" w:sz="8" w:space="0"/>
              <w:right w:val="single" w:color="00B050" w:sz="8" w:space="0"/>
            </w:tcBorders>
          </w:tcPr>
          <w:p>
            <w:pPr>
              <w:jc w:val="right"/>
              <w:rPr>
                <w:rFonts w:ascii="Times New Roman" w:hAnsi="Times New Roman" w:cs="Times New Roman"/>
                <w:sz w:val="24"/>
                <w:szCs w:val="24"/>
              </w:rPr>
            </w:pPr>
            <w:r>
              <w:rPr>
                <w:rFonts w:ascii="Times New Roman" w:hAnsi="Times New Roman" w:cs="Times New Roman"/>
                <w:sz w:val="24"/>
                <w:szCs w:val="24"/>
              </w:rPr>
              <w:t>1014</w:t>
            </w:r>
          </w:p>
        </w:tc>
        <w:tc>
          <w:tcPr>
            <w:tcW w:w="1557" w:type="dxa"/>
            <w:tcBorders>
              <w:top w:val="nil"/>
              <w:left w:val="nil"/>
              <w:bottom w:val="single" w:color="00B050" w:sz="8" w:space="0"/>
            </w:tcBorders>
          </w:tcPr>
          <w:p>
            <w:pPr>
              <w:jc w:val="right"/>
              <w:rPr>
                <w:rFonts w:ascii="Times New Roman" w:hAnsi="Times New Roman" w:cs="Times New Roman"/>
                <w:sz w:val="24"/>
                <w:szCs w:val="24"/>
              </w:rPr>
            </w:pPr>
            <w:r>
              <w:rPr>
                <w:rFonts w:ascii="Times New Roman" w:hAnsi="Times New Roman" w:cs="Times New Roman"/>
                <w:sz w:val="24"/>
                <w:szCs w:val="24"/>
              </w:rPr>
              <w:t>-559</w:t>
            </w:r>
          </w:p>
        </w:tc>
      </w:tr>
      <w:tr>
        <w:tblPrEx>
          <w:tblLayout w:type="fixed"/>
          <w:tblCellMar>
            <w:top w:w="0" w:type="dxa"/>
            <w:left w:w="108" w:type="dxa"/>
            <w:bottom w:w="0" w:type="dxa"/>
            <w:right w:w="108" w:type="dxa"/>
          </w:tblCellMar>
        </w:tblPrEx>
        <w:trPr>
          <w:trHeight w:val="315" w:hRule="atLeast"/>
        </w:trPr>
        <w:tc>
          <w:tcPr>
            <w:tcW w:w="3684" w:type="dxa"/>
            <w:gridSpan w:val="2"/>
            <w:tcBorders>
              <w:top w:val="single" w:color="00B050" w:sz="8" w:space="0"/>
              <w:left w:val="nil"/>
              <w:bottom w:val="single" w:color="00B050" w:sz="8" w:space="0"/>
              <w:right w:val="single" w:color="00B050" w:sz="8" w:space="0"/>
            </w:tcBorders>
            <w:shd w:val="clear" w:color="000000" w:fill="FFFFFF"/>
            <w:vAlign w:val="bottom"/>
          </w:tcPr>
          <w:p>
            <w:pPr>
              <w:widowControl/>
              <w:ind w:firstLine="1440" w:firstLineChars="600"/>
              <w:jc w:val="left"/>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Loan Write-Offs</w:t>
            </w:r>
          </w:p>
        </w:tc>
        <w:tc>
          <w:tcPr>
            <w:tcW w:w="1134" w:type="dxa"/>
            <w:tcBorders>
              <w:top w:val="nil"/>
              <w:left w:val="nil"/>
              <w:bottom w:val="single" w:color="00B050" w:sz="8" w:space="0"/>
              <w:right w:val="single" w:color="00B050" w:sz="8" w:space="0"/>
            </w:tcBorders>
            <w:shd w:val="clear" w:color="000000" w:fill="FFFFFF"/>
          </w:tcPr>
          <w:p>
            <w:pPr>
              <w:jc w:val="right"/>
              <w:rPr>
                <w:rFonts w:ascii="Times New Roman" w:hAnsi="Times New Roman" w:cs="Times New Roman"/>
                <w:sz w:val="24"/>
                <w:szCs w:val="24"/>
              </w:rPr>
            </w:pPr>
            <w:r>
              <w:rPr>
                <w:rFonts w:ascii="Times New Roman" w:hAnsi="Times New Roman" w:cs="Times New Roman"/>
                <w:sz w:val="24"/>
                <w:szCs w:val="24"/>
              </w:rPr>
              <w:t xml:space="preserve">3.43 </w:t>
            </w:r>
          </w:p>
        </w:tc>
        <w:tc>
          <w:tcPr>
            <w:tcW w:w="1136" w:type="dxa"/>
            <w:tcBorders>
              <w:top w:val="nil"/>
              <w:left w:val="nil"/>
              <w:bottom w:val="single" w:color="00B050" w:sz="8" w:space="0"/>
              <w:right w:val="single" w:color="00B050" w:sz="8" w:space="0"/>
            </w:tcBorders>
            <w:shd w:val="clear" w:color="000000" w:fill="FFFFFF"/>
          </w:tcPr>
          <w:p>
            <w:pPr>
              <w:jc w:val="right"/>
              <w:rPr>
                <w:rFonts w:ascii="Times New Roman" w:hAnsi="Times New Roman" w:cs="Times New Roman"/>
                <w:sz w:val="24"/>
                <w:szCs w:val="24"/>
              </w:rPr>
            </w:pPr>
            <w:r>
              <w:rPr>
                <w:rFonts w:ascii="Times New Roman" w:hAnsi="Times New Roman" w:cs="Times New Roman"/>
                <w:sz w:val="24"/>
                <w:szCs w:val="24"/>
              </w:rPr>
              <w:t>41.5</w:t>
            </w:r>
          </w:p>
        </w:tc>
        <w:tc>
          <w:tcPr>
            <w:tcW w:w="994" w:type="dxa"/>
            <w:tcBorders>
              <w:top w:val="nil"/>
              <w:left w:val="nil"/>
              <w:bottom w:val="single" w:color="00B050" w:sz="8" w:space="0"/>
              <w:right w:val="single" w:color="00B050" w:sz="8" w:space="0"/>
            </w:tcBorders>
            <w:shd w:val="clear" w:color="000000" w:fill="FFFFFF"/>
          </w:tcPr>
          <w:p>
            <w:pPr>
              <w:jc w:val="right"/>
              <w:rPr>
                <w:rFonts w:ascii="Times New Roman" w:hAnsi="Times New Roman" w:cs="Times New Roman"/>
                <w:sz w:val="24"/>
                <w:szCs w:val="24"/>
              </w:rPr>
            </w:pPr>
            <w:r>
              <w:rPr>
                <w:rFonts w:ascii="Times New Roman" w:hAnsi="Times New Roman" w:cs="Times New Roman"/>
                <w:sz w:val="24"/>
                <w:szCs w:val="24"/>
              </w:rPr>
              <w:t>4183</w:t>
            </w:r>
          </w:p>
        </w:tc>
        <w:tc>
          <w:tcPr>
            <w:tcW w:w="1557" w:type="dxa"/>
            <w:tcBorders>
              <w:top w:val="nil"/>
              <w:left w:val="nil"/>
              <w:bottom w:val="single" w:color="00B050" w:sz="8" w:space="0"/>
            </w:tcBorders>
            <w:shd w:val="clear" w:color="000000" w:fill="FFFFFF"/>
          </w:tcPr>
          <w:p>
            <w:pPr>
              <w:jc w:val="right"/>
              <w:rPr>
                <w:rFonts w:ascii="Times New Roman" w:hAnsi="Times New Roman" w:cs="Times New Roman"/>
                <w:sz w:val="24"/>
                <w:szCs w:val="24"/>
              </w:rPr>
            </w:pPr>
            <w:r>
              <w:rPr>
                <w:rFonts w:ascii="Times New Roman" w:hAnsi="Times New Roman" w:cs="Times New Roman"/>
                <w:sz w:val="24"/>
                <w:szCs w:val="24"/>
              </w:rPr>
              <w:t>-107</w:t>
            </w:r>
          </w:p>
        </w:tc>
      </w:tr>
    </w:tbl>
    <w:p>
      <w:pPr>
        <w:widowControl/>
        <w:autoSpaceDE w:val="0"/>
        <w:autoSpaceDN w:val="0"/>
        <w:adjustRightInd w:val="0"/>
        <w:rPr>
          <w:rFonts w:ascii="Times New Roman" w:hAnsi="Times New Roman" w:eastAsia="KaiTi_GB2312" w:cs="Times New Roman"/>
          <w:kern w:val="0"/>
          <w:sz w:val="24"/>
          <w:szCs w:val="24"/>
        </w:rPr>
      </w:pPr>
      <w:r>
        <w:rPr>
          <w:rFonts w:ascii="Times New Roman" w:hAnsi="Times New Roman" w:eastAsia="KaiTi_GB2312" w:cs="Times New Roman"/>
          <w:kern w:val="0"/>
          <w:sz w:val="24"/>
          <w:szCs w:val="24"/>
        </w:rPr>
        <w:t xml:space="preserve">Notes: 1. Outstanding aggregate financing aggregates refer to the balance of financing provided by the financial system to the real economy at the end of a certain period of time. The increment in the aggregate financing refers to the volume of financing provided by the financial system to the real economy during a certain period of time. </w:t>
      </w:r>
    </w:p>
    <w:p>
      <w:pPr>
        <w:widowControl/>
        <w:autoSpaceDE w:val="0"/>
        <w:autoSpaceDN w:val="0"/>
        <w:adjustRightInd w:val="0"/>
        <w:rPr>
          <w:rFonts w:ascii="Times New Roman" w:hAnsi="Times New Roman" w:eastAsia="KaiTi_GB2312" w:cs="Times New Roman"/>
          <w:kern w:val="0"/>
          <w:sz w:val="24"/>
          <w:szCs w:val="24"/>
        </w:rPr>
      </w:pPr>
      <w:r>
        <w:rPr>
          <w:rFonts w:ascii="Times New Roman" w:hAnsi="Times New Roman" w:eastAsia="KaiTi_GB2312" w:cs="Times New Roman"/>
          <w:kern w:val="0"/>
          <w:sz w:val="24"/>
          <w:szCs w:val="24"/>
        </w:rPr>
        <w:t xml:space="preserve">2. Since July 2018, the PBC has improved its statistical method for aggregate financing aggregates and has included “asset-backed securities by deposit-taking financial institutions” and “loan write-offs” in the aggregate financing aggregates, under the category of “other financing.” Beginning in September 2018, the PBC began to include “specific bonds issued by local governments” in the statistics of the aggregate financing aggregates and data on specific bonds issued by local governments are calculated based on the registration date of the claim and the debt. </w:t>
      </w:r>
    </w:p>
    <w:p>
      <w:pPr>
        <w:widowControl/>
        <w:autoSpaceDE w:val="0"/>
        <w:autoSpaceDN w:val="0"/>
        <w:adjustRightInd w:val="0"/>
        <w:rPr>
          <w:rFonts w:ascii="Times New Roman" w:hAnsi="Times New Roman" w:eastAsia="KaiTi_GB2312" w:cs="Times New Roman"/>
          <w:kern w:val="0"/>
          <w:sz w:val="24"/>
          <w:szCs w:val="24"/>
        </w:rPr>
      </w:pPr>
      <w:r>
        <w:rPr>
          <w:rFonts w:ascii="Times New Roman" w:hAnsi="Times New Roman" w:eastAsia="KaiTi_GB2312" w:cs="Times New Roman"/>
          <w:kern w:val="0"/>
          <w:sz w:val="24"/>
          <w:szCs w:val="24"/>
        </w:rPr>
        <w:t>3. Year-on-year data in the table are calculated in comparable terms.</w:t>
      </w:r>
    </w:p>
    <w:p>
      <w:pPr>
        <w:widowControl/>
        <w:autoSpaceDE w:val="0"/>
        <w:autoSpaceDN w:val="0"/>
        <w:adjustRightInd w:val="0"/>
        <w:rPr>
          <w:rFonts w:ascii="Times New Roman" w:hAnsi="Times New Roman" w:eastAsia="KaiTi_GB2312" w:cs="Times New Roman"/>
          <w:kern w:val="0"/>
          <w:sz w:val="24"/>
          <w:szCs w:val="24"/>
        </w:rPr>
      </w:pPr>
      <w:r>
        <w:rPr>
          <w:rFonts w:ascii="Times New Roman" w:hAnsi="Times New Roman" w:eastAsia="KaiTi_GB2312" w:cs="Times New Roman"/>
          <w:kern w:val="0"/>
          <w:sz w:val="24"/>
          <w:szCs w:val="24"/>
        </w:rPr>
        <w:t>Sources: People’s Bank of China, China Banking and Insurance Regulatory Commission, China Securities Regulatory Commission, China Central Depository &amp; Clearing Co., Ltd., National Association of Financial Market Institutional Investors, and so forth.</w:t>
      </w:r>
    </w:p>
    <w:p>
      <w:pPr>
        <w:widowControl/>
        <w:ind w:firstLine="480"/>
        <w:rPr>
          <w:rFonts w:ascii="Times New Roman" w:hAnsi="Times New Roman" w:eastAsia="KaiTi_GB2312" w:cs="Times New Roman"/>
          <w:kern w:val="0"/>
          <w:sz w:val="24"/>
          <w:szCs w:val="24"/>
        </w:rPr>
      </w:pPr>
    </w:p>
    <w:bookmarkEnd w:id="40"/>
    <w:bookmarkEnd w:id="41"/>
    <w:p>
      <w:pPr>
        <w:pStyle w:val="3"/>
        <w:ind w:firstLine="0" w:firstLineChars="0"/>
        <w:rPr>
          <w:rFonts w:ascii="Times New Roman" w:hAnsi="Times New Roman" w:eastAsia="黑体"/>
          <w:kern w:val="0"/>
        </w:rPr>
      </w:pPr>
      <w:bookmarkStart w:id="42" w:name="_Toc517190504"/>
      <w:bookmarkStart w:id="43" w:name="_Toc505346986"/>
      <w:bookmarkStart w:id="44" w:name="_Toc492904373"/>
      <w:bookmarkStart w:id="45" w:name="_Toc3909016"/>
      <w:bookmarkStart w:id="46" w:name="_Toc17798257"/>
      <w:bookmarkStart w:id="47" w:name="_Toc17807914"/>
      <w:bookmarkStart w:id="48" w:name="_Toc17808026"/>
      <w:bookmarkStart w:id="49" w:name="_Toc17808066"/>
      <w:r>
        <w:rPr>
          <w:rFonts w:ascii="Times New Roman" w:hAnsi="Times New Roman" w:eastAsia="黑体"/>
          <w:kern w:val="0"/>
        </w:rPr>
        <w:t>IV. The RMB exchange rate was basically stable, with generally balanced cross-border</w:t>
      </w:r>
      <w:bookmarkEnd w:id="42"/>
      <w:bookmarkEnd w:id="43"/>
      <w:bookmarkEnd w:id="44"/>
      <w:bookmarkEnd w:id="45"/>
      <w:r>
        <w:rPr>
          <w:rFonts w:ascii="Times New Roman" w:hAnsi="Times New Roman" w:eastAsia="黑体"/>
          <w:kern w:val="0"/>
        </w:rPr>
        <w:t xml:space="preserve"> capital flows</w:t>
      </w:r>
      <w:bookmarkEnd w:id="46"/>
      <w:bookmarkEnd w:id="47"/>
      <w:bookmarkEnd w:id="48"/>
      <w:bookmarkEnd w:id="49"/>
      <w:r>
        <w:rPr>
          <w:rFonts w:ascii="Times New Roman" w:hAnsi="Times New Roman" w:eastAsia="黑体"/>
          <w:kern w:val="0"/>
        </w:rPr>
        <w:t xml:space="preserve"> </w:t>
      </w:r>
    </w:p>
    <w:p>
      <w:pPr>
        <w:rPr>
          <w:rFonts w:ascii="Times New Roman" w:hAnsi="Times New Roman" w:eastAsia="仿宋_GB2312" w:cs="Times New Roman"/>
          <w:sz w:val="24"/>
          <w:szCs w:val="24"/>
        </w:rPr>
      </w:pPr>
      <w:r>
        <w:rPr>
          <w:rFonts w:ascii="Times New Roman" w:hAnsi="Times New Roman" w:eastAsia="仿宋_GB2312" w:cs="Times New Roman"/>
          <w:b/>
          <w:sz w:val="24"/>
          <w:szCs w:val="24"/>
        </w:rPr>
        <w:t xml:space="preserve">Cross-border capital flows and foreign-exchange supply </w:t>
      </w:r>
      <w:r>
        <w:rPr>
          <w:rFonts w:hint="eastAsia" w:ascii="Times New Roman" w:hAnsi="Times New Roman" w:eastAsia="仿宋_GB2312" w:cs="Times New Roman"/>
          <w:b/>
          <w:sz w:val="24"/>
          <w:szCs w:val="24"/>
        </w:rPr>
        <w:t>and</w:t>
      </w:r>
      <w:r>
        <w:rPr>
          <w:rFonts w:ascii="Times New Roman" w:hAnsi="Times New Roman" w:eastAsia="仿宋_GB2312" w:cs="Times New Roman"/>
          <w:b/>
          <w:sz w:val="24"/>
          <w:szCs w:val="24"/>
        </w:rPr>
        <w:t xml:space="preserve"> demand were basically </w:t>
      </w:r>
      <w:r>
        <w:rPr>
          <w:rFonts w:hint="eastAsia" w:ascii="Times New Roman" w:hAnsi="Times New Roman" w:eastAsia="仿宋_GB2312" w:cs="Times New Roman"/>
          <w:b/>
          <w:sz w:val="24"/>
          <w:szCs w:val="24"/>
        </w:rPr>
        <w:t>in</w:t>
      </w:r>
      <w:r>
        <w:rPr>
          <w:rFonts w:ascii="Times New Roman" w:hAnsi="Times New Roman" w:eastAsia="仿宋_GB2312" w:cs="Times New Roman"/>
          <w:b/>
          <w:sz w:val="24"/>
          <w:szCs w:val="24"/>
        </w:rPr>
        <w:t xml:space="preserve"> equilibrium; the RMB exchange rate against a basket of currencies remained basically stable; and RMB exchange-rate expectations were well-anchored.</w:t>
      </w:r>
      <w:r>
        <w:rPr>
          <w:rFonts w:ascii="Times New Roman" w:hAnsi="Times New Roman" w:eastAsia="仿宋_GB2312" w:cs="Times New Roman"/>
          <w:sz w:val="24"/>
          <w:szCs w:val="24"/>
        </w:rPr>
        <w:t xml:space="preserve"> Since the beginning of 2019, based on market supply and demand and in reference to the fluctuations in a basket of currencies, the RMB exchange rate moved in both ways and remained basically stable at a reasonably equilibrium level. During the first four months, </w:t>
      </w:r>
      <w:r>
        <w:rPr>
          <w:rFonts w:hint="eastAsia" w:ascii="Times New Roman" w:hAnsi="Times New Roman" w:eastAsia="仿宋_GB2312" w:cs="Times New Roman"/>
          <w:sz w:val="24"/>
          <w:szCs w:val="24"/>
        </w:rPr>
        <w:t>due to the stable start of</w:t>
      </w:r>
      <w:r>
        <w:rPr>
          <w:rFonts w:ascii="Times New Roman" w:hAnsi="Times New Roman" w:eastAsia="仿宋_GB2312" w:cs="Times New Roman"/>
          <w:sz w:val="24"/>
          <w:szCs w:val="24"/>
        </w:rPr>
        <w:t xml:space="preserve"> the Chinese economy </w:t>
      </w:r>
      <w:r>
        <w:rPr>
          <w:rFonts w:hint="eastAsia" w:ascii="Times New Roman" w:hAnsi="Times New Roman" w:eastAsia="仿宋_GB2312" w:cs="Times New Roman"/>
          <w:sz w:val="24"/>
          <w:szCs w:val="24"/>
        </w:rPr>
        <w:t xml:space="preserve">at </w:t>
      </w:r>
      <w:r>
        <w:rPr>
          <w:rFonts w:ascii="Times New Roman" w:hAnsi="Times New Roman" w:eastAsia="仿宋_GB2312" w:cs="Times New Roman"/>
          <w:sz w:val="24"/>
          <w:szCs w:val="24"/>
        </w:rPr>
        <w:t>the beginning</w:t>
      </w:r>
      <w:r>
        <w:rPr>
          <w:rFonts w:hint="eastAsia" w:ascii="Times New Roman" w:hAnsi="Times New Roman" w:eastAsia="仿宋_GB2312" w:cs="Times New Roman"/>
          <w:sz w:val="24"/>
          <w:szCs w:val="24"/>
        </w:rPr>
        <w:t xml:space="preserve"> of 2019,</w:t>
      </w:r>
      <w:r>
        <w:rPr>
          <w:rFonts w:ascii="Times New Roman" w:hAnsi="Times New Roman" w:eastAsia="仿宋_GB2312" w:cs="Times New Roman"/>
          <w:sz w:val="24"/>
          <w:szCs w:val="24"/>
        </w:rPr>
        <w:t xml:space="preserve"> increasing positive factors i</w:t>
      </w:r>
      <w:r>
        <w:rPr>
          <w:rFonts w:hint="eastAsia" w:ascii="Times New Roman" w:hAnsi="Times New Roman" w:eastAsia="仿宋_GB2312" w:cs="Times New Roman"/>
          <w:sz w:val="24"/>
          <w:szCs w:val="24"/>
        </w:rPr>
        <w:t>n the market</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 xml:space="preserve">and more domestic equity holdings by foreign investors, the RMB exchange rate appreciated against the USD and against the basket of currencies. Since May, due to increasing external uncertainties, the RMB exchange rate against the USD depreciated. At end-June, the CFETS RMB exchange-rate index closed at 92.66, up 0.66 percent from end-2018; the RMB exchange-rate index based on the SDR basket closed at 92.89, down 0.27 percent from end-2018. According to calculations by the Bank for International Settlements (BIS), in H1 2019 the NEER and REER of the RMB depreciated by 0.22 percent and 0.54 percent respectively. From the launch of the reform </w:t>
      </w:r>
      <w:r>
        <w:rPr>
          <w:rFonts w:hint="eastAsia" w:ascii="Times New Roman" w:hAnsi="Times New Roman" w:eastAsia="仿宋_GB2312" w:cs="Times New Roman"/>
          <w:sz w:val="24"/>
          <w:szCs w:val="24"/>
        </w:rPr>
        <w:t>o</w:t>
      </w:r>
      <w:r>
        <w:rPr>
          <w:rFonts w:ascii="Times New Roman" w:hAnsi="Times New Roman" w:eastAsia="仿宋_GB2312" w:cs="Times New Roman"/>
          <w:sz w:val="24"/>
          <w:szCs w:val="24"/>
        </w:rPr>
        <w:t>f the exchange-rate formation regime in 2005 to end-June 2019, the NEER and REER of the RMB appreciated by 31.53 percent and 41.69 percent respectively</w:t>
      </w: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the central parity of the RMB against the USD appreciated by 20.39 percent on a cumulative basis</w:t>
      </w:r>
      <w:r>
        <w:rPr>
          <w:rFonts w:hint="eastAsia" w:ascii="Times New Roman" w:hAnsi="Times New Roman" w:eastAsia="仿宋_GB2312" w:cs="Times New Roman"/>
          <w:sz w:val="24"/>
          <w:szCs w:val="24"/>
        </w:rPr>
        <w:t xml:space="preserve">, reaching </w:t>
      </w:r>
      <w:r>
        <w:rPr>
          <w:rFonts w:ascii="Times New Roman" w:hAnsi="Times New Roman" w:eastAsia="仿宋_GB2312" w:cs="Times New Roman"/>
          <w:sz w:val="24"/>
          <w:szCs w:val="24"/>
        </w:rPr>
        <w:t>6.8747</w:t>
      </w:r>
      <w:r>
        <w:rPr>
          <w:rFonts w:hint="eastAsia" w:ascii="Times New Roman" w:hAnsi="Times New Roman" w:eastAsia="仿宋_GB2312" w:cs="Times New Roman"/>
          <w:sz w:val="24"/>
          <w:szCs w:val="24"/>
        </w:rPr>
        <w:t xml:space="preserve"> at the end of June</w:t>
      </w:r>
      <w:r>
        <w:rPr>
          <w:rFonts w:ascii="Times New Roman" w:hAnsi="Times New Roman" w:eastAsia="仿宋_GB2312" w:cs="Times New Roman"/>
          <w:sz w:val="24"/>
          <w:szCs w:val="24"/>
        </w:rPr>
        <w:t>, an appreciation of 0.17 percent</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 xml:space="preserve"> or 115 </w:t>
      </w:r>
      <w:r>
        <w:rPr>
          <w:rFonts w:hint="eastAsia" w:ascii="Times New Roman" w:hAnsi="Times New Roman" w:eastAsia="仿宋_GB2312" w:cs="Times New Roman"/>
          <w:sz w:val="24"/>
          <w:szCs w:val="24"/>
        </w:rPr>
        <w:t>bp</w:t>
      </w:r>
      <w:r>
        <w:rPr>
          <w:rFonts w:ascii="Times New Roman" w:hAnsi="Times New Roman" w:eastAsia="仿宋_GB2312" w:cs="Times New Roman"/>
          <w:sz w:val="24"/>
          <w:szCs w:val="24"/>
        </w:rPr>
        <w:t>s, from end-2018. In H1</w:t>
      </w:r>
      <w:r>
        <w:rPr>
          <w:rFonts w:hint="eastAsia" w:ascii="Times New Roman" w:hAnsi="Times New Roman" w:eastAsia="仿宋_GB2312" w:cs="Times New Roman"/>
          <w:sz w:val="24"/>
          <w:szCs w:val="24"/>
        </w:rPr>
        <w:t xml:space="preserve"> 2019</w:t>
      </w:r>
      <w:r>
        <w:rPr>
          <w:rFonts w:ascii="Times New Roman" w:hAnsi="Times New Roman" w:eastAsia="仿宋_GB2312" w:cs="Times New Roman"/>
          <w:sz w:val="24"/>
          <w:szCs w:val="24"/>
        </w:rPr>
        <w:t xml:space="preserve">, the annualized volatility rate </w:t>
      </w:r>
      <w:r>
        <w:rPr>
          <w:rFonts w:hint="eastAsia" w:ascii="Times New Roman" w:hAnsi="Times New Roman" w:eastAsia="仿宋_GB2312" w:cs="Times New Roman"/>
          <w:sz w:val="24"/>
          <w:szCs w:val="24"/>
        </w:rPr>
        <w:t>on</w:t>
      </w:r>
      <w:r>
        <w:rPr>
          <w:rFonts w:ascii="Times New Roman" w:hAnsi="Times New Roman" w:eastAsia="仿宋_GB2312" w:cs="Times New Roman"/>
          <w:sz w:val="24"/>
          <w:szCs w:val="24"/>
        </w:rPr>
        <w:t xml:space="preserve"> the central parity of the RMB against the USD was 3.27 percent, </w:t>
      </w:r>
      <w:r>
        <w:rPr>
          <w:rFonts w:hint="eastAsia" w:ascii="Times New Roman" w:hAnsi="Times New Roman" w:eastAsia="仿宋_GB2312" w:cs="Times New Roman"/>
          <w:sz w:val="24"/>
          <w:szCs w:val="24"/>
        </w:rPr>
        <w:t xml:space="preserve">showing that </w:t>
      </w:r>
      <w:r>
        <w:rPr>
          <w:rFonts w:ascii="Times New Roman" w:hAnsi="Times New Roman" w:eastAsia="仿宋_GB2312" w:cs="Times New Roman"/>
          <w:sz w:val="24"/>
          <w:szCs w:val="24"/>
        </w:rPr>
        <w:t xml:space="preserve">the </w:t>
      </w:r>
      <w:r>
        <w:rPr>
          <w:rFonts w:hint="eastAsia" w:ascii="Times New Roman" w:hAnsi="Times New Roman" w:eastAsia="仿宋_GB2312" w:cs="Times New Roman"/>
          <w:sz w:val="24"/>
          <w:szCs w:val="24"/>
        </w:rPr>
        <w:t xml:space="preserve">RMB </w:t>
      </w:r>
      <w:r>
        <w:rPr>
          <w:rFonts w:ascii="Times New Roman" w:hAnsi="Times New Roman" w:eastAsia="仿宋_GB2312" w:cs="Times New Roman"/>
          <w:sz w:val="24"/>
          <w:szCs w:val="24"/>
        </w:rPr>
        <w:t xml:space="preserve">exchange rate continued to be flexible </w:t>
      </w:r>
      <w:r>
        <w:rPr>
          <w:rFonts w:hint="eastAsia" w:ascii="Times New Roman" w:hAnsi="Times New Roman" w:eastAsia="仿宋_GB2312" w:cs="Times New Roman"/>
          <w:sz w:val="24"/>
          <w:szCs w:val="24"/>
        </w:rPr>
        <w:t>as</w:t>
      </w:r>
      <w:r>
        <w:rPr>
          <w:rFonts w:ascii="Times New Roman" w:hAnsi="Times New Roman" w:eastAsia="仿宋_GB2312" w:cs="Times New Roman"/>
          <w:sz w:val="24"/>
          <w:szCs w:val="24"/>
        </w:rPr>
        <w:t xml:space="preserve"> an “automatic stabilizer” in adjusting the macroeconomy and the balance of payments.</w:t>
      </w: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r>
        <w:rPr>
          <w:rFonts w:ascii="Times New Roman" w:hAnsi="Times New Roman" w:cs="Times New Roman"/>
          <w:b/>
          <w:sz w:val="24"/>
          <w:szCs w:val="24"/>
        </w:rPr>
        <w:t>Cross-border RMB transactions continued to grow with roughly balanced receipts and payments.</w:t>
      </w:r>
      <w:r>
        <w:rPr>
          <w:rFonts w:ascii="Times New Roman" w:hAnsi="Times New Roman" w:cs="Times New Roman"/>
          <w:sz w:val="24"/>
          <w:szCs w:val="24"/>
        </w:rPr>
        <w:t xml:space="preserve"> In H1, c</w:t>
      </w:r>
      <w:r>
        <w:rPr>
          <w:rFonts w:ascii="Times New Roman" w:hAnsi="Times New Roman" w:eastAsia="仿宋_GB2312" w:cs="Times New Roman"/>
          <w:sz w:val="24"/>
          <w:szCs w:val="24"/>
        </w:rPr>
        <w:t>ross-border receipts and payments in RMB totaled RMB 9.29 trillion, up 19.6 percent year on year. In particular, RMB receipts and payments registered RMB 4.84 trillion and RMB 4.45 trillion respectively. RMB cross-border receipts and payments under the current account posted RMB 2.8 trillion, up 22 percent year on year. In particular, settlement of trade in goods registered RMB 2.02 trillion, whereas settlement of trade in services and other items registered RMB 0.78 trillion. RMB cross-border receipts and payments under the capital account posted RMB 6.49 trillion, up 19 percent year on year.</w:t>
      </w:r>
      <w:bookmarkStart w:id="50" w:name="_Toc529558840"/>
      <w:bookmarkStart w:id="51" w:name="_Toc520133719"/>
      <w:bookmarkStart w:id="52" w:name="_Toc482380306"/>
      <w:bookmarkStart w:id="53" w:name="_Toc528828343"/>
    </w:p>
    <w:p>
      <w:pPr>
        <w:pStyle w:val="5"/>
        <w:jc w:val="center"/>
        <w:rPr>
          <w:rFonts w:ascii="Times New Roman" w:hAnsi="Times New Roman" w:cs="Times New Roman"/>
          <w:b/>
          <w:sz w:val="24"/>
          <w:szCs w:val="24"/>
        </w:rPr>
      </w:pPr>
      <w:bookmarkStart w:id="54" w:name="_Toc17812262"/>
      <w:bookmarkStart w:id="55" w:name="_Toc17807915"/>
      <w:bookmarkStart w:id="56" w:name="_Toc17799210"/>
      <w:bookmarkStart w:id="57" w:name="_Toc3902877"/>
      <w:r>
        <w:rPr>
          <w:rFonts w:ascii="Times New Roman" w:hAnsi="Times New Roman" w:cs="Times New Roman"/>
          <w:b/>
          <w:sz w:val="24"/>
          <w:szCs w:val="24"/>
        </w:rPr>
        <w:t xml:space="preserve">Figure </w:t>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SEQ Figure \* ARABIC </w:instrText>
      </w:r>
      <w:r>
        <w:rPr>
          <w:rFonts w:ascii="Times New Roman" w:hAnsi="Times New Roman" w:cs="Times New Roman"/>
          <w:b/>
          <w:sz w:val="24"/>
          <w:szCs w:val="24"/>
        </w:rPr>
        <w:fldChar w:fldCharType="separate"/>
      </w:r>
      <w:r>
        <w:rPr>
          <w:rFonts w:ascii="Times New Roman" w:hAnsi="Times New Roman" w:cs="Times New Roman"/>
          <w:b/>
          <w:sz w:val="24"/>
          <w:szCs w:val="24"/>
        </w:rPr>
        <w:t>2</w:t>
      </w:r>
      <w:r>
        <w:rPr>
          <w:rFonts w:ascii="Times New Roman" w:hAnsi="Times New Roman" w:cs="Times New Roman"/>
          <w:b/>
          <w:sz w:val="24"/>
          <w:szCs w:val="24"/>
        </w:rPr>
        <w:fldChar w:fldCharType="end"/>
      </w:r>
      <w:r>
        <w:rPr>
          <w:rFonts w:ascii="Times New Roman" w:hAnsi="Times New Roman" w:cs="Times New Roman"/>
          <w:b/>
          <w:sz w:val="24"/>
          <w:szCs w:val="24"/>
        </w:rPr>
        <w:t xml:space="preserve"> Monthly RMB Payments and Receipts under the Current Account</w:t>
      </w:r>
      <w:bookmarkEnd w:id="54"/>
      <w:bookmarkEnd w:id="55"/>
      <w:bookmarkEnd w:id="56"/>
      <w:bookmarkEnd w:id="57"/>
    </w:p>
    <w:p>
      <w:pPr>
        <w:rPr>
          <w:rFonts w:ascii="Times New Roman" w:hAnsi="Times New Roman" w:eastAsia="仿宋_GB2312" w:cs="Times New Roman"/>
          <w:sz w:val="24"/>
          <w:szCs w:val="24"/>
        </w:rPr>
      </w:pPr>
      <w:r>
        <w:rPr>
          <w:rFonts w:ascii="Times New Roman" w:hAnsi="Times New Roman" w:cs="Times New Roman"/>
          <w:sz w:val="24"/>
          <w:szCs w:val="24"/>
        </w:rPr>
        <w:drawing>
          <wp:inline distT="0" distB="0" distL="0" distR="0">
            <wp:extent cx="3943350" cy="21590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rPr>
          <w:rFonts w:ascii="Times New Roman" w:hAnsi="Times New Roman" w:cs="Times New Roman"/>
          <w:sz w:val="24"/>
          <w:szCs w:val="24"/>
        </w:rPr>
      </w:pPr>
      <w:r>
        <w:rPr>
          <w:rFonts w:ascii="Times New Roman" w:hAnsi="Times New Roman" w:cs="Times New Roman"/>
          <w:sz w:val="24"/>
          <w:szCs w:val="24"/>
        </w:rPr>
        <w:t>Source: The People’s Bank of China.</w:t>
      </w:r>
      <w:bookmarkEnd w:id="50"/>
      <w:bookmarkEnd w:id="51"/>
      <w:bookmarkEnd w:id="52"/>
      <w:bookmarkEnd w:id="53"/>
    </w:p>
    <w:p>
      <w:pPr>
        <w:rPr>
          <w:rFonts w:ascii="Times New Roman" w:hAnsi="Times New Roman" w:cs="Times New Roman"/>
          <w:sz w:val="24"/>
          <w:szCs w:val="24"/>
        </w:rPr>
      </w:pPr>
    </w:p>
    <w:p>
      <w:pPr>
        <w:widowControl/>
        <w:jc w:val="left"/>
        <w:rPr>
          <w:rFonts w:ascii="Times New Roman" w:hAnsi="Times New Roman" w:cs="Times New Roman"/>
          <w:b/>
          <w:bCs/>
          <w:sz w:val="24"/>
          <w:szCs w:val="24"/>
        </w:rPr>
      </w:pPr>
    </w:p>
    <w:p>
      <w:pPr>
        <w:widowControl/>
        <w:jc w:val="left"/>
        <w:rPr>
          <w:rFonts w:ascii="Times New Roman" w:hAnsi="Times New Roman" w:eastAsia="Times New Roman" w:cs="Times New Roman"/>
          <w:b/>
          <w:bCs/>
          <w:kern w:val="44"/>
          <w:sz w:val="24"/>
          <w:szCs w:val="44"/>
        </w:rPr>
      </w:pPr>
      <w:r>
        <w:rPr>
          <w:rFonts w:ascii="Times New Roman" w:hAnsi="Times New Roman" w:cs="Times New Roman"/>
        </w:rPr>
        <w:br w:type="page"/>
      </w:r>
    </w:p>
    <w:p>
      <w:pPr>
        <w:pStyle w:val="2"/>
        <w:rPr>
          <w:rFonts w:ascii="Times New Roman" w:hAnsi="Times New Roman" w:cs="Times New Roman"/>
        </w:rPr>
      </w:pPr>
      <w:bookmarkStart w:id="58" w:name="_Toc17798258"/>
      <w:bookmarkStart w:id="59" w:name="_Toc17807916"/>
      <w:bookmarkStart w:id="60" w:name="_Toc17808027"/>
      <w:bookmarkStart w:id="61" w:name="_Toc17808067"/>
      <w:r>
        <w:rPr>
          <w:rFonts w:ascii="Times New Roman" w:hAnsi="Times New Roman" w:cs="Times New Roman"/>
        </w:rPr>
        <w:t>Part 2 Monetary-Policy Operations</w:t>
      </w:r>
      <w:bookmarkEnd w:id="58"/>
      <w:bookmarkEnd w:id="59"/>
      <w:bookmarkEnd w:id="60"/>
      <w:bookmarkEnd w:id="61"/>
    </w:p>
    <w:p>
      <w:pPr>
        <w:spacing w:beforeLines="50"/>
        <w:rPr>
          <w:rFonts w:ascii="Times New Roman" w:hAnsi="Times New Roman" w:cs="Times New Roman"/>
          <w:sz w:val="24"/>
          <w:szCs w:val="24"/>
        </w:rPr>
      </w:pPr>
      <w:r>
        <w:rPr>
          <w:rFonts w:ascii="Times New Roman" w:hAnsi="Times New Roman" w:cs="Times New Roman"/>
          <w:sz w:val="24"/>
          <w:szCs w:val="24"/>
        </w:rPr>
        <w:t xml:space="preserve">Since the beginning of 2019, guided by Xi Jinping’s socialism with Chinese characteristics for a new era, the PBC has fully implemented the decisions and arrangements of the Central Committee of the Communist Party of China (CPC) and the State Council and has followed the fundamental requirements for the financial sector to serve the real economy. We deepened supply-side structural reforms in the financial sector, implemented a sound monetary policy, maintained the stable growth of money and credit, improved the credit structure, and prudently mitigated the partial or structural liquidity risks of small and medium-sized banks. These measures helped to maintain a proper monetary and financial environment for achieving the “Six Stabilities” and high-quality economic growth. </w:t>
      </w:r>
    </w:p>
    <w:p>
      <w:pPr>
        <w:spacing w:beforeLines="50"/>
        <w:rPr>
          <w:rFonts w:ascii="Times New Roman" w:hAnsi="Times New Roman" w:cs="Times New Roman"/>
          <w:sz w:val="24"/>
          <w:szCs w:val="24"/>
        </w:rPr>
      </w:pPr>
      <w:r>
        <w:rPr>
          <w:rFonts w:ascii="Times New Roman" w:hAnsi="Times New Roman" w:cs="Times New Roman"/>
          <w:sz w:val="24"/>
          <w:szCs w:val="24"/>
        </w:rPr>
        <w:t xml:space="preserve"> </w:t>
      </w:r>
    </w:p>
    <w:p>
      <w:pPr>
        <w:pStyle w:val="3"/>
        <w:ind w:firstLine="0" w:firstLineChars="0"/>
        <w:rPr>
          <w:rFonts w:ascii="Times New Roman" w:hAnsi="Times New Roman" w:eastAsia="黑体"/>
          <w:kern w:val="0"/>
        </w:rPr>
      </w:pPr>
      <w:bookmarkStart w:id="62" w:name="_Toc17798259"/>
      <w:bookmarkStart w:id="63" w:name="_Toc17808068"/>
      <w:bookmarkStart w:id="64" w:name="_Toc17808028"/>
      <w:bookmarkStart w:id="65" w:name="_Toc17807917"/>
      <w:r>
        <w:rPr>
          <w:rFonts w:ascii="Times New Roman" w:hAnsi="Times New Roman" w:eastAsia="黑体"/>
          <w:kern w:val="0"/>
        </w:rPr>
        <w:t>I. Conducting Open Market Operations (OMOs) in a Flexible Manner</w:t>
      </w:r>
      <w:bookmarkEnd w:id="62"/>
      <w:bookmarkEnd w:id="63"/>
      <w:bookmarkEnd w:id="64"/>
      <w:bookmarkEnd w:id="65"/>
    </w:p>
    <w:p>
      <w:pPr>
        <w:spacing w:beforeLines="50"/>
        <w:rPr>
          <w:rFonts w:ascii="Times New Roman" w:hAnsi="Times New Roman" w:cs="Times New Roman"/>
          <w:sz w:val="24"/>
          <w:szCs w:val="24"/>
        </w:rPr>
      </w:pPr>
      <w:r>
        <w:rPr>
          <w:rFonts w:ascii="Times New Roman" w:hAnsi="Times New Roman" w:cs="Times New Roman"/>
          <w:b/>
          <w:bCs/>
          <w:sz w:val="24"/>
          <w:szCs w:val="24"/>
        </w:rPr>
        <w:t>Maintaining reasonable and adequate liquidity and responding to market volatility in a timely manner.</w:t>
      </w:r>
      <w:r>
        <w:rPr>
          <w:rFonts w:ascii="Times New Roman" w:hAnsi="Times New Roman" w:cs="Times New Roman"/>
          <w:sz w:val="24"/>
          <w:szCs w:val="24"/>
        </w:rPr>
        <w:t xml:space="preserve"> In Q2 2019, the PBC closely monitored the changes in macroeconomic and financial conditions and market liquidity and increased long-term liquidity provisions through various instruments; meanwhile, we conducted open market operations in a flexible manner, mostly through 7-day reverse repos, in order to offset factors such as tax payments and government bond purchases and to marginally adjust liquidity to a reasonable and adequate level. Considering the volatile market sentiment following the takeover of the Baoshang Bank and the increase in precautionary liquidity demand by the end of H1 2019, the PBC has increased open market reverse repos since late May and since mid-June has successively started 28-day reverse repo and 14-day reverse repo operations. These measures aimed to meet liquidity demand of the market at the end of H1, smooth short-term volatility, and provide a favorable liquidity environment to ensure the sound operation of market entities, including small and medium-sized banks and non-bank financial institutions.</w:t>
      </w:r>
    </w:p>
    <w:p>
      <w:pPr>
        <w:spacing w:beforeLines="50"/>
        <w:rPr>
          <w:rFonts w:ascii="Times New Roman" w:hAnsi="Times New Roman" w:cs="Times New Roman"/>
          <w:sz w:val="24"/>
          <w:szCs w:val="24"/>
        </w:rPr>
      </w:pPr>
      <w:r>
        <w:rPr>
          <w:rFonts w:ascii="Times New Roman" w:hAnsi="Times New Roman" w:cs="Times New Roman"/>
          <w:b/>
          <w:bCs/>
          <w:sz w:val="24"/>
          <w:szCs w:val="24"/>
        </w:rPr>
        <w:t>Guiding the steady movement of money-market interest rates.</w:t>
      </w:r>
      <w:r>
        <w:rPr>
          <w:rFonts w:ascii="Times New Roman" w:hAnsi="Times New Roman" w:cs="Times New Roman"/>
          <w:sz w:val="24"/>
          <w:szCs w:val="24"/>
        </w:rPr>
        <w:t xml:space="preserve"> In Q2, the interest rate of 7-day repo operations was stable at 2.55 percent. The PBC continued to enhance effective guidance of open market operations on short-term interest rates and to maintain the stable movement of the 7-day reverse repo interest rate (DR007) for saving institutions (in the interbank market) pledged with interest-rate bonds. At end-June, DR007 recorded 2.56 percent, 45 basis points lower than that in the same period of 2018. The stability of the central-bank short-term policy rate and the money market interest rate helped anchor market expectations, promote the transmission of the central- bank policy rate, and reduce the financing costs of the real economy, in particular micro and small businesses (MSBs).</w:t>
      </w:r>
    </w:p>
    <w:p>
      <w:pPr>
        <w:spacing w:beforeLines="50"/>
        <w:rPr>
          <w:rFonts w:ascii="Times New Roman" w:hAnsi="Times New Roman" w:cs="Times New Roman"/>
          <w:sz w:val="24"/>
          <w:szCs w:val="24"/>
        </w:rPr>
      </w:pPr>
      <w:r>
        <w:rPr>
          <w:rFonts w:ascii="Times New Roman" w:hAnsi="Times New Roman" w:cs="Times New Roman"/>
          <w:b/>
          <w:bCs/>
          <w:sz w:val="24"/>
          <w:szCs w:val="24"/>
        </w:rPr>
        <w:t>Conducting central-bank bill swap (CBS) tools as needed</w:t>
      </w:r>
      <w:r>
        <w:rPr>
          <w:rFonts w:ascii="Times New Roman" w:hAnsi="Times New Roman" w:cs="Times New Roman"/>
          <w:sz w:val="24"/>
          <w:szCs w:val="24"/>
        </w:rPr>
        <w:t>. In order to improve market liquidity of commercial banks’ perpetual bonds and support their issuance to replenish capital, the PBC conducted the second and third CBS operations of 2019 in a market-oriented manner. The second operation on June 27 was conducted at an operational fee rate of 0.25 percent for a total amount of RMB 2.5 billion with a one-year maturity; the third operation on August 9 was at an operational fee rate of 0.10 percent for a total amount of RMB 5 billion with a three-month maturity. In 2019, the PBC conducted three successive CBS operations, totaling RMB 9 billion, which raised the market acceptance of banks’ perpetual bonds and promoted growth of the perpetual bonds market.</w:t>
      </w:r>
    </w:p>
    <w:p>
      <w:pPr>
        <w:spacing w:beforeLines="50"/>
        <w:rPr>
          <w:rFonts w:ascii="Times New Roman" w:hAnsi="Times New Roman" w:cs="Times New Roman"/>
          <w:sz w:val="24"/>
          <w:szCs w:val="24"/>
        </w:rPr>
      </w:pPr>
      <w:r>
        <w:rPr>
          <w:rFonts w:ascii="Times New Roman" w:hAnsi="Times New Roman" w:cs="Times New Roman"/>
          <w:b/>
          <w:bCs/>
          <w:sz w:val="24"/>
          <w:szCs w:val="24"/>
        </w:rPr>
        <w:t>Introducing an ongoing mechanism of CBS issuances in Hong Kong</w:t>
      </w:r>
      <w:r>
        <w:rPr>
          <w:rFonts w:ascii="Times New Roman" w:hAnsi="Times New Roman" w:cs="Times New Roman"/>
          <w:sz w:val="24"/>
          <w:szCs w:val="24"/>
        </w:rPr>
        <w:t>. On May 15 and June 26, 2019, the PBC successfully issued 4 batches of central-bank bills in Hong Kong, with a total value of RMB 50 billion. Among these, the one-month and 6-month central-bank bills issued on June 26 were new products and were well received by offshore market investors. In the first half of 2019, the PBC successfully issued 6 batches of central-bank bills in Hong Kong, with a total value of RMB 70 billion. CBS issuances enriched the high credit rating of RMB products and the RMB liquidity management instruments in the Hong Kong market and helped to improve the yield curve of RMB bonds in Hong Kong and to promote internationalization of the RMB.</w:t>
      </w:r>
    </w:p>
    <w:p>
      <w:pPr>
        <w:spacing w:beforeLines="50"/>
        <w:rPr>
          <w:rFonts w:ascii="Times New Roman" w:hAnsi="Times New Roman" w:cs="Times New Roman"/>
          <w:sz w:val="24"/>
          <w:szCs w:val="24"/>
        </w:rPr>
      </w:pPr>
    </w:p>
    <w:p>
      <w:pPr>
        <w:pStyle w:val="3"/>
        <w:ind w:firstLine="0" w:firstLineChars="0"/>
        <w:rPr>
          <w:rFonts w:ascii="Times New Roman" w:hAnsi="Times New Roman" w:eastAsia="黑体"/>
          <w:kern w:val="0"/>
        </w:rPr>
      </w:pPr>
      <w:bookmarkStart w:id="66" w:name="_Toc17808069"/>
      <w:bookmarkStart w:id="67" w:name="_Toc17808029"/>
      <w:bookmarkStart w:id="68" w:name="_Toc17807918"/>
      <w:bookmarkStart w:id="69" w:name="_Toc17798260"/>
      <w:r>
        <w:rPr>
          <w:rFonts w:ascii="Times New Roman" w:hAnsi="Times New Roman" w:eastAsia="黑体"/>
          <w:kern w:val="0"/>
        </w:rPr>
        <w:t>II. Conducting the Medium-term Lending Facility (MLF) and the Standing Lending Facility (SLF)</w:t>
      </w:r>
      <w:bookmarkEnd w:id="66"/>
      <w:bookmarkEnd w:id="67"/>
      <w:bookmarkEnd w:id="68"/>
      <w:bookmarkEnd w:id="69"/>
      <w:r>
        <w:rPr>
          <w:rFonts w:ascii="Times New Roman" w:hAnsi="Times New Roman" w:eastAsia="黑体"/>
          <w:kern w:val="0"/>
        </w:rPr>
        <w:t xml:space="preserve"> </w:t>
      </w:r>
    </w:p>
    <w:p>
      <w:pPr>
        <w:spacing w:beforeLines="50"/>
        <w:rPr>
          <w:rFonts w:ascii="Times New Roman" w:hAnsi="Times New Roman" w:cs="Times New Roman"/>
          <w:sz w:val="24"/>
          <w:szCs w:val="24"/>
        </w:rPr>
      </w:pPr>
      <w:r>
        <w:rPr>
          <w:rFonts w:ascii="Times New Roman" w:hAnsi="Times New Roman" w:cs="Times New Roman"/>
          <w:b/>
          <w:bCs/>
          <w:sz w:val="24"/>
          <w:szCs w:val="24"/>
        </w:rPr>
        <w:t>The PBC provided short-term liquidity to locally incorporated financial institutions through SLFs to fully meet their demands and it tapped the role of the SLF rate as the ceiling of the interest-rate corridor in order to facilitate smooth operations in the money market.</w:t>
      </w:r>
      <w:r>
        <w:rPr>
          <w:rFonts w:ascii="Times New Roman" w:hAnsi="Times New Roman" w:cs="Times New Roman"/>
          <w:sz w:val="24"/>
          <w:szCs w:val="24"/>
        </w:rPr>
        <w:t xml:space="preserve"> In the first half of 2019, the PBC conducted a total of RMB 199.2 billion in SLF operations. Total SLF operations in Q2 registered RMB 123.9 billion and the end-June outstanding balance was RMB 83 billion. The end-June SLF rates remained unchanged from end-March, with the overnight, 7-day, and 1-month rates at 3.40 percent, 3.55 percent, and 3.90 percent respectively.</w:t>
      </w:r>
    </w:p>
    <w:p>
      <w:pPr>
        <w:spacing w:beforeLines="50"/>
        <w:rPr>
          <w:rFonts w:ascii="Times New Roman" w:hAnsi="Times New Roman" w:cs="Times New Roman"/>
          <w:sz w:val="24"/>
          <w:szCs w:val="24"/>
        </w:rPr>
      </w:pPr>
      <w:r>
        <w:rPr>
          <w:rFonts w:ascii="Times New Roman" w:hAnsi="Times New Roman" w:cs="Times New Roman"/>
          <w:b/>
          <w:bCs/>
          <w:sz w:val="24"/>
          <w:szCs w:val="24"/>
        </w:rPr>
        <w:t>The PBC conducted MLF operations as needed in order to maintain a reasonable supply of liquidity over the mid  and long term and to tap the role of the MLF as the mid-term policy rate</w:t>
      </w:r>
      <w:r>
        <w:rPr>
          <w:rFonts w:ascii="Times New Roman" w:hAnsi="Times New Roman" w:cs="Times New Roman"/>
          <w:sz w:val="24"/>
          <w:szCs w:val="24"/>
        </w:rPr>
        <w:t xml:space="preserve">. In the first half of 2019, MLF operations totaled RMB 1.14 trillion, all of which took place in Q2. All MLF operations were of one-year maturity and the bidding interest rate for the last operation was 3.30 percent, unchanged from end-2018. At end-June, the outstanding volume of MLFs was RMB 3.681 trillion, down RMB 1.2505 trillion from the beginning of 2019. </w:t>
      </w:r>
    </w:p>
    <w:p>
      <w:pPr>
        <w:spacing w:beforeLines="50"/>
        <w:rPr>
          <w:rFonts w:ascii="Times New Roman" w:hAnsi="Times New Roman" w:cs="Times New Roman"/>
          <w:sz w:val="24"/>
          <w:szCs w:val="24"/>
        </w:rPr>
      </w:pPr>
    </w:p>
    <w:p>
      <w:pPr>
        <w:pStyle w:val="3"/>
        <w:ind w:firstLine="0" w:firstLineChars="0"/>
        <w:rPr>
          <w:rFonts w:ascii="Times New Roman" w:hAnsi="Times New Roman" w:eastAsia="黑体"/>
          <w:kern w:val="0"/>
        </w:rPr>
      </w:pPr>
      <w:bookmarkStart w:id="70" w:name="_Toc17808070"/>
      <w:bookmarkStart w:id="71" w:name="_Toc17808030"/>
      <w:bookmarkStart w:id="72" w:name="_Toc17798261"/>
      <w:bookmarkStart w:id="73" w:name="_Toc17807919"/>
      <w:r>
        <w:rPr>
          <w:rFonts w:ascii="Times New Roman" w:hAnsi="Times New Roman" w:eastAsia="黑体"/>
          <w:kern w:val="0"/>
        </w:rPr>
        <w:t>III. Establishing a New RRR Framework Featuring “Three Tranches and Two Preferential Treatments.”</w:t>
      </w:r>
      <w:bookmarkEnd w:id="70"/>
      <w:bookmarkEnd w:id="71"/>
      <w:bookmarkEnd w:id="72"/>
      <w:bookmarkEnd w:id="73"/>
      <w:r>
        <w:rPr>
          <w:rFonts w:ascii="Times New Roman" w:hAnsi="Times New Roman" w:eastAsia="黑体"/>
          <w:kern w:val="0"/>
        </w:rPr>
        <w:t xml:space="preserve"> </w:t>
      </w:r>
    </w:p>
    <w:p>
      <w:pPr>
        <w:spacing w:beforeLines="50"/>
        <w:rPr>
          <w:rFonts w:ascii="Times New Roman" w:hAnsi="Times New Roman" w:cs="Times New Roman"/>
          <w:sz w:val="24"/>
          <w:szCs w:val="24"/>
        </w:rPr>
      </w:pPr>
      <w:r>
        <w:rPr>
          <w:rFonts w:ascii="Times New Roman" w:hAnsi="Times New Roman" w:cs="Times New Roman"/>
          <w:b/>
          <w:bCs/>
          <w:sz w:val="24"/>
          <w:szCs w:val="24"/>
        </w:rPr>
        <w:t>The PBC applied a relatively low RRR for small and medium-sized banks and established a new RRR framework consisting of three tranches and two preferential treatments.</w:t>
      </w:r>
      <w:r>
        <w:rPr>
          <w:rFonts w:ascii="Times New Roman" w:hAnsi="Times New Roman" w:cs="Times New Roman"/>
          <w:sz w:val="24"/>
          <w:szCs w:val="24"/>
        </w:rPr>
        <w:t xml:space="preserve"> In January 2019, the PBC cut the RRR for financial institutions by 1 percentage point in two steps—a 0.5 percentage point cut on January 15 and January 25 respectively—in order to replace the outstanding MLFs due to maturity in Q1. The coverage of the RRR reduction preferential policy for inclusive finance was expanded. At the beginning of 2019, the PBC adjusted the qualification threshold of the targeted RRR reduction on MSBs loans from a single-account credit line below RMB 5 million to a single-account credit line below RMB 10 million. The expanded coverage of the preferential policy of the targeted RRR cuts benefited more MSBs. To deepen the financial sector supply-side structural reforms, guide rural financial institutions to serve the counties, and enhance support to agriculture, rural areas, rural households, and MSBs, beginning in May 15, 2019 the rural commercial banks that serve the counties were consolidated into the RRR tranche of the rural credit cooperatives. This meant that the RRR of rural commercial banks was reduced by 2–3.5 percentage points to 8 percent, the same as that of the rural credit cooperatives. The adjustment applies to rural commercial banks that operate solely within one county or that had branches in other county-level administrative regions with total assets of less than RMB 10 billion at end-2018. This was carried out in three phases, on May 15, June 17, and July 15 successively. RMB 300 billion of long-term liquidity was released in total, all of which was lent by rural commercial banks to private firms and MSBs. The new RRR framework of three tranches and two preferential treatments has basically taken shape.</w:t>
      </w:r>
    </w:p>
    <w:p>
      <w:pPr>
        <w:spacing w:beforeLines="50"/>
        <w:rPr>
          <w:rFonts w:ascii="Times New Roman" w:hAnsi="Times New Roman" w:cs="Times New Roman"/>
          <w:sz w:val="24"/>
          <w:szCs w:val="24"/>
        </w:rPr>
      </w:pPr>
    </w:p>
    <w:p>
      <w:pPr>
        <w:pStyle w:val="3"/>
        <w:ind w:firstLine="0" w:firstLineChars="0"/>
        <w:rPr>
          <w:rFonts w:ascii="Times New Roman" w:hAnsi="Times New Roman"/>
          <w:b w:val="0"/>
          <w:bCs w:val="0"/>
          <w:szCs w:val="24"/>
        </w:rPr>
      </w:pPr>
      <w:bookmarkStart w:id="74" w:name="_Toc17808031"/>
      <w:bookmarkStart w:id="75" w:name="_Toc17807920"/>
      <w:bookmarkStart w:id="76" w:name="_Toc17808071"/>
      <w:bookmarkStart w:id="77" w:name="_Toc17798262"/>
      <w:r>
        <w:rPr>
          <w:rFonts w:ascii="Times New Roman" w:hAnsi="Times New Roman" w:eastAsia="黑体"/>
          <w:kern w:val="0"/>
        </w:rPr>
        <w:t>IV. Continuing to improve the Macro-Prudential Policy Framework</w:t>
      </w:r>
      <w:bookmarkEnd w:id="74"/>
      <w:bookmarkEnd w:id="75"/>
      <w:bookmarkEnd w:id="76"/>
      <w:bookmarkEnd w:id="77"/>
    </w:p>
    <w:p>
      <w:pPr>
        <w:spacing w:beforeLines="50"/>
        <w:rPr>
          <w:rFonts w:ascii="Times New Roman" w:hAnsi="Times New Roman" w:cs="Times New Roman"/>
          <w:sz w:val="24"/>
          <w:szCs w:val="24"/>
        </w:rPr>
      </w:pPr>
      <w:r>
        <w:rPr>
          <w:rFonts w:ascii="Times New Roman" w:hAnsi="Times New Roman" w:cs="Times New Roman"/>
          <w:b/>
          <w:bCs/>
          <w:sz w:val="24"/>
          <w:szCs w:val="24"/>
        </w:rPr>
        <w:t xml:space="preserve">The PBC enhanced macro-prudential management and gave full play to the role of the macro-prudential assessment (MPA) in counter-cyclical adjustments and structural guidance. </w:t>
      </w:r>
      <w:r>
        <w:rPr>
          <w:rFonts w:ascii="Times New Roman" w:hAnsi="Times New Roman" w:cs="Times New Roman"/>
          <w:sz w:val="24"/>
          <w:szCs w:val="24"/>
        </w:rPr>
        <w:t>In Q1 2019, the PBC incorporated medium- and long-term loans and credit loans of the manufacturing sector into the MPA. In Q2, to coordinate with the targeted RRR reduction for rural commercial banks serving local counties, on May 15 the PBC adjusted the MPA measures for MSBs and private corporate loans and guided related financial institutions to use all funds from the RRR reduction for MSBs and private corporate loans.</w:t>
      </w:r>
    </w:p>
    <w:p>
      <w:pPr>
        <w:spacing w:beforeLines="50"/>
        <w:rPr>
          <w:rFonts w:ascii="Times New Roman" w:hAnsi="Times New Roman" w:cs="Times New Roman"/>
          <w:sz w:val="24"/>
          <w:szCs w:val="24"/>
        </w:rPr>
      </w:pPr>
      <w:r>
        <w:rPr>
          <w:rFonts w:ascii="Times New Roman" w:hAnsi="Times New Roman" w:cs="Times New Roman"/>
          <w:b/>
          <w:bCs/>
          <w:sz w:val="24"/>
          <w:szCs w:val="24"/>
        </w:rPr>
        <w:t>Supervision of systemically important financial institutions was enhanced.</w:t>
      </w:r>
      <w:r>
        <w:rPr>
          <w:rFonts w:ascii="Times New Roman" w:hAnsi="Times New Roman" w:cs="Times New Roman"/>
          <w:sz w:val="24"/>
          <w:szCs w:val="24"/>
        </w:rPr>
        <w:t xml:space="preserve"> To accelerate implementation of the</w:t>
      </w:r>
      <w:r>
        <w:rPr>
          <w:rFonts w:ascii="Times New Roman" w:hAnsi="Times New Roman" w:cs="Times New Roman"/>
          <w:i/>
          <w:iCs/>
          <w:sz w:val="24"/>
          <w:szCs w:val="24"/>
        </w:rPr>
        <w:t xml:space="preserve"> Guidelines on Improving the Regulation of Systemically Important Financial Institutions</w:t>
      </w:r>
      <w:r>
        <w:rPr>
          <w:rFonts w:ascii="Times New Roman" w:hAnsi="Times New Roman" w:cs="Times New Roman"/>
          <w:sz w:val="24"/>
          <w:szCs w:val="24"/>
        </w:rPr>
        <w:t>, the PBC coordinated with other related agencies to expedite the drafting of a systemically important bank assessment methodology, based on a business-specific and step-by-step approach. On this basis, the PBC plans to release a list of systemically important banks and to explore the introduction of additional regulatory requirements.</w:t>
      </w:r>
    </w:p>
    <w:p>
      <w:pPr>
        <w:spacing w:beforeLines="50"/>
        <w:rPr>
          <w:rFonts w:ascii="Times New Roman" w:hAnsi="Times New Roman" w:cs="Times New Roman"/>
          <w:sz w:val="24"/>
          <w:szCs w:val="24"/>
        </w:rPr>
      </w:pPr>
      <w:r>
        <w:rPr>
          <w:rFonts w:ascii="Times New Roman" w:hAnsi="Times New Roman" w:cs="Times New Roman"/>
          <w:b/>
          <w:bCs/>
          <w:sz w:val="24"/>
          <w:szCs w:val="24"/>
        </w:rPr>
        <w:t xml:space="preserve">The PBC explored and developed rules and regulations for financial holding companies. </w:t>
      </w:r>
      <w:r>
        <w:rPr>
          <w:rFonts w:ascii="Times New Roman" w:hAnsi="Times New Roman" w:cs="Times New Roman"/>
          <w:sz w:val="24"/>
          <w:szCs w:val="24"/>
        </w:rPr>
        <w:t xml:space="preserve">To standardize the development of financial holding companies, effectively prevent and control financial risks, and better serve the real economy, on July 26, 2019, the PBC released the </w:t>
      </w:r>
      <w:r>
        <w:rPr>
          <w:rFonts w:ascii="Times New Roman" w:hAnsi="Times New Roman" w:cs="Times New Roman"/>
          <w:i/>
          <w:iCs/>
          <w:sz w:val="24"/>
          <w:szCs w:val="24"/>
        </w:rPr>
        <w:t>Interim Measures on the Regulation of Financial Holding Companies (Draft for Comments)</w:t>
      </w:r>
      <w:r>
        <w:rPr>
          <w:rFonts w:ascii="Times New Roman" w:hAnsi="Times New Roman" w:cs="Times New Roman"/>
          <w:sz w:val="24"/>
          <w:szCs w:val="24"/>
        </w:rPr>
        <w:t xml:space="preserve"> to solicit public opinion (hereafter referred to as the </w:t>
      </w:r>
      <w:r>
        <w:rPr>
          <w:rFonts w:ascii="Times New Roman" w:hAnsi="Times New Roman" w:cs="Times New Roman"/>
          <w:i/>
          <w:iCs/>
          <w:sz w:val="24"/>
          <w:szCs w:val="24"/>
        </w:rPr>
        <w:t>Measures</w:t>
      </w:r>
      <w:r>
        <w:rPr>
          <w:rFonts w:ascii="Times New Roman" w:hAnsi="Times New Roman" w:cs="Times New Roman"/>
          <w:sz w:val="24"/>
          <w:szCs w:val="24"/>
        </w:rPr>
        <w:t xml:space="preserve">). The </w:t>
      </w:r>
      <w:r>
        <w:rPr>
          <w:rFonts w:ascii="Times New Roman" w:hAnsi="Times New Roman" w:cs="Times New Roman"/>
          <w:i/>
          <w:iCs/>
          <w:sz w:val="24"/>
          <w:szCs w:val="24"/>
        </w:rPr>
        <w:t>Measures</w:t>
      </w:r>
      <w:r>
        <w:rPr>
          <w:rFonts w:ascii="Times New Roman" w:hAnsi="Times New Roman" w:cs="Times New Roman"/>
          <w:sz w:val="24"/>
          <w:szCs w:val="24"/>
        </w:rPr>
        <w:t xml:space="preserve"> follow a macro prudential design and the consolidated regulatory approach, and aim to impose comprehensive, continuous, and penetrating regulation of the capital, activities, and risks of financial holding companies.</w:t>
      </w:r>
    </w:p>
    <w:p>
      <w:pPr>
        <w:spacing w:beforeLines="50"/>
        <w:rPr>
          <w:rFonts w:ascii="Times New Roman" w:hAnsi="Times New Roman" w:cs="Times New Roman"/>
          <w:sz w:val="24"/>
          <w:szCs w:val="24"/>
        </w:rPr>
      </w:pPr>
    </w:p>
    <w:p>
      <w:pPr>
        <w:pStyle w:val="3"/>
        <w:ind w:firstLine="0" w:firstLineChars="0"/>
        <w:rPr>
          <w:rFonts w:ascii="Times New Roman" w:hAnsi="Times New Roman" w:eastAsia="黑体"/>
          <w:kern w:val="0"/>
        </w:rPr>
      </w:pPr>
      <w:bookmarkStart w:id="78" w:name="_Toc17808072"/>
      <w:bookmarkStart w:id="79" w:name="_Toc17808032"/>
      <w:bookmarkStart w:id="80" w:name="_Toc17807921"/>
      <w:bookmarkStart w:id="81" w:name="_Toc17798263"/>
      <w:r>
        <w:rPr>
          <w:rFonts w:ascii="Times New Roman" w:hAnsi="Times New Roman" w:eastAsia="黑体"/>
          <w:kern w:val="0"/>
        </w:rPr>
        <w:t>V. Expanding the Credit Supply for Key Sectors and Weak Links in the National Economy through Multiple Measures</w:t>
      </w:r>
      <w:bookmarkEnd w:id="78"/>
      <w:bookmarkEnd w:id="79"/>
      <w:bookmarkEnd w:id="80"/>
      <w:bookmarkEnd w:id="81"/>
      <w:r>
        <w:rPr>
          <w:rFonts w:ascii="Times New Roman" w:hAnsi="Times New Roman" w:eastAsia="黑体"/>
          <w:kern w:val="0"/>
        </w:rPr>
        <w:t xml:space="preserve"> </w:t>
      </w:r>
    </w:p>
    <w:p>
      <w:pPr>
        <w:spacing w:beforeLines="50"/>
        <w:rPr>
          <w:rFonts w:ascii="Times New Roman" w:hAnsi="Times New Roman" w:cs="Times New Roman"/>
          <w:b/>
          <w:bCs/>
          <w:sz w:val="24"/>
          <w:szCs w:val="24"/>
        </w:rPr>
      </w:pPr>
      <w:r>
        <w:rPr>
          <w:rFonts w:ascii="Times New Roman" w:hAnsi="Times New Roman" w:cs="Times New Roman"/>
          <w:b/>
          <w:bCs/>
          <w:sz w:val="24"/>
          <w:szCs w:val="24"/>
        </w:rPr>
        <w:t xml:space="preserve">The PBC actively leveraged central-bank lending, central-bank discounts, Pledged Supplementary Lending (PSL), and other policy instruments to guide financial institutions to increase support for the key sectors and weak links in the economy, such as MSBs and private firms, agriculture, rural areas and rural residents, poverty alleviation, renovation of shantytowns, and water conservancy. </w:t>
      </w:r>
      <w:r>
        <w:rPr>
          <w:rFonts w:ascii="Times New Roman" w:hAnsi="Times New Roman" w:cs="Times New Roman"/>
          <w:sz w:val="24"/>
          <w:szCs w:val="24"/>
        </w:rPr>
        <w:t>To strengthen support for small and medium-sized banks and ensure they have adequate liquidity, in June the PBC increased the discount quota by RMB 200 billion and the SLF quota by RMB 100 billion. Small and medium-sized banks could apply to the PBC for discounts or apply for SLFs pledged with collateral, such as eligible bonds and interbank certificate of deposits. At end-June, outstanding central-bank lending to support agriculture, rural areas, and rural residents posted RMB 232.2 billion; such lending for MSBs and poverty alleviation posted RMB 226.7 billion and RMB 149.2 billion respectively. Outstanding central-bank discounts stood at RMB 406.7 billion. In the first half of 2019, the PBC provided RMB 133.5 billion of net PSLs to policy banks and development banks; RMB 27.9 billion of the PSLs were repaid in Q2 and the outstanding volume at end-June was RMB 3.5131 trillion.</w:t>
      </w:r>
    </w:p>
    <w:p>
      <w:pPr>
        <w:spacing w:beforeLines="50"/>
        <w:rPr>
          <w:rFonts w:ascii="Times New Roman" w:hAnsi="Times New Roman" w:cs="Times New Roman"/>
          <w:sz w:val="24"/>
          <w:szCs w:val="24"/>
        </w:rPr>
      </w:pPr>
      <w:r>
        <w:rPr>
          <w:rFonts w:ascii="Times New Roman" w:hAnsi="Times New Roman" w:cs="Times New Roman"/>
          <w:b/>
          <w:bCs/>
          <w:sz w:val="24"/>
          <w:szCs w:val="24"/>
        </w:rPr>
        <w:t>A targeted Medium-term Lending Facility (TMLF) was conducted on a quarterly basis.</w:t>
      </w:r>
      <w:r>
        <w:rPr>
          <w:rFonts w:ascii="Times New Roman" w:hAnsi="Times New Roman" w:cs="Times New Roman"/>
          <w:sz w:val="24"/>
          <w:szCs w:val="24"/>
        </w:rPr>
        <w:t xml:space="preserve"> The TMLF provided a stable and long-term financing source for financial institutions to expand credit supply to MSBs and private firms at preferential interest rates. In January, April, and July 2019, the PBC conducted three TMLF operations, with a volume of RMB 257.5 billion, RMB 267.4 billion, and RMB 297.7 billion respectively at a maturity of 1-year and an interest rate of 3.15 percent. Upon maturity, the facility can be renewed twice based on demand by financial institutions. At the end of the period, the total outstanding balance was RMB 822.6 billion. </w:t>
      </w:r>
    </w:p>
    <w:p>
      <w:pPr>
        <w:spacing w:beforeLines="50"/>
        <w:rPr>
          <w:rFonts w:ascii="Times New Roman" w:hAnsi="Times New Roman" w:cs="Times New Roman"/>
          <w:sz w:val="24"/>
          <w:szCs w:val="24"/>
        </w:rPr>
      </w:pPr>
    </w:p>
    <w:p>
      <w:pPr>
        <w:pStyle w:val="3"/>
        <w:ind w:firstLine="0" w:firstLineChars="0"/>
        <w:rPr>
          <w:rFonts w:ascii="Times New Roman" w:hAnsi="Times New Roman"/>
          <w:b w:val="0"/>
          <w:bCs w:val="0"/>
          <w:szCs w:val="24"/>
        </w:rPr>
      </w:pPr>
      <w:bookmarkStart w:id="82" w:name="_Toc17808073"/>
      <w:bookmarkStart w:id="83" w:name="_Toc17808033"/>
      <w:bookmarkStart w:id="84" w:name="_Toc17807922"/>
      <w:bookmarkStart w:id="85" w:name="_Toc17798264"/>
      <w:r>
        <w:rPr>
          <w:rFonts w:ascii="Times New Roman" w:hAnsi="Times New Roman" w:eastAsia="黑体"/>
          <w:kern w:val="0"/>
        </w:rPr>
        <w:t>VI. Leveraging the Structural Guidance Role of Credit Policies</w:t>
      </w:r>
      <w:bookmarkEnd w:id="82"/>
      <w:bookmarkEnd w:id="83"/>
      <w:bookmarkEnd w:id="84"/>
      <w:bookmarkEnd w:id="85"/>
      <w:r>
        <w:rPr>
          <w:rFonts w:ascii="Times New Roman" w:hAnsi="Times New Roman"/>
          <w:b w:val="0"/>
          <w:bCs w:val="0"/>
          <w:szCs w:val="24"/>
        </w:rPr>
        <w:t xml:space="preserve"> </w:t>
      </w:r>
    </w:p>
    <w:p>
      <w:pPr>
        <w:spacing w:beforeLines="50"/>
        <w:rPr>
          <w:rFonts w:ascii="Times New Roman" w:hAnsi="Times New Roman" w:cs="Times New Roman"/>
          <w:b/>
          <w:bCs/>
          <w:sz w:val="24"/>
          <w:szCs w:val="24"/>
        </w:rPr>
      </w:pPr>
      <w:r>
        <w:rPr>
          <w:rFonts w:ascii="Times New Roman" w:hAnsi="Times New Roman" w:cs="Times New Roman"/>
          <w:b/>
          <w:bCs/>
          <w:sz w:val="24"/>
          <w:szCs w:val="24"/>
        </w:rPr>
        <w:t xml:space="preserve">The PBC combined efforts to promote supply-side structural reforms with structural adjustments of credit policies in order to enhance support for the real economy and guide financial resources to the key sectors and weak links in economic and social development. </w:t>
      </w:r>
    </w:p>
    <w:p>
      <w:pPr>
        <w:spacing w:beforeLines="50"/>
        <w:rPr>
          <w:rFonts w:ascii="Times New Roman" w:hAnsi="Times New Roman" w:cs="Times New Roman"/>
          <w:b/>
          <w:bCs/>
          <w:sz w:val="24"/>
          <w:szCs w:val="24"/>
        </w:rPr>
      </w:pPr>
      <w:r>
        <w:rPr>
          <w:rFonts w:ascii="Times New Roman" w:hAnsi="Times New Roman" w:cs="Times New Roman"/>
          <w:b/>
          <w:bCs/>
          <w:sz w:val="24"/>
          <w:szCs w:val="24"/>
        </w:rPr>
        <w:t>First,</w:t>
      </w:r>
      <w:r>
        <w:rPr>
          <w:rFonts w:ascii="Times New Roman" w:hAnsi="Times New Roman" w:cs="Times New Roman"/>
          <w:sz w:val="24"/>
          <w:szCs w:val="24"/>
        </w:rPr>
        <w:t xml:space="preserve"> financial services were provided to support targeted poverty alleviation. To implement the decisions and plans of the CPC Central Committee to “win the battle against poverty” the PBC released the </w:t>
      </w:r>
      <w:r>
        <w:rPr>
          <w:rFonts w:ascii="Times New Roman" w:hAnsi="Times New Roman" w:cs="Times New Roman"/>
          <w:i/>
          <w:iCs/>
          <w:sz w:val="24"/>
          <w:szCs w:val="24"/>
        </w:rPr>
        <w:t xml:space="preserve">Guidelines on Improving Financial Support for Targeted Poverty Alleviation in 2019 and 2020 </w:t>
      </w:r>
      <w:r>
        <w:rPr>
          <w:rFonts w:ascii="Times New Roman" w:hAnsi="Times New Roman" w:cs="Times New Roman"/>
          <w:sz w:val="24"/>
          <w:szCs w:val="24"/>
        </w:rPr>
        <w:t>(hereafter referred to as the</w:t>
      </w:r>
      <w:r>
        <w:rPr>
          <w:rFonts w:ascii="Times New Roman" w:hAnsi="Times New Roman" w:cs="Times New Roman"/>
          <w:i/>
          <w:iCs/>
          <w:sz w:val="24"/>
          <w:szCs w:val="24"/>
        </w:rPr>
        <w:t xml:space="preserve"> Guidelines</w:t>
      </w:r>
      <w:r>
        <w:rPr>
          <w:rFonts w:ascii="Times New Roman" w:hAnsi="Times New Roman" w:cs="Times New Roman"/>
          <w:sz w:val="24"/>
          <w:szCs w:val="24"/>
        </w:rPr>
        <w:t xml:space="preserve">). The </w:t>
      </w:r>
      <w:r>
        <w:rPr>
          <w:rFonts w:ascii="Times New Roman" w:hAnsi="Times New Roman" w:cs="Times New Roman"/>
          <w:i/>
          <w:iCs/>
          <w:sz w:val="24"/>
          <w:szCs w:val="24"/>
        </w:rPr>
        <w:t>Guidelines</w:t>
      </w:r>
      <w:r>
        <w:rPr>
          <w:rFonts w:ascii="Times New Roman" w:hAnsi="Times New Roman" w:cs="Times New Roman"/>
          <w:sz w:val="24"/>
          <w:szCs w:val="24"/>
        </w:rPr>
        <w:t xml:space="preserve"> aimed to improve resource allocations of financial institutions and to increase credit supply, which focused on key areas including poverty alleviation in areas of abject poverty, financial support for poverty-reducing industries, comprehensive financial services for poverty alleviation relocations, and infrastructure construction in the poor areas. The PBC also organized conference calls on corrective actions following the dedicated inspection of the poverty alleviation programs of the financial system so as to improve the efficiency of financial support for targeted poverty alleviation.</w:t>
      </w:r>
    </w:p>
    <w:p>
      <w:pPr>
        <w:spacing w:beforeLines="50"/>
        <w:rPr>
          <w:rFonts w:ascii="Times New Roman" w:hAnsi="Times New Roman" w:cs="Times New Roman"/>
          <w:sz w:val="24"/>
          <w:szCs w:val="24"/>
        </w:rPr>
      </w:pPr>
      <w:r>
        <w:rPr>
          <w:rFonts w:ascii="Times New Roman" w:hAnsi="Times New Roman" w:cs="Times New Roman"/>
          <w:b/>
          <w:bCs/>
          <w:sz w:val="24"/>
          <w:szCs w:val="24"/>
        </w:rPr>
        <w:t>Second,</w:t>
      </w:r>
      <w:r>
        <w:rPr>
          <w:rFonts w:ascii="Times New Roman" w:hAnsi="Times New Roman" w:cs="Times New Roman"/>
          <w:sz w:val="24"/>
          <w:szCs w:val="24"/>
        </w:rPr>
        <w:t xml:space="preserve"> financial services were provided to support rural revitalization. The PBC promoted financial institutions serving the rural areas by implementing the</w:t>
      </w:r>
      <w:r>
        <w:rPr>
          <w:rFonts w:ascii="Times New Roman" w:hAnsi="Times New Roman" w:cs="Times New Roman"/>
          <w:i/>
          <w:iCs/>
          <w:sz w:val="24"/>
          <w:szCs w:val="24"/>
        </w:rPr>
        <w:t xml:space="preserve"> Guidelines on Financial Services for Rural Revitalization, </w:t>
      </w:r>
      <w:r>
        <w:rPr>
          <w:rFonts w:ascii="Times New Roman" w:hAnsi="Times New Roman" w:cs="Times New Roman"/>
          <w:sz w:val="24"/>
          <w:szCs w:val="24"/>
        </w:rPr>
        <w:t>so that these institutions can increase the effective supply of financial resources to rural areas based on their business allocations and key supporting areas. The PBC also promoted innovations of financial products and services, expanded the pledged collateral for rural areas and the agricultural sector, and guided financial institutions to innovate their credit management mechanism in order to meet the diversified financing needs of rural revitalization. The PBC continued to improve nationwide follow-up and monitoring after expiration of the pilot projects of collateralized loans with operational rights for contracted farmland and rural housing property and explored how to comprehensively promote collateralized loans against operational rights for contracted farmland.</w:t>
      </w:r>
    </w:p>
    <w:p>
      <w:pPr>
        <w:spacing w:beforeLines="50"/>
        <w:rPr>
          <w:rFonts w:ascii="Times New Roman" w:hAnsi="Times New Roman" w:cs="Times New Roman"/>
          <w:sz w:val="24"/>
          <w:szCs w:val="24"/>
        </w:rPr>
      </w:pPr>
      <w:r>
        <w:rPr>
          <w:rFonts w:ascii="Times New Roman" w:hAnsi="Times New Roman" w:cs="Times New Roman"/>
          <w:b/>
          <w:bCs/>
          <w:sz w:val="24"/>
          <w:szCs w:val="24"/>
        </w:rPr>
        <w:t>Third,</w:t>
      </w:r>
      <w:r>
        <w:rPr>
          <w:rFonts w:ascii="Times New Roman" w:hAnsi="Times New Roman" w:cs="Times New Roman"/>
          <w:sz w:val="24"/>
          <w:szCs w:val="24"/>
        </w:rPr>
        <w:t xml:space="preserve"> efforts were made to address the restricted access to and high costs of financing for MSBs. The PBC expanded the pilot programs on bond-financing supporting tools for private firms, encouraged financial institutions to issue financial bonds to support MSBs, and broadened the funding sources for MSBs. The PBC deepened account- receivable financing for MSBs and enhanced support for MSB note financing. The PBC urged financial institutions to reasonably allocate internal credit resources, carry out due diligence and exemptions, and leverage fintech approaches to enhance customer acquisition and risk control. The PBC also conducted a performance evaluation regarding policy guidance on MSB credits in order to improve the policy transmission.</w:t>
      </w:r>
    </w:p>
    <w:p>
      <w:pPr>
        <w:spacing w:beforeLines="50"/>
        <w:rPr>
          <w:rFonts w:ascii="Times New Roman" w:hAnsi="Times New Roman" w:cs="Times New Roman"/>
          <w:sz w:val="24"/>
          <w:szCs w:val="24"/>
        </w:rPr>
      </w:pPr>
      <w:r>
        <w:rPr>
          <w:rFonts w:ascii="Times New Roman" w:hAnsi="Times New Roman" w:cs="Times New Roman"/>
          <w:b/>
          <w:bCs/>
          <w:sz w:val="24"/>
          <w:szCs w:val="24"/>
        </w:rPr>
        <w:t>Fourth,</w:t>
      </w:r>
      <w:r>
        <w:rPr>
          <w:rFonts w:ascii="Times New Roman" w:hAnsi="Times New Roman" w:cs="Times New Roman"/>
          <w:sz w:val="24"/>
          <w:szCs w:val="24"/>
        </w:rPr>
        <w:t xml:space="preserve"> the PBC effectively supported employment and business start-ups through financial assistance. To “stabilize employment,” the PBC implemented policies such as raising the secured loan quotas for start-up businesses and improving their categorization and statistical work. The PBC also released the </w:t>
      </w:r>
      <w:r>
        <w:rPr>
          <w:rFonts w:ascii="Times New Roman" w:hAnsi="Times New Roman" w:cs="Times New Roman"/>
          <w:i/>
          <w:iCs/>
          <w:sz w:val="24"/>
          <w:szCs w:val="24"/>
        </w:rPr>
        <w:t>Notice on Improving Employment and Business Start-ups of College and University Graduates under Current Conditions</w:t>
      </w:r>
      <w:r>
        <w:rPr>
          <w:rFonts w:ascii="Times New Roman" w:hAnsi="Times New Roman" w:cs="Times New Roman"/>
          <w:sz w:val="24"/>
          <w:szCs w:val="24"/>
        </w:rPr>
        <w:t xml:space="preserve">, to support priority social groups including veterans, rural migrants, and college graduates in starting their own businesses or securing job opportunities. </w:t>
      </w:r>
    </w:p>
    <w:p>
      <w:pPr>
        <w:spacing w:beforeLines="50"/>
        <w:rPr>
          <w:rFonts w:ascii="Times New Roman" w:hAnsi="Times New Roman" w:cs="Times New Roman"/>
          <w:sz w:val="24"/>
          <w:szCs w:val="24"/>
        </w:rPr>
      </w:pPr>
      <w:r>
        <w:rPr>
          <w:rFonts w:ascii="Times New Roman" w:hAnsi="Times New Roman" w:cs="Times New Roman"/>
          <w:b/>
          <w:bCs/>
          <w:sz w:val="24"/>
          <w:szCs w:val="24"/>
        </w:rPr>
        <w:t>Fifth,</w:t>
      </w:r>
      <w:r>
        <w:rPr>
          <w:rFonts w:ascii="Times New Roman" w:hAnsi="Times New Roman" w:cs="Times New Roman"/>
          <w:sz w:val="24"/>
          <w:szCs w:val="24"/>
        </w:rPr>
        <w:t xml:space="preserve"> efforts were made to support high-quality growth of the manufacturing sector. The PBC guided financial institutions to implement differentiated credit policies so as to step up support for the advanced and high-tech manufacturing industries and to smoothly phase out loans extended to overcapacity industries. The PBC also properly resolved the debts of zombie firms through tailored measures, such as bankruptcy, reconsolidation, or debt restructuring.</w:t>
      </w:r>
    </w:p>
    <w:p>
      <w:pPr>
        <w:spacing w:beforeLines="50"/>
        <w:rPr>
          <w:rFonts w:ascii="Times New Roman" w:hAnsi="Times New Roman" w:cs="Times New Roman"/>
          <w:sz w:val="24"/>
          <w:szCs w:val="24"/>
        </w:rPr>
      </w:pPr>
      <w:r>
        <w:rPr>
          <w:rFonts w:ascii="Times New Roman" w:hAnsi="Times New Roman" w:cs="Times New Roman"/>
          <w:b/>
          <w:bCs/>
          <w:sz w:val="24"/>
          <w:szCs w:val="24"/>
        </w:rPr>
        <w:t>Sixth,</w:t>
      </w:r>
      <w:r>
        <w:rPr>
          <w:rFonts w:ascii="Times New Roman" w:hAnsi="Times New Roman" w:cs="Times New Roman"/>
          <w:sz w:val="24"/>
          <w:szCs w:val="24"/>
        </w:rPr>
        <w:t xml:space="preserve"> financial services for the modern service sector were improved. The PBC continued to advance financial services in key sectors, such as infrastructure construction, shantytown rebuilding, underground pipelines, railways, and energy. Efforts were made to promote purchase-order or account-receivable financing by upstream and downstream enterprises in industries such as physical retailing, logistics, software, and digital e-commerce. Consumer financial services were strengthened to generate higher growth in key consumer sectors, including education, elderly care, medical care, culture, tourism, and housekeeping.</w:t>
      </w:r>
    </w:p>
    <w:p>
      <w:pPr>
        <w:spacing w:beforeLines="50"/>
        <w:rPr>
          <w:rFonts w:ascii="Times New Roman" w:hAnsi="Times New Roman" w:cs="Times New Roman"/>
          <w:sz w:val="24"/>
          <w:szCs w:val="24"/>
        </w:rPr>
      </w:pPr>
      <w:r>
        <w:rPr>
          <w:rFonts w:ascii="Times New Roman" w:hAnsi="Times New Roman" w:cs="Times New Roman"/>
          <w:b/>
          <w:bCs/>
          <w:sz w:val="24"/>
          <w:szCs w:val="24"/>
        </w:rPr>
        <w:t xml:space="preserve">Seventh, </w:t>
      </w:r>
      <w:r>
        <w:rPr>
          <w:rFonts w:ascii="Times New Roman" w:hAnsi="Times New Roman" w:cs="Times New Roman"/>
          <w:sz w:val="24"/>
          <w:szCs w:val="24"/>
        </w:rPr>
        <w:t xml:space="preserve">the PBC contributed to the implementation of major national strategies through financial services, including coordinated development of the Beijing-Tianjin-Hebei area, the Belt and Road Initiative, the Yangtze River Economic Belt, the Western Development Strategy, and civil-military integration. </w:t>
      </w:r>
    </w:p>
    <w:p>
      <w:pPr>
        <w:spacing w:beforeLines="50"/>
        <w:rPr>
          <w:rFonts w:ascii="Times New Roman" w:hAnsi="Times New Roman" w:cs="Times New Roman"/>
          <w:sz w:val="24"/>
          <w:szCs w:val="24"/>
        </w:rPr>
      </w:pPr>
    </w:p>
    <w:p>
      <w:pPr>
        <w:pStyle w:val="3"/>
        <w:ind w:firstLine="0" w:firstLineChars="0"/>
        <w:rPr>
          <w:rFonts w:ascii="Times New Roman" w:hAnsi="Times New Roman" w:eastAsia="黑体"/>
          <w:kern w:val="0"/>
        </w:rPr>
      </w:pPr>
      <w:bookmarkStart w:id="86" w:name="_Toc17807923"/>
      <w:bookmarkStart w:id="87" w:name="_Toc17808034"/>
      <w:bookmarkStart w:id="88" w:name="_Toc17798265"/>
      <w:bookmarkStart w:id="89" w:name="_Toc17808074"/>
      <w:r>
        <w:rPr>
          <w:rFonts w:ascii="Times New Roman" w:hAnsi="Times New Roman" w:eastAsia="黑体"/>
          <w:kern w:val="0"/>
        </w:rPr>
        <w:t>VII．Deepening the market-oriented interest-rate reform</w:t>
      </w:r>
      <w:bookmarkEnd w:id="86"/>
      <w:bookmarkEnd w:id="87"/>
      <w:bookmarkEnd w:id="88"/>
      <w:bookmarkEnd w:id="89"/>
    </w:p>
    <w:p>
      <w:pPr>
        <w:spacing w:beforeLines="50"/>
        <w:rPr>
          <w:rFonts w:ascii="Times New Roman" w:hAnsi="Times New Roman" w:cs="Times New Roman"/>
          <w:sz w:val="24"/>
          <w:szCs w:val="24"/>
        </w:rPr>
      </w:pPr>
      <w:r>
        <w:rPr>
          <w:rFonts w:ascii="Times New Roman" w:hAnsi="Times New Roman" w:cs="Times New Roman"/>
          <w:b/>
          <w:sz w:val="24"/>
          <w:szCs w:val="24"/>
        </w:rPr>
        <w:t>Continued efforts were made to deepen the market-oriented interest-rate reform so as to focus on further market-oriented reforms of lending rates.</w:t>
      </w:r>
      <w:r>
        <w:rPr>
          <w:rFonts w:ascii="Times New Roman" w:hAnsi="Times New Roman" w:cs="Times New Roman"/>
          <w:sz w:val="24"/>
          <w:szCs w:val="24"/>
        </w:rPr>
        <w:t xml:space="preserve"> The PBC worked to improve the LPR mechanism among commercial banks and to have the LPR play a guiding role in the formation of real interest rates so as to improve the market-based interest-rate formation and transmission mechanism, which smoothed the transmission of policy rates to market rates and promoted a reduction in the real interest rates for the financing of enterprises. The PBC also worked to improve the independent pricing capability of financial institutions and to appropriate enhance market competition so as to encourage financial institutions to price risks more accurately and to better serve the real economy.</w:t>
      </w:r>
    </w:p>
    <w:p>
      <w:pPr>
        <w:shd w:val="clear" w:fill="92D050"/>
        <w:spacing w:beforeLines="50"/>
        <w:rPr>
          <w:rFonts w:ascii="Times New Roman" w:hAnsi="Times New Roman" w:cs="Times New Roman"/>
          <w:sz w:val="24"/>
          <w:szCs w:val="24"/>
          <w:highlight w:val="none"/>
        </w:rPr>
      </w:pPr>
    </w:p>
    <w:p>
      <w:pPr>
        <w:pStyle w:val="4"/>
        <w:shd w:val="clear" w:fill="92D050"/>
        <w:rPr>
          <w:highlight w:val="none"/>
        </w:rPr>
      </w:pPr>
      <w:bookmarkStart w:id="90" w:name="_Toc17808075"/>
      <w:r>
        <w:rPr>
          <w:highlight w:val="none"/>
        </w:rPr>
        <w:t>Box 2 Deepening Supply-side Structural Reforms in the Financial Sector to Support High-quality Economic Development</w:t>
      </w:r>
      <w:bookmarkEnd w:id="90"/>
    </w:p>
    <w:p>
      <w:pPr>
        <w:shd w:val="clear" w:fill="92D050"/>
        <w:spacing w:beforeLines="50"/>
        <w:rPr>
          <w:rFonts w:ascii="Times New Roman" w:hAnsi="Times New Roman" w:cs="Times New Roman"/>
          <w:sz w:val="24"/>
          <w:szCs w:val="24"/>
          <w:highlight w:val="none"/>
        </w:rPr>
      </w:pPr>
      <w:r>
        <w:rPr>
          <w:rFonts w:ascii="Times New Roman" w:hAnsi="Times New Roman" w:cs="Times New Roman"/>
          <w:sz w:val="24"/>
          <w:szCs w:val="24"/>
          <w:highlight w:val="none"/>
        </w:rPr>
        <w:t>General Secretary Xi Jinping pointed out at the 13th group study session of the Politburo of the CPC Central Committee in February 2019 that it was necessary to correctly understand the nature of finance and to deepen supply-side structural reforms in the financial sector, which is an important measure to guide the return of financial services to the real economy, an inevitable requirement to promote high-quality economic development, and a permanent cure for preventing and resolving major financial risks.</w:t>
      </w:r>
    </w:p>
    <w:p>
      <w:pPr>
        <w:shd w:val="clear" w:fill="92D050"/>
        <w:spacing w:beforeLines="50"/>
        <w:rPr>
          <w:rFonts w:ascii="Times New Roman" w:hAnsi="Times New Roman" w:cs="Times New Roman"/>
          <w:sz w:val="24"/>
          <w:szCs w:val="24"/>
          <w:highlight w:val="none"/>
        </w:rPr>
      </w:pPr>
    </w:p>
    <w:p>
      <w:pPr>
        <w:shd w:val="clear" w:fill="92D050"/>
        <w:spacing w:beforeLines="50"/>
        <w:rPr>
          <w:rFonts w:ascii="Times New Roman" w:hAnsi="Times New Roman" w:cs="Times New Roman"/>
          <w:sz w:val="24"/>
          <w:szCs w:val="24"/>
          <w:highlight w:val="none"/>
        </w:rPr>
      </w:pPr>
      <w:r>
        <w:rPr>
          <w:rFonts w:ascii="Times New Roman" w:hAnsi="Times New Roman" w:cs="Times New Roman"/>
          <w:sz w:val="24"/>
          <w:szCs w:val="24"/>
          <w:highlight w:val="none"/>
        </w:rPr>
        <w:t>For a long time, monetary-policy operations have attached great importance to the impact of financial supply. Under the leadership of the CPC Central Committee and the State Council, the PBC has orderly promoted various financial reforms, solved the institutional problems affecting and restricting financial support to the real economy, and continuously improved the quality of financial services. The PBC has promoted transformation of the monetary-policy framework from quantitative adjustments to price adjustments, and has constantly improved the macro-prudential policy framework. Reforms of interest-rate liberalization and the exchange-rate formation mechanism have been steadily promoted so as to optimize the allocation of financial resources by rationalizing the price mechanism. Reforms of large commercial banks and other large financial enterprises have also been continuously deepened in order to allow the banking system to play a central role in the transmission of monetary policy by improving the modern financial enterprise system. However, it should also be noted that the current market structure, business philosophy, innovation capability, and services of China's financial industry are not yet adapted to the requirements of high-quality economic development, and many conflicts and problems remain prominent. Under the complicated situations at home and abroad, the most important thing is to do our own jobs well. We will steadily promote supply-side structural reforms in the financial sector, focus on serving the real economy and people's livelihood, adhere to the principle of integrity and innovation to promote development, and encourage financial institutions to increase their support to key sectors and weak links in the national economy, such as private firms and MSBs, by institutional arrangements so as to vigorously improve the capacity and efficiency of financial supplies.</w:t>
      </w:r>
    </w:p>
    <w:p>
      <w:pPr>
        <w:shd w:val="clear" w:fill="92D050"/>
        <w:spacing w:beforeLines="50"/>
        <w:rPr>
          <w:rFonts w:ascii="Times New Roman" w:hAnsi="Times New Roman" w:cs="Times New Roman"/>
          <w:sz w:val="24"/>
          <w:szCs w:val="24"/>
          <w:highlight w:val="none"/>
        </w:rPr>
      </w:pPr>
    </w:p>
    <w:p>
      <w:pPr>
        <w:shd w:val="clear" w:fill="92D050"/>
        <w:spacing w:beforeLines="50"/>
        <w:rPr>
          <w:rFonts w:ascii="Times New Roman" w:hAnsi="Times New Roman" w:cs="Times New Roman"/>
          <w:sz w:val="24"/>
          <w:szCs w:val="24"/>
          <w:highlight w:val="none"/>
        </w:rPr>
      </w:pPr>
      <w:r>
        <w:rPr>
          <w:rFonts w:ascii="Times New Roman" w:hAnsi="Times New Roman" w:cs="Times New Roman"/>
          <w:sz w:val="24"/>
          <w:szCs w:val="24"/>
          <w:highlight w:val="none"/>
        </w:rPr>
        <w:t>Since 2019, the PBC has emphasized combining monetary-policy operations with promotion of supply-side structural reforms in the financial sector, focusing on the following tasks:</w:t>
      </w:r>
    </w:p>
    <w:p>
      <w:pPr>
        <w:shd w:val="clear" w:fill="92D050"/>
        <w:spacing w:beforeLines="50"/>
        <w:rPr>
          <w:rFonts w:ascii="Times New Roman" w:hAnsi="Times New Roman" w:cs="Times New Roman"/>
          <w:sz w:val="24"/>
          <w:szCs w:val="24"/>
          <w:highlight w:val="none"/>
        </w:rPr>
      </w:pPr>
    </w:p>
    <w:p>
      <w:pPr>
        <w:shd w:val="clear" w:fill="92D050"/>
        <w:spacing w:beforeLines="50"/>
        <w:rPr>
          <w:rFonts w:ascii="Times New Roman" w:hAnsi="Times New Roman" w:cs="Times New Roman"/>
          <w:sz w:val="24"/>
          <w:szCs w:val="24"/>
          <w:highlight w:val="none"/>
        </w:rPr>
      </w:pPr>
      <w:r>
        <w:rPr>
          <w:rFonts w:ascii="Times New Roman" w:hAnsi="Times New Roman" w:cs="Times New Roman"/>
          <w:sz w:val="24"/>
          <w:szCs w:val="24"/>
          <w:highlight w:val="none"/>
        </w:rPr>
        <w:t>First, deepening the market-oriented interest-rate reform and reducing financing costs by means of reform. After years of continuous advancement, important progress has been made in the interest-rate liberalization, but there still exists a “dual-track” interest- rate mechanism with the coexistence of benchmark rates and market rates, which hinders market-oriented interest-rate operations and the transmission from policy rates to lending rates. The PBC, focusing on the convergence of lending rates, worked on the shift from a “dual-track” to a “single-track” mechanism, improved the LPR mechanism of commercial banks so that the LPR can play a guiding role in the formation of the real interest rate. Compared with the benchmark lending rate, the LPR is more market-oriented, which can better reflect the supply and demand of funds in the credit market. As banks use the LPR more as a pricing reference, it will help to further unblock the transmission of policy rates to lending rates and facilitate a reduction in real lending rates.</w:t>
      </w:r>
    </w:p>
    <w:p>
      <w:pPr>
        <w:shd w:val="clear" w:fill="92D050"/>
        <w:spacing w:beforeLines="50"/>
        <w:rPr>
          <w:rFonts w:ascii="Times New Roman" w:hAnsi="Times New Roman" w:cs="Times New Roman"/>
          <w:sz w:val="24"/>
          <w:szCs w:val="24"/>
          <w:highlight w:val="none"/>
        </w:rPr>
      </w:pPr>
    </w:p>
    <w:p>
      <w:pPr>
        <w:shd w:val="clear" w:fill="92D050"/>
        <w:spacing w:beforeLines="50"/>
        <w:rPr>
          <w:rFonts w:ascii="Times New Roman" w:hAnsi="Times New Roman" w:cs="Times New Roman"/>
          <w:sz w:val="24"/>
          <w:szCs w:val="24"/>
          <w:highlight w:val="none"/>
        </w:rPr>
      </w:pPr>
      <w:r>
        <w:rPr>
          <w:rFonts w:ascii="Times New Roman" w:hAnsi="Times New Roman" w:cs="Times New Roman"/>
          <w:sz w:val="24"/>
          <w:szCs w:val="24"/>
          <w:highlight w:val="none"/>
        </w:rPr>
        <w:t>Second, constructing a RRR framework of three tranches and two preferential treatments to optimize the financial supply structure and credit-fund allocations through reform. In the past, adjusting the required reserve ratios mainly followed a structural approach, and the structure of the required reserve system was complicated. Based on in-depth research, in May 2019 the PBC announced the establishment of a RRR framework with three tranches and two preferential treatments. “Three tranches” refer to three levels of the RRR for large banks, medium-sized banks, and banks serving counties, while the “two preferential treatments” refer to two preferential policies based on the three tranches. Such a transparent and simple system is conducive to handling the relationship between the volume and structure, enhancing the financial capacity of small and medium-sized banks serving counties, and encouraging small and medium banks to serve their customer groups by institutional arrangements so as to effectively improve financial services and reduce the financing costs for private firms and MSBs. At the same time, the policy was issued promptly and decisively, reflecting its counter-cyclical nature in response to changes in the domestic and foreign environments and market expectations.</w:t>
      </w:r>
    </w:p>
    <w:p>
      <w:pPr>
        <w:shd w:val="clear" w:fill="92D050"/>
        <w:spacing w:beforeLines="50"/>
        <w:rPr>
          <w:rFonts w:ascii="Times New Roman" w:hAnsi="Times New Roman" w:cs="Times New Roman"/>
          <w:sz w:val="24"/>
          <w:szCs w:val="24"/>
          <w:highlight w:val="none"/>
        </w:rPr>
      </w:pPr>
    </w:p>
    <w:p>
      <w:pPr>
        <w:shd w:val="clear" w:fill="92D050"/>
        <w:spacing w:beforeLines="50"/>
        <w:rPr>
          <w:rFonts w:ascii="Times New Roman" w:hAnsi="Times New Roman" w:cs="Times New Roman"/>
          <w:sz w:val="24"/>
          <w:szCs w:val="24"/>
          <w:highlight w:val="none"/>
        </w:rPr>
      </w:pPr>
      <w:r>
        <w:rPr>
          <w:rFonts w:ascii="Times New Roman" w:hAnsi="Times New Roman" w:cs="Times New Roman"/>
          <w:sz w:val="24"/>
          <w:szCs w:val="24"/>
          <w:highlight w:val="none"/>
        </w:rPr>
        <w:t>Third, replenishing bank capital with perpetual bonds as a breakthrough and strengthening the sustainability of financial support to the real economy by means of reform. Banks are the mainstay of credit creation and the center of the monetary-policy transmission mechanism. In 2018, pressure of an economic downturn and a credit crunch increased, and a credit crunch became the main obstacle restricting economic and financial operations. Capital constraints were one of the important reasons for this. After identifying this key weak spot in the policy transmission, the PBC communicated repeatedly with the CBIRC, the Ministry of Finance, the Legislative Affairs Commission of the NPC Standing Committee, and directly consulted with the Basel Committee, and finally explored a feasible model, under the existing legal, regulatory, and accounting frameworks, setting the term of perpetual bonds as the bank's registered duration. This solves the conflict between the legal requirements for bond maturities in the Company Law and the tier-1 capital requirements. The former requires that bonds should have a fixed maturity date, while the latter suggests that no fixed term should be imposed on tier 1 capital. The PBC used the issuance of perpetual bonds as a breakthrough to ease the capital constraints of banks in supporting the real economy and introduced a Central Bank Bills Swap (CBS) to incorporate qualified bank perpetual bonds into the scope of central-bank collateral to provide support for banks to issue perpetual bonds. By July 2019, five banks, namely, the Bank of China, Minsheng Bank, Huaxia Bank, Pudong Development Bank, and the Industrial and Commercial Bank of China, had issued a total of RMB 230 billion worth of perpetual bonds, and another 13 banks had planned to issue more than RMB 470 billion worth of perpetual loans. Market expectations have improved significantly and the sustainable financial support for the real economy is increasing.</w:t>
      </w:r>
    </w:p>
    <w:p>
      <w:pPr>
        <w:shd w:val="clear" w:fill="92D050"/>
        <w:spacing w:beforeLines="50"/>
        <w:rPr>
          <w:rFonts w:ascii="Times New Roman" w:hAnsi="Times New Roman" w:cs="Times New Roman"/>
          <w:sz w:val="24"/>
          <w:szCs w:val="24"/>
          <w:highlight w:val="none"/>
        </w:rPr>
      </w:pPr>
    </w:p>
    <w:p>
      <w:pPr>
        <w:shd w:val="clear" w:fill="92D050"/>
        <w:spacing w:beforeLines="50"/>
        <w:rPr>
          <w:rFonts w:ascii="Times New Roman" w:hAnsi="Times New Roman" w:cs="Times New Roman"/>
          <w:sz w:val="24"/>
          <w:szCs w:val="24"/>
          <w:highlight w:val="none"/>
        </w:rPr>
      </w:pPr>
      <w:r>
        <w:rPr>
          <w:rFonts w:ascii="Times New Roman" w:hAnsi="Times New Roman" w:cs="Times New Roman"/>
          <w:sz w:val="24"/>
          <w:szCs w:val="24"/>
          <w:highlight w:val="none"/>
        </w:rPr>
        <w:t>Going forward, und</w:t>
      </w:r>
      <w:r>
        <w:rPr>
          <w:rFonts w:ascii="Times New Roman" w:hAnsi="Times New Roman" w:cs="Times New Roman"/>
          <w:sz w:val="24"/>
          <w:szCs w:val="24"/>
          <w:highlight w:val="none"/>
          <w:shd w:val="clear" w:fill="92D050"/>
        </w:rPr>
        <w:t xml:space="preserve">er </w:t>
      </w:r>
      <w:r>
        <w:rPr>
          <w:rFonts w:ascii="Times New Roman" w:hAnsi="Times New Roman" w:cs="Times New Roman"/>
          <w:sz w:val="24"/>
          <w:szCs w:val="24"/>
          <w:highlight w:val="none"/>
          <w:shd w:val="clear" w:color="auto" w:fill="92D050"/>
        </w:rPr>
        <w:t>the overall arrangements of the CPC Central Committee and the State Council and with Xi Jinping Thought on Socialism with Chinese Characteristics for a New Era as guidance, the PBC will "remain true to our original aspirations and keep our mission firmly in mind," and will  implement a sound monetary policy focusing on promoting supply-side structural reforms in the financial sector and supporting high-quality economic development.</w:t>
      </w:r>
    </w:p>
    <w:p>
      <w:pPr>
        <w:spacing w:beforeLines="50"/>
        <w:rPr>
          <w:rFonts w:ascii="Times New Roman" w:hAnsi="Times New Roman" w:cs="Times New Roman"/>
          <w:sz w:val="24"/>
          <w:szCs w:val="24"/>
          <w:highlight w:val="black"/>
        </w:rPr>
      </w:pPr>
    </w:p>
    <w:p>
      <w:pPr>
        <w:pStyle w:val="3"/>
        <w:ind w:firstLine="0" w:firstLineChars="0"/>
        <w:rPr>
          <w:rFonts w:ascii="Times New Roman" w:hAnsi="Times New Roman"/>
          <w:b w:val="0"/>
          <w:szCs w:val="24"/>
        </w:rPr>
      </w:pPr>
      <w:bookmarkStart w:id="91" w:name="_Toc17798266"/>
      <w:bookmarkStart w:id="92" w:name="_Toc17808076"/>
      <w:bookmarkStart w:id="93" w:name="_Toc17808035"/>
      <w:bookmarkStart w:id="94" w:name="_Toc17807924"/>
      <w:r>
        <w:rPr>
          <w:rFonts w:ascii="Times New Roman" w:hAnsi="Times New Roman" w:eastAsia="黑体"/>
          <w:kern w:val="0"/>
        </w:rPr>
        <w:t>VIII. Improving the market-oriented RMB exchange-rate regime</w:t>
      </w:r>
      <w:bookmarkEnd w:id="91"/>
      <w:bookmarkEnd w:id="92"/>
      <w:bookmarkEnd w:id="93"/>
      <w:bookmarkEnd w:id="94"/>
    </w:p>
    <w:p>
      <w:pPr>
        <w:spacing w:beforeLines="50"/>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b/>
          <w:sz w:val="24"/>
          <w:szCs w:val="24"/>
        </w:rPr>
        <w:t xml:space="preserve">he PBC has given priority to the domestic side while also taking into account international factors so as to achieve an overall balance with multiple objectives. </w:t>
      </w:r>
      <w:r>
        <w:rPr>
          <w:rFonts w:ascii="Times New Roman" w:hAnsi="Times New Roman" w:cs="Times New Roman"/>
          <w:sz w:val="24"/>
          <w:szCs w:val="24"/>
        </w:rPr>
        <w:t>With reference to the foreign-exchange rates of a basket of currencies, the RMB exchange rate floated both upward and downward on the basis of market supply and demand and remained basically stable at a reasonable and balanced level. In the first half of this year, the highest and lowest central parities of the RMB against the USD were RMB 6.6850 and RMB 6.8994 per USD, respectively. During the 118 trading days, the RMB appreciated on 53 days and depreciated on 64 days, and remained unchanged on 1 day. The biggest intra-day appreciation and depreciation was 0.70 percent (469 bps) and 0.61 percent (414 bps), respectively. The RMB exchange rate against other major international currencies has diverged. At the end of June, the central parities of the RMB against the euro, the British pound, and the Japanese yen stood at RMB 7.8170 per euro, RMB 8.7113 per pound, and RMB 6.3816 per 100 yen, representing an appreciation of 0.39 percent, a depreciation of 0.40 percent, and a depreciation of 3.02 percent respectively from end-2018. From the RMB exchange-rate regime reform in 2005 to end-June 2019, the RMB appreciated by a cumulative 28.11 percent against the euro and 14.48 percent against the yen. Direct RMB trading was buoyant on the interbank foreign-exchange market with an increase in liquidity, which lowered the conversion costs for market participants and facilitated bilateral trade and investment.</w:t>
      </w:r>
    </w:p>
    <w:p>
      <w:pPr>
        <w:spacing w:beforeLines="50"/>
        <w:rPr>
          <w:rFonts w:ascii="Times New Roman" w:hAnsi="Times New Roman" w:cs="Times New Roman"/>
          <w:sz w:val="24"/>
          <w:szCs w:val="24"/>
        </w:rPr>
      </w:pPr>
    </w:p>
    <w:p>
      <w:pPr>
        <w:spacing w:beforeLines="50"/>
        <w:rPr>
          <w:rFonts w:ascii="Times New Roman" w:hAnsi="Times New Roman" w:cs="Times New Roman"/>
          <w:sz w:val="24"/>
          <w:szCs w:val="24"/>
        </w:rPr>
      </w:pPr>
      <w:r>
        <w:rPr>
          <w:rFonts w:ascii="Times New Roman" w:hAnsi="Times New Roman" w:cs="Times New Roman"/>
          <w:sz w:val="24"/>
          <w:szCs w:val="24"/>
        </w:rPr>
        <w:t>Since August, affected by the international economic and financial situations, unilateralism and trade protectionism measures, and the imposition of additional tariffs on China, the RMB has depreciated against the US dollar, with the central parity falling below RMB 7 per USD, which reflects the fluctuations in foreign-exchange supply and demand and the volatility of international foreign-exchange markets. Households, enterprises, and financial institutions all adopted a rational and objective view on the depreciation of the RMB. Market expectations remained generally stable and the RMB exchange rate continued to be basically stable at a reasonable and balanced level.</w:t>
      </w:r>
    </w:p>
    <w:p>
      <w:pPr>
        <w:spacing w:beforeLines="50"/>
        <w:rPr>
          <w:rFonts w:ascii="Times New Roman" w:hAnsi="Times New Roman" w:cs="Times New Roman"/>
          <w:sz w:val="24"/>
          <w:szCs w:val="24"/>
        </w:rPr>
      </w:pPr>
    </w:p>
    <w:p>
      <w:pPr>
        <w:spacing w:beforeLines="50"/>
        <w:rPr>
          <w:rFonts w:ascii="Times New Roman" w:hAnsi="Times New Roman" w:cs="Times New Roman"/>
          <w:sz w:val="24"/>
          <w:szCs w:val="24"/>
        </w:rPr>
      </w:pPr>
      <w:r>
        <w:rPr>
          <w:rFonts w:ascii="Times New Roman" w:hAnsi="Times New Roman" w:cs="Times New Roman"/>
          <w:sz w:val="24"/>
          <w:szCs w:val="24"/>
        </w:rPr>
        <w:t xml:space="preserve">At end-June, under the bilateral currency-swap agreements between the PBC and foreign monetary authorities, the latter utilized a total of RMB 33.242 billion and the former utilized the equivalent of USD 336 million of foreign currencies. These operations played a positive role in promoting bilateral trade and investment. </w:t>
      </w:r>
    </w:p>
    <w:p>
      <w:pPr>
        <w:spacing w:beforeLines="50"/>
        <w:rPr>
          <w:rFonts w:ascii="Times New Roman" w:hAnsi="Times New Roman" w:cs="Times New Roman"/>
          <w:sz w:val="24"/>
          <w:szCs w:val="24"/>
        </w:rPr>
      </w:pPr>
    </w:p>
    <w:p>
      <w:pPr>
        <w:widowControl/>
        <w:jc w:val="left"/>
        <w:rPr>
          <w:rFonts w:ascii="Times New Roman" w:hAnsi="Times New Roman" w:cs="Times New Roman"/>
          <w:sz w:val="24"/>
          <w:szCs w:val="24"/>
        </w:rPr>
      </w:pPr>
      <w:bookmarkStart w:id="95" w:name="_Toc3902870"/>
      <w:r>
        <w:rPr>
          <w:rFonts w:ascii="Times New Roman" w:hAnsi="Times New Roman" w:cs="Times New Roman"/>
          <w:sz w:val="24"/>
          <w:szCs w:val="24"/>
        </w:rPr>
        <w:br w:type="page"/>
      </w:r>
    </w:p>
    <w:p>
      <w:pPr>
        <w:pStyle w:val="5"/>
        <w:jc w:val="center"/>
      </w:pPr>
      <w:bookmarkStart w:id="96" w:name="_Toc17809068"/>
      <w:r>
        <w:rPr>
          <w:rFonts w:ascii="Times New Roman" w:hAnsi="Times New Roman" w:cs="Times New Roman"/>
          <w:b/>
          <w:sz w:val="24"/>
          <w:szCs w:val="24"/>
        </w:rPr>
        <w:t xml:space="preserve">Table </w:t>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SEQ Table \* ARABIC </w:instrText>
      </w:r>
      <w:r>
        <w:rPr>
          <w:rFonts w:ascii="Times New Roman" w:hAnsi="Times New Roman" w:cs="Times New Roman"/>
          <w:b/>
          <w:sz w:val="24"/>
          <w:szCs w:val="24"/>
        </w:rPr>
        <w:fldChar w:fldCharType="separate"/>
      </w:r>
      <w:r>
        <w:rPr>
          <w:rFonts w:ascii="Times New Roman" w:hAnsi="Times New Roman" w:cs="Times New Roman"/>
          <w:b/>
          <w:sz w:val="24"/>
          <w:szCs w:val="24"/>
        </w:rPr>
        <w:t>7</w:t>
      </w:r>
      <w:r>
        <w:rPr>
          <w:rFonts w:ascii="Times New Roman" w:hAnsi="Times New Roman" w:cs="Times New Roman"/>
          <w:b/>
          <w:sz w:val="24"/>
          <w:szCs w:val="24"/>
        </w:rPr>
        <w:fldChar w:fldCharType="end"/>
      </w:r>
      <w:r>
        <w:rPr>
          <w:rFonts w:hint="eastAsia" w:ascii="Times New Roman" w:hAnsi="Times New Roman" w:cs="Times New Roman"/>
          <w:b/>
          <w:sz w:val="24"/>
          <w:szCs w:val="24"/>
        </w:rPr>
        <w:t xml:space="preserve"> </w:t>
      </w:r>
      <w:r>
        <w:rPr>
          <w:rFonts w:ascii="Times New Roman" w:hAnsi="Times New Roman" w:cs="Times New Roman"/>
          <w:b/>
          <w:sz w:val="24"/>
          <w:szCs w:val="24"/>
        </w:rPr>
        <w:t>Trading Volume of the RMB Against Other Currencies</w:t>
      </w:r>
      <w:bookmarkEnd w:id="96"/>
    </w:p>
    <w:p>
      <w:pPr>
        <w:keepNext/>
        <w:spacing w:beforeLines="50"/>
        <w:jc w:val="center"/>
        <w:rPr>
          <w:rFonts w:ascii="Times New Roman" w:hAnsi="Times New Roman" w:cs="Times New Roman"/>
          <w:sz w:val="24"/>
          <w:szCs w:val="24"/>
        </w:rPr>
      </w:pPr>
      <w:r>
        <w:rPr>
          <w:rFonts w:ascii="Times New Roman" w:hAnsi="Times New Roman" w:eastAsia="黑体" w:cs="Times New Roman"/>
          <w:b/>
          <w:sz w:val="24"/>
          <w:szCs w:val="24"/>
        </w:rPr>
        <w:t>in the Interbank Foreign-Exchange Spot Market in H1</w:t>
      </w:r>
      <w:r>
        <w:rPr>
          <w:rFonts w:hint="eastAsia" w:ascii="Times New Roman" w:hAnsi="Times New Roman" w:eastAsia="黑体" w:cs="Times New Roman"/>
          <w:b/>
          <w:sz w:val="24"/>
          <w:szCs w:val="24"/>
        </w:rPr>
        <w:t xml:space="preserve"> </w:t>
      </w:r>
      <w:r>
        <w:rPr>
          <w:rFonts w:ascii="Times New Roman" w:hAnsi="Times New Roman" w:eastAsia="黑体" w:cs="Times New Roman"/>
          <w:b/>
          <w:sz w:val="24"/>
          <w:szCs w:val="24"/>
        </w:rPr>
        <w:t>201</w:t>
      </w:r>
      <w:bookmarkEnd w:id="95"/>
      <w:r>
        <w:rPr>
          <w:rFonts w:ascii="Times New Roman" w:hAnsi="Times New Roman" w:cs="Times New Roman"/>
          <w:b/>
          <w:sz w:val="24"/>
          <w:szCs w:val="24"/>
        </w:rPr>
        <w:t>9</w:t>
      </w:r>
    </w:p>
    <w:p>
      <w:pPr>
        <w:spacing w:beforeLines="50"/>
        <w:ind w:right="120"/>
        <w:jc w:val="center"/>
        <w:rPr>
          <w:rFonts w:ascii="Times New Roman" w:hAnsi="Times New Roman" w:cs="Times New Roman"/>
          <w:sz w:val="24"/>
          <w:szCs w:val="24"/>
        </w:rPr>
      </w:pPr>
      <w:r>
        <w:rPr>
          <w:rFonts w:ascii="Times New Roman" w:hAnsi="Times New Roman" w:cs="Times New Roman"/>
          <w:sz w:val="24"/>
          <w:szCs w:val="24"/>
        </w:rPr>
        <w:t>Unit：RMB 100 million</w:t>
      </w:r>
    </w:p>
    <w:tbl>
      <w:tblPr>
        <w:tblStyle w:val="14"/>
        <w:tblW w:w="7368" w:type="dxa"/>
        <w:jc w:val="center"/>
        <w:tblInd w:w="0" w:type="dxa"/>
        <w:tblLayout w:type="fixed"/>
        <w:tblCellMar>
          <w:top w:w="0" w:type="dxa"/>
          <w:left w:w="0" w:type="dxa"/>
          <w:bottom w:w="0" w:type="dxa"/>
          <w:right w:w="0" w:type="dxa"/>
        </w:tblCellMar>
      </w:tblPr>
      <w:tblGrid>
        <w:gridCol w:w="1449"/>
        <w:gridCol w:w="950"/>
        <w:gridCol w:w="830"/>
        <w:gridCol w:w="729"/>
        <w:gridCol w:w="729"/>
        <w:gridCol w:w="857"/>
        <w:gridCol w:w="885"/>
        <w:gridCol w:w="939"/>
      </w:tblGrid>
      <w:tr>
        <w:tblPrEx>
          <w:tblLayout w:type="fixed"/>
          <w:tblCellMar>
            <w:top w:w="0" w:type="dxa"/>
            <w:left w:w="0" w:type="dxa"/>
            <w:bottom w:w="0" w:type="dxa"/>
            <w:right w:w="0" w:type="dxa"/>
          </w:tblCellMar>
        </w:tblPrEx>
        <w:trPr>
          <w:trHeight w:val="35" w:hRule="atLeast"/>
          <w:jc w:val="center"/>
        </w:trPr>
        <w:tc>
          <w:tcPr>
            <w:tcW w:w="1449" w:type="dxa"/>
            <w:tcBorders>
              <w:top w:val="single" w:color="339966" w:sz="12" w:space="0"/>
              <w:left w:val="single" w:color="339966" w:sz="8" w:space="0"/>
              <w:bottom w:val="single" w:color="339966" w:sz="6" w:space="0"/>
              <w:right w:val="single" w:color="339966" w:sz="4" w:space="0"/>
            </w:tcBorders>
            <w:shd w:val="clear" w:color="auto" w:fill="CCFFCC"/>
            <w:tcMar>
              <w:top w:w="15" w:type="dxa"/>
              <w:left w:w="15" w:type="dxa"/>
              <w:bottom w:w="0" w:type="dxa"/>
              <w:right w:w="15" w:type="dxa"/>
            </w:tcMar>
            <w:vAlign w:val="center"/>
          </w:tcPr>
          <w:p>
            <w:pPr>
              <w:adjustRightInd w:val="0"/>
              <w:snapToGrid w:val="0"/>
              <w:spacing w:beforeLines="50"/>
              <w:rPr>
                <w:rFonts w:ascii="Times New Roman" w:hAnsi="Times New Roman" w:cs="Times New Roman"/>
                <w:sz w:val="24"/>
                <w:szCs w:val="24"/>
              </w:rPr>
            </w:pPr>
            <w:r>
              <w:rPr>
                <w:rFonts w:ascii="Times New Roman" w:hAnsi="Times New Roman" w:cs="Times New Roman"/>
                <w:sz w:val="24"/>
                <w:szCs w:val="24"/>
              </w:rPr>
              <w:t>Currency</w:t>
            </w:r>
          </w:p>
        </w:tc>
        <w:tc>
          <w:tcPr>
            <w:tcW w:w="950" w:type="dxa"/>
            <w:tcBorders>
              <w:top w:val="single" w:color="339966" w:sz="12" w:space="0"/>
              <w:left w:val="single" w:color="339966" w:sz="4" w:space="0"/>
              <w:bottom w:val="single" w:color="339966" w:sz="6" w:space="0"/>
              <w:right w:val="single" w:color="339966" w:sz="4" w:space="0"/>
            </w:tcBorders>
            <w:shd w:val="clear" w:color="auto" w:fill="CCFFCC"/>
            <w:tcMar>
              <w:top w:w="15" w:type="dxa"/>
              <w:left w:w="15" w:type="dxa"/>
              <w:bottom w:w="0" w:type="dxa"/>
              <w:right w:w="15" w:type="dxa"/>
            </w:tcMar>
            <w:vAlign w:val="center"/>
          </w:tcPr>
          <w:p>
            <w:pPr>
              <w:adjustRightInd w:val="0"/>
              <w:snapToGrid w:val="0"/>
              <w:spacing w:beforeLines="50"/>
              <w:jc w:val="center"/>
              <w:rPr>
                <w:rFonts w:ascii="Times New Roman" w:hAnsi="Times New Roman" w:cs="Times New Roman"/>
                <w:sz w:val="24"/>
                <w:szCs w:val="24"/>
              </w:rPr>
            </w:pPr>
            <w:r>
              <w:rPr>
                <w:rFonts w:ascii="Times New Roman" w:hAnsi="Times New Roman" w:cs="Times New Roman"/>
                <w:sz w:val="24"/>
                <w:szCs w:val="24"/>
              </w:rPr>
              <w:t>USD</w:t>
            </w:r>
          </w:p>
        </w:tc>
        <w:tc>
          <w:tcPr>
            <w:tcW w:w="830" w:type="dxa"/>
            <w:tcBorders>
              <w:top w:val="single" w:color="339966" w:sz="12" w:space="0"/>
              <w:left w:val="single" w:color="339966" w:sz="4" w:space="0"/>
              <w:bottom w:val="single" w:color="339966" w:sz="6" w:space="0"/>
              <w:right w:val="single" w:color="339966" w:sz="4" w:space="0"/>
            </w:tcBorders>
            <w:shd w:val="clear" w:color="auto" w:fill="CCFFCC"/>
            <w:tcMar>
              <w:top w:w="15" w:type="dxa"/>
              <w:left w:w="15" w:type="dxa"/>
              <w:bottom w:w="0" w:type="dxa"/>
              <w:right w:w="15" w:type="dxa"/>
            </w:tcMar>
            <w:vAlign w:val="center"/>
          </w:tcPr>
          <w:p>
            <w:pPr>
              <w:adjustRightInd w:val="0"/>
              <w:snapToGrid w:val="0"/>
              <w:spacing w:beforeLines="50"/>
              <w:jc w:val="center"/>
              <w:rPr>
                <w:rFonts w:ascii="Times New Roman" w:hAnsi="Times New Roman" w:cs="Times New Roman"/>
                <w:sz w:val="24"/>
                <w:szCs w:val="24"/>
              </w:rPr>
            </w:pPr>
            <w:r>
              <w:rPr>
                <w:rFonts w:ascii="Times New Roman" w:hAnsi="Times New Roman" w:cs="Times New Roman"/>
                <w:sz w:val="24"/>
                <w:szCs w:val="24"/>
              </w:rPr>
              <w:t>EUR</w:t>
            </w:r>
          </w:p>
        </w:tc>
        <w:tc>
          <w:tcPr>
            <w:tcW w:w="729" w:type="dxa"/>
            <w:tcBorders>
              <w:top w:val="single" w:color="339966" w:sz="12" w:space="0"/>
              <w:left w:val="single" w:color="339966" w:sz="4" w:space="0"/>
              <w:bottom w:val="single" w:color="339966" w:sz="6" w:space="0"/>
              <w:right w:val="single" w:color="339966" w:sz="4" w:space="0"/>
            </w:tcBorders>
            <w:shd w:val="clear" w:color="auto" w:fill="CCFFCC"/>
            <w:tcMar>
              <w:top w:w="15" w:type="dxa"/>
              <w:left w:w="15" w:type="dxa"/>
              <w:bottom w:w="0" w:type="dxa"/>
              <w:right w:w="15" w:type="dxa"/>
            </w:tcMar>
            <w:vAlign w:val="center"/>
          </w:tcPr>
          <w:p>
            <w:pPr>
              <w:adjustRightInd w:val="0"/>
              <w:snapToGrid w:val="0"/>
              <w:spacing w:beforeLines="50"/>
              <w:jc w:val="center"/>
              <w:rPr>
                <w:rFonts w:ascii="Times New Roman" w:hAnsi="Times New Roman" w:cs="Times New Roman"/>
                <w:sz w:val="24"/>
                <w:szCs w:val="24"/>
              </w:rPr>
            </w:pPr>
            <w:r>
              <w:rPr>
                <w:rFonts w:ascii="Times New Roman" w:hAnsi="Times New Roman" w:cs="Times New Roman"/>
                <w:sz w:val="24"/>
                <w:szCs w:val="24"/>
              </w:rPr>
              <w:t>JPY</w:t>
            </w:r>
          </w:p>
        </w:tc>
        <w:tc>
          <w:tcPr>
            <w:tcW w:w="729" w:type="dxa"/>
            <w:tcBorders>
              <w:top w:val="single" w:color="339966" w:sz="12" w:space="0"/>
              <w:left w:val="single" w:color="339966" w:sz="4" w:space="0"/>
              <w:bottom w:val="single" w:color="339966" w:sz="6" w:space="0"/>
              <w:right w:val="single" w:color="339966" w:sz="4" w:space="0"/>
            </w:tcBorders>
            <w:shd w:val="clear" w:color="auto" w:fill="CCFFCC"/>
            <w:tcMar>
              <w:top w:w="15" w:type="dxa"/>
              <w:left w:w="15" w:type="dxa"/>
              <w:bottom w:w="0" w:type="dxa"/>
              <w:right w:w="15" w:type="dxa"/>
            </w:tcMar>
            <w:vAlign w:val="center"/>
          </w:tcPr>
          <w:p>
            <w:pPr>
              <w:adjustRightInd w:val="0"/>
              <w:snapToGrid w:val="0"/>
              <w:spacing w:beforeLines="50"/>
              <w:jc w:val="center"/>
              <w:rPr>
                <w:rFonts w:ascii="Times New Roman" w:hAnsi="Times New Roman" w:cs="Times New Roman"/>
                <w:sz w:val="24"/>
                <w:szCs w:val="24"/>
              </w:rPr>
            </w:pPr>
            <w:r>
              <w:rPr>
                <w:rFonts w:ascii="Times New Roman" w:hAnsi="Times New Roman" w:cs="Times New Roman"/>
                <w:sz w:val="24"/>
                <w:szCs w:val="24"/>
              </w:rPr>
              <w:t>HKD</w:t>
            </w:r>
          </w:p>
        </w:tc>
        <w:tc>
          <w:tcPr>
            <w:tcW w:w="857" w:type="dxa"/>
            <w:tcBorders>
              <w:top w:val="single" w:color="339966" w:sz="12" w:space="0"/>
              <w:left w:val="single" w:color="339966" w:sz="4" w:space="0"/>
              <w:bottom w:val="single" w:color="339966" w:sz="6" w:space="0"/>
              <w:right w:val="single" w:color="339966" w:sz="4" w:space="0"/>
            </w:tcBorders>
            <w:shd w:val="clear" w:color="auto" w:fill="CCFFCC"/>
            <w:tcMar>
              <w:top w:w="15" w:type="dxa"/>
              <w:left w:w="15" w:type="dxa"/>
              <w:bottom w:w="0" w:type="dxa"/>
              <w:right w:w="15" w:type="dxa"/>
            </w:tcMar>
            <w:vAlign w:val="center"/>
          </w:tcPr>
          <w:p>
            <w:pPr>
              <w:adjustRightInd w:val="0"/>
              <w:snapToGrid w:val="0"/>
              <w:spacing w:beforeLines="50"/>
              <w:jc w:val="center"/>
              <w:rPr>
                <w:rFonts w:ascii="Times New Roman" w:hAnsi="Times New Roman" w:cs="Times New Roman"/>
                <w:sz w:val="24"/>
                <w:szCs w:val="24"/>
              </w:rPr>
            </w:pPr>
            <w:r>
              <w:rPr>
                <w:rFonts w:ascii="Times New Roman" w:hAnsi="Times New Roman" w:cs="Times New Roman"/>
                <w:sz w:val="24"/>
                <w:szCs w:val="24"/>
              </w:rPr>
              <w:t>GBP</w:t>
            </w:r>
          </w:p>
        </w:tc>
        <w:tc>
          <w:tcPr>
            <w:tcW w:w="885" w:type="dxa"/>
            <w:tcBorders>
              <w:top w:val="single" w:color="339966" w:sz="12" w:space="0"/>
              <w:left w:val="single" w:color="339966" w:sz="4" w:space="0"/>
              <w:bottom w:val="single" w:color="339966" w:sz="6" w:space="0"/>
              <w:right w:val="single" w:color="339966" w:sz="4" w:space="0"/>
            </w:tcBorders>
            <w:shd w:val="clear" w:color="auto" w:fill="CCFFCC"/>
            <w:tcMar>
              <w:top w:w="15" w:type="dxa"/>
              <w:left w:w="15" w:type="dxa"/>
              <w:bottom w:w="0" w:type="dxa"/>
              <w:right w:w="15" w:type="dxa"/>
            </w:tcMar>
            <w:vAlign w:val="center"/>
          </w:tcPr>
          <w:p>
            <w:pPr>
              <w:adjustRightInd w:val="0"/>
              <w:snapToGrid w:val="0"/>
              <w:spacing w:beforeLines="50"/>
              <w:jc w:val="center"/>
              <w:rPr>
                <w:rFonts w:ascii="Times New Roman" w:hAnsi="Times New Roman" w:cs="Times New Roman"/>
                <w:sz w:val="24"/>
                <w:szCs w:val="24"/>
              </w:rPr>
            </w:pPr>
            <w:r>
              <w:rPr>
                <w:rFonts w:ascii="Times New Roman" w:hAnsi="Times New Roman" w:cs="Times New Roman"/>
                <w:sz w:val="24"/>
                <w:szCs w:val="24"/>
              </w:rPr>
              <w:t>AUD</w:t>
            </w:r>
          </w:p>
        </w:tc>
        <w:tc>
          <w:tcPr>
            <w:tcW w:w="939" w:type="dxa"/>
            <w:tcBorders>
              <w:top w:val="single" w:color="339966" w:sz="12" w:space="0"/>
              <w:left w:val="single" w:color="339966" w:sz="4" w:space="0"/>
              <w:bottom w:val="single" w:color="339966" w:sz="6" w:space="0"/>
              <w:right w:val="single" w:color="339966" w:sz="4" w:space="0"/>
            </w:tcBorders>
            <w:shd w:val="clear" w:color="auto" w:fill="CCFFCC"/>
            <w:tcMar>
              <w:top w:w="15" w:type="dxa"/>
              <w:left w:w="15" w:type="dxa"/>
              <w:bottom w:w="0" w:type="dxa"/>
              <w:right w:w="15" w:type="dxa"/>
            </w:tcMar>
            <w:vAlign w:val="center"/>
          </w:tcPr>
          <w:p>
            <w:pPr>
              <w:adjustRightInd w:val="0"/>
              <w:snapToGrid w:val="0"/>
              <w:spacing w:beforeLines="50"/>
              <w:jc w:val="center"/>
              <w:rPr>
                <w:rFonts w:ascii="Times New Roman" w:hAnsi="Times New Roman" w:cs="Times New Roman"/>
                <w:sz w:val="24"/>
                <w:szCs w:val="24"/>
              </w:rPr>
            </w:pPr>
            <w:r>
              <w:rPr>
                <w:rFonts w:ascii="Times New Roman" w:hAnsi="Times New Roman" w:cs="Times New Roman"/>
                <w:sz w:val="24"/>
                <w:szCs w:val="24"/>
              </w:rPr>
              <w:t>NZD</w:t>
            </w:r>
          </w:p>
        </w:tc>
      </w:tr>
      <w:tr>
        <w:tblPrEx>
          <w:tblLayout w:type="fixed"/>
          <w:tblCellMar>
            <w:top w:w="0" w:type="dxa"/>
            <w:left w:w="0" w:type="dxa"/>
            <w:bottom w:w="0" w:type="dxa"/>
            <w:right w:w="0" w:type="dxa"/>
          </w:tblCellMar>
        </w:tblPrEx>
        <w:trPr>
          <w:trHeight w:val="50" w:hRule="atLeast"/>
          <w:jc w:val="center"/>
        </w:trPr>
        <w:tc>
          <w:tcPr>
            <w:tcW w:w="1449" w:type="dxa"/>
            <w:tcBorders>
              <w:top w:val="single" w:color="339966" w:sz="6" w:space="0"/>
              <w:left w:val="single" w:color="339966" w:sz="8" w:space="0"/>
              <w:bottom w:val="single" w:color="339966" w:sz="6" w:space="0"/>
              <w:right w:val="single" w:color="339966" w:sz="4" w:space="0"/>
            </w:tcBorders>
            <w:tcMar>
              <w:top w:w="15" w:type="dxa"/>
              <w:left w:w="15" w:type="dxa"/>
              <w:bottom w:w="0" w:type="dxa"/>
              <w:right w:w="15" w:type="dxa"/>
            </w:tcMar>
            <w:vAlign w:val="center"/>
          </w:tcPr>
          <w:p>
            <w:pPr>
              <w:adjustRightInd w:val="0"/>
              <w:snapToGrid w:val="0"/>
              <w:spacing w:beforeLines="50"/>
              <w:rPr>
                <w:rFonts w:ascii="Times New Roman" w:hAnsi="Times New Roman" w:cs="Times New Roman"/>
                <w:sz w:val="24"/>
                <w:szCs w:val="24"/>
              </w:rPr>
            </w:pPr>
            <w:r>
              <w:rPr>
                <w:rFonts w:ascii="Times New Roman" w:hAnsi="Times New Roman" w:cs="Times New Roman"/>
                <w:sz w:val="24"/>
                <w:szCs w:val="24"/>
              </w:rPr>
              <w:t>Trading volume</w:t>
            </w:r>
          </w:p>
        </w:tc>
        <w:tc>
          <w:tcPr>
            <w:tcW w:w="950" w:type="dxa"/>
            <w:tcBorders>
              <w:top w:val="single" w:color="339966" w:sz="6" w:space="0"/>
              <w:left w:val="single" w:color="339966" w:sz="4" w:space="0"/>
              <w:bottom w:val="single" w:color="339966" w:sz="6" w:space="0"/>
              <w:right w:val="single" w:color="339966" w:sz="4" w:space="0"/>
            </w:tcBorders>
            <w:tcMar>
              <w:top w:w="15" w:type="dxa"/>
              <w:left w:w="15" w:type="dxa"/>
              <w:bottom w:w="0" w:type="dxa"/>
              <w:right w:w="15" w:type="dxa"/>
            </w:tcMar>
            <w:vAlign w:val="center"/>
          </w:tcPr>
          <w:p>
            <w:pPr>
              <w:spacing w:beforeLines="50"/>
              <w:jc w:val="center"/>
              <w:rPr>
                <w:rFonts w:ascii="Times New Roman" w:hAnsi="Times New Roman" w:cs="Times New Roman"/>
                <w:sz w:val="24"/>
                <w:szCs w:val="24"/>
              </w:rPr>
            </w:pPr>
            <w:r>
              <w:rPr>
                <w:rFonts w:ascii="Times New Roman" w:hAnsi="Times New Roman" w:cs="Times New Roman"/>
                <w:sz w:val="24"/>
                <w:szCs w:val="24"/>
              </w:rPr>
              <w:t>261141.96</w:t>
            </w:r>
          </w:p>
        </w:tc>
        <w:tc>
          <w:tcPr>
            <w:tcW w:w="830" w:type="dxa"/>
            <w:tcBorders>
              <w:top w:val="single" w:color="339966" w:sz="6" w:space="0"/>
              <w:left w:val="single" w:color="339966" w:sz="4" w:space="0"/>
              <w:bottom w:val="single" w:color="339966" w:sz="6" w:space="0"/>
              <w:right w:val="single" w:color="339966" w:sz="4" w:space="0"/>
            </w:tcBorders>
            <w:tcMar>
              <w:top w:w="15" w:type="dxa"/>
              <w:left w:w="15" w:type="dxa"/>
              <w:bottom w:w="0" w:type="dxa"/>
              <w:right w:w="15" w:type="dxa"/>
            </w:tcMar>
            <w:vAlign w:val="center"/>
          </w:tcPr>
          <w:p>
            <w:pPr>
              <w:spacing w:beforeLines="50"/>
              <w:jc w:val="center"/>
              <w:rPr>
                <w:rFonts w:ascii="Times New Roman" w:hAnsi="Times New Roman" w:cs="Times New Roman"/>
                <w:sz w:val="24"/>
                <w:szCs w:val="24"/>
              </w:rPr>
            </w:pPr>
            <w:r>
              <w:rPr>
                <w:rFonts w:ascii="Times New Roman" w:hAnsi="Times New Roman" w:cs="Times New Roman"/>
                <w:sz w:val="24"/>
                <w:szCs w:val="24"/>
              </w:rPr>
              <w:t>5544.56</w:t>
            </w:r>
          </w:p>
        </w:tc>
        <w:tc>
          <w:tcPr>
            <w:tcW w:w="729" w:type="dxa"/>
            <w:tcBorders>
              <w:top w:val="single" w:color="339966" w:sz="6" w:space="0"/>
              <w:left w:val="single" w:color="339966" w:sz="4" w:space="0"/>
              <w:bottom w:val="single" w:color="339966" w:sz="6" w:space="0"/>
              <w:right w:val="single" w:color="339966" w:sz="4" w:space="0"/>
            </w:tcBorders>
            <w:tcMar>
              <w:top w:w="15" w:type="dxa"/>
              <w:left w:w="15" w:type="dxa"/>
              <w:bottom w:w="0" w:type="dxa"/>
              <w:right w:w="15" w:type="dxa"/>
            </w:tcMar>
            <w:vAlign w:val="center"/>
          </w:tcPr>
          <w:p>
            <w:pPr>
              <w:spacing w:beforeLines="50"/>
              <w:jc w:val="center"/>
              <w:rPr>
                <w:rFonts w:ascii="Times New Roman" w:hAnsi="Times New Roman" w:cs="Times New Roman"/>
                <w:sz w:val="24"/>
                <w:szCs w:val="24"/>
              </w:rPr>
            </w:pPr>
            <w:r>
              <w:rPr>
                <w:rFonts w:ascii="Times New Roman" w:hAnsi="Times New Roman" w:cs="Times New Roman"/>
                <w:sz w:val="24"/>
                <w:szCs w:val="24"/>
              </w:rPr>
              <w:t>1584.17</w:t>
            </w:r>
          </w:p>
        </w:tc>
        <w:tc>
          <w:tcPr>
            <w:tcW w:w="729" w:type="dxa"/>
            <w:tcBorders>
              <w:top w:val="single" w:color="339966" w:sz="6" w:space="0"/>
              <w:left w:val="single" w:color="339966" w:sz="4" w:space="0"/>
              <w:bottom w:val="single" w:color="339966" w:sz="6" w:space="0"/>
              <w:right w:val="single" w:color="339966" w:sz="4" w:space="0"/>
            </w:tcBorders>
            <w:tcMar>
              <w:top w:w="15" w:type="dxa"/>
              <w:left w:w="15" w:type="dxa"/>
              <w:bottom w:w="0" w:type="dxa"/>
              <w:right w:w="15" w:type="dxa"/>
            </w:tcMar>
            <w:vAlign w:val="center"/>
          </w:tcPr>
          <w:p>
            <w:pPr>
              <w:spacing w:beforeLines="50"/>
              <w:jc w:val="center"/>
              <w:rPr>
                <w:rFonts w:ascii="Times New Roman" w:hAnsi="Times New Roman" w:cs="Times New Roman"/>
                <w:sz w:val="24"/>
                <w:szCs w:val="24"/>
              </w:rPr>
            </w:pPr>
            <w:r>
              <w:rPr>
                <w:rFonts w:ascii="Times New Roman" w:hAnsi="Times New Roman" w:cs="Times New Roman"/>
                <w:sz w:val="24"/>
                <w:szCs w:val="24"/>
              </w:rPr>
              <w:t>1138.46</w:t>
            </w:r>
          </w:p>
        </w:tc>
        <w:tc>
          <w:tcPr>
            <w:tcW w:w="857" w:type="dxa"/>
            <w:tcBorders>
              <w:top w:val="single" w:color="339966" w:sz="6" w:space="0"/>
              <w:left w:val="single" w:color="339966" w:sz="4" w:space="0"/>
              <w:bottom w:val="single" w:color="339966" w:sz="6" w:space="0"/>
              <w:right w:val="single" w:color="339966" w:sz="4" w:space="0"/>
            </w:tcBorders>
            <w:tcMar>
              <w:top w:w="15" w:type="dxa"/>
              <w:left w:w="15" w:type="dxa"/>
              <w:bottom w:w="0" w:type="dxa"/>
              <w:right w:w="15" w:type="dxa"/>
            </w:tcMar>
            <w:vAlign w:val="center"/>
          </w:tcPr>
          <w:p>
            <w:pPr>
              <w:spacing w:beforeLines="50"/>
              <w:jc w:val="center"/>
              <w:rPr>
                <w:rFonts w:ascii="Times New Roman" w:hAnsi="Times New Roman" w:cs="Times New Roman"/>
                <w:sz w:val="24"/>
                <w:szCs w:val="24"/>
              </w:rPr>
            </w:pPr>
            <w:r>
              <w:rPr>
                <w:rFonts w:ascii="Times New Roman" w:hAnsi="Times New Roman" w:cs="Times New Roman"/>
                <w:sz w:val="24"/>
                <w:szCs w:val="24"/>
              </w:rPr>
              <w:t>238.15</w:t>
            </w:r>
          </w:p>
        </w:tc>
        <w:tc>
          <w:tcPr>
            <w:tcW w:w="885" w:type="dxa"/>
            <w:tcBorders>
              <w:top w:val="single" w:color="339966" w:sz="6" w:space="0"/>
              <w:left w:val="single" w:color="339966" w:sz="4" w:space="0"/>
              <w:bottom w:val="single" w:color="339966" w:sz="6" w:space="0"/>
              <w:right w:val="single" w:color="339966" w:sz="4" w:space="0"/>
            </w:tcBorders>
            <w:tcMar>
              <w:top w:w="15" w:type="dxa"/>
              <w:left w:w="15" w:type="dxa"/>
              <w:bottom w:w="0" w:type="dxa"/>
              <w:right w:w="15" w:type="dxa"/>
            </w:tcMar>
            <w:vAlign w:val="center"/>
          </w:tcPr>
          <w:p>
            <w:pPr>
              <w:spacing w:beforeLines="50"/>
              <w:jc w:val="center"/>
              <w:rPr>
                <w:rFonts w:ascii="Times New Roman" w:hAnsi="Times New Roman" w:cs="Times New Roman"/>
                <w:sz w:val="24"/>
                <w:szCs w:val="24"/>
              </w:rPr>
            </w:pPr>
            <w:r>
              <w:rPr>
                <w:rFonts w:ascii="Times New Roman" w:hAnsi="Times New Roman" w:cs="Times New Roman"/>
                <w:sz w:val="24"/>
                <w:szCs w:val="24"/>
              </w:rPr>
              <w:t>419.54</w:t>
            </w:r>
          </w:p>
        </w:tc>
        <w:tc>
          <w:tcPr>
            <w:tcW w:w="939" w:type="dxa"/>
            <w:tcBorders>
              <w:top w:val="single" w:color="339966" w:sz="6" w:space="0"/>
              <w:left w:val="single" w:color="339966" w:sz="4" w:space="0"/>
              <w:bottom w:val="single" w:color="339966" w:sz="6" w:space="0"/>
              <w:right w:val="single" w:color="339966" w:sz="4" w:space="0"/>
            </w:tcBorders>
            <w:tcMar>
              <w:top w:w="15" w:type="dxa"/>
              <w:left w:w="15" w:type="dxa"/>
              <w:bottom w:w="0" w:type="dxa"/>
              <w:right w:w="15" w:type="dxa"/>
            </w:tcMar>
            <w:vAlign w:val="center"/>
          </w:tcPr>
          <w:p>
            <w:pPr>
              <w:spacing w:beforeLines="50"/>
              <w:jc w:val="center"/>
              <w:rPr>
                <w:rFonts w:ascii="Times New Roman" w:hAnsi="Times New Roman" w:cs="Times New Roman"/>
                <w:sz w:val="24"/>
                <w:szCs w:val="24"/>
              </w:rPr>
            </w:pPr>
            <w:r>
              <w:rPr>
                <w:rFonts w:ascii="Times New Roman" w:hAnsi="Times New Roman" w:cs="Times New Roman"/>
                <w:sz w:val="24"/>
                <w:szCs w:val="24"/>
              </w:rPr>
              <w:t>85.23</w:t>
            </w:r>
          </w:p>
        </w:tc>
      </w:tr>
      <w:tr>
        <w:tblPrEx>
          <w:tblLayout w:type="fixed"/>
          <w:tblCellMar>
            <w:top w:w="0" w:type="dxa"/>
            <w:left w:w="0" w:type="dxa"/>
            <w:bottom w:w="0" w:type="dxa"/>
            <w:right w:w="0" w:type="dxa"/>
          </w:tblCellMar>
        </w:tblPrEx>
        <w:trPr>
          <w:trHeight w:val="446" w:hRule="atLeast"/>
          <w:jc w:val="center"/>
        </w:trPr>
        <w:tc>
          <w:tcPr>
            <w:tcW w:w="1449" w:type="dxa"/>
            <w:tcBorders>
              <w:top w:val="single" w:color="339966" w:sz="6" w:space="0"/>
              <w:left w:val="single" w:color="339966" w:sz="8" w:space="0"/>
              <w:bottom w:val="single" w:color="339966" w:sz="12" w:space="0"/>
              <w:right w:val="single" w:color="339966" w:sz="4" w:space="0"/>
            </w:tcBorders>
            <w:shd w:val="clear" w:color="auto" w:fill="CCFFCC"/>
            <w:tcMar>
              <w:top w:w="15" w:type="dxa"/>
              <w:left w:w="15" w:type="dxa"/>
              <w:bottom w:w="0" w:type="dxa"/>
              <w:right w:w="15" w:type="dxa"/>
            </w:tcMar>
            <w:vAlign w:val="center"/>
          </w:tcPr>
          <w:p>
            <w:pPr>
              <w:adjustRightInd w:val="0"/>
              <w:snapToGrid w:val="0"/>
              <w:spacing w:beforeLines="50"/>
              <w:rPr>
                <w:rFonts w:ascii="Times New Roman" w:hAnsi="Times New Roman" w:cs="Times New Roman"/>
                <w:sz w:val="24"/>
                <w:szCs w:val="24"/>
              </w:rPr>
            </w:pPr>
            <w:r>
              <w:rPr>
                <w:rFonts w:ascii="Times New Roman" w:hAnsi="Times New Roman" w:cs="Times New Roman"/>
                <w:sz w:val="24"/>
                <w:szCs w:val="24"/>
              </w:rPr>
              <w:t>Currency</w:t>
            </w:r>
          </w:p>
        </w:tc>
        <w:tc>
          <w:tcPr>
            <w:tcW w:w="950" w:type="dxa"/>
            <w:tcBorders>
              <w:top w:val="single" w:color="339966" w:sz="6" w:space="0"/>
              <w:left w:val="single" w:color="339966" w:sz="4" w:space="0"/>
              <w:bottom w:val="single" w:color="339966" w:sz="12" w:space="0"/>
              <w:right w:val="single" w:color="339966" w:sz="4" w:space="0"/>
            </w:tcBorders>
            <w:shd w:val="clear" w:color="auto" w:fill="CCFFCC"/>
            <w:tcMar>
              <w:top w:w="15" w:type="dxa"/>
              <w:left w:w="15" w:type="dxa"/>
              <w:bottom w:w="0" w:type="dxa"/>
              <w:right w:w="15" w:type="dxa"/>
            </w:tcMar>
            <w:vAlign w:val="center"/>
          </w:tcPr>
          <w:p>
            <w:pPr>
              <w:adjustRightInd w:val="0"/>
              <w:snapToGrid w:val="0"/>
              <w:spacing w:beforeLines="50"/>
              <w:jc w:val="center"/>
              <w:rPr>
                <w:rFonts w:ascii="Times New Roman" w:hAnsi="Times New Roman" w:cs="Times New Roman"/>
                <w:sz w:val="24"/>
                <w:szCs w:val="24"/>
              </w:rPr>
            </w:pPr>
            <w:r>
              <w:rPr>
                <w:rFonts w:ascii="Times New Roman" w:hAnsi="Times New Roman" w:cs="Times New Roman"/>
                <w:sz w:val="24"/>
                <w:szCs w:val="24"/>
              </w:rPr>
              <w:t>SGD</w:t>
            </w:r>
          </w:p>
        </w:tc>
        <w:tc>
          <w:tcPr>
            <w:tcW w:w="830" w:type="dxa"/>
            <w:tcBorders>
              <w:top w:val="single" w:color="339966" w:sz="6" w:space="0"/>
              <w:left w:val="single" w:color="339966" w:sz="4" w:space="0"/>
              <w:bottom w:val="single" w:color="339966" w:sz="12" w:space="0"/>
              <w:right w:val="single" w:color="339966" w:sz="4" w:space="0"/>
            </w:tcBorders>
            <w:shd w:val="clear" w:color="auto" w:fill="CCFFCC"/>
            <w:tcMar>
              <w:top w:w="15" w:type="dxa"/>
              <w:left w:w="15" w:type="dxa"/>
              <w:bottom w:w="0" w:type="dxa"/>
              <w:right w:w="15" w:type="dxa"/>
            </w:tcMar>
            <w:vAlign w:val="center"/>
          </w:tcPr>
          <w:p>
            <w:pPr>
              <w:adjustRightInd w:val="0"/>
              <w:snapToGrid w:val="0"/>
              <w:spacing w:beforeLines="50"/>
              <w:jc w:val="center"/>
              <w:rPr>
                <w:rFonts w:ascii="Times New Roman" w:hAnsi="Times New Roman" w:cs="Times New Roman"/>
                <w:sz w:val="24"/>
                <w:szCs w:val="24"/>
              </w:rPr>
            </w:pPr>
            <w:r>
              <w:rPr>
                <w:rFonts w:ascii="Times New Roman" w:hAnsi="Times New Roman" w:cs="Times New Roman"/>
                <w:sz w:val="24"/>
                <w:szCs w:val="24"/>
              </w:rPr>
              <w:t>CHF</w:t>
            </w:r>
          </w:p>
        </w:tc>
        <w:tc>
          <w:tcPr>
            <w:tcW w:w="729" w:type="dxa"/>
            <w:tcBorders>
              <w:top w:val="single" w:color="339966" w:sz="6" w:space="0"/>
              <w:left w:val="single" w:color="339966" w:sz="4" w:space="0"/>
              <w:bottom w:val="single" w:color="339966" w:sz="12" w:space="0"/>
              <w:right w:val="single" w:color="339966" w:sz="4" w:space="0"/>
            </w:tcBorders>
            <w:shd w:val="clear" w:color="auto" w:fill="CCFFCC"/>
            <w:tcMar>
              <w:top w:w="15" w:type="dxa"/>
              <w:left w:w="15" w:type="dxa"/>
              <w:bottom w:w="0" w:type="dxa"/>
              <w:right w:w="15" w:type="dxa"/>
            </w:tcMar>
            <w:vAlign w:val="center"/>
          </w:tcPr>
          <w:p>
            <w:pPr>
              <w:adjustRightInd w:val="0"/>
              <w:snapToGrid w:val="0"/>
              <w:spacing w:beforeLines="50"/>
              <w:jc w:val="center"/>
              <w:rPr>
                <w:rFonts w:ascii="Times New Roman" w:hAnsi="Times New Roman" w:cs="Times New Roman"/>
                <w:sz w:val="24"/>
                <w:szCs w:val="24"/>
              </w:rPr>
            </w:pPr>
            <w:r>
              <w:rPr>
                <w:rFonts w:ascii="Times New Roman" w:hAnsi="Times New Roman" w:cs="Times New Roman"/>
                <w:sz w:val="24"/>
                <w:szCs w:val="24"/>
              </w:rPr>
              <w:t>CAD</w:t>
            </w:r>
          </w:p>
        </w:tc>
        <w:tc>
          <w:tcPr>
            <w:tcW w:w="729" w:type="dxa"/>
            <w:tcBorders>
              <w:top w:val="single" w:color="339966" w:sz="6" w:space="0"/>
              <w:left w:val="single" w:color="339966" w:sz="4" w:space="0"/>
              <w:bottom w:val="single" w:color="339966" w:sz="12" w:space="0"/>
              <w:right w:val="single" w:color="339966" w:sz="4" w:space="0"/>
            </w:tcBorders>
            <w:shd w:val="clear" w:color="auto" w:fill="CCFFCC"/>
            <w:tcMar>
              <w:top w:w="15" w:type="dxa"/>
              <w:left w:w="15" w:type="dxa"/>
              <w:bottom w:w="0" w:type="dxa"/>
              <w:right w:w="15" w:type="dxa"/>
            </w:tcMar>
            <w:vAlign w:val="center"/>
          </w:tcPr>
          <w:p>
            <w:pPr>
              <w:adjustRightInd w:val="0"/>
              <w:snapToGrid w:val="0"/>
              <w:spacing w:beforeLines="50"/>
              <w:jc w:val="center"/>
              <w:rPr>
                <w:rFonts w:ascii="Times New Roman" w:hAnsi="Times New Roman" w:cs="Times New Roman"/>
                <w:sz w:val="24"/>
                <w:szCs w:val="24"/>
              </w:rPr>
            </w:pPr>
            <w:r>
              <w:rPr>
                <w:rFonts w:ascii="Times New Roman" w:hAnsi="Times New Roman" w:cs="Times New Roman"/>
                <w:sz w:val="24"/>
                <w:szCs w:val="24"/>
              </w:rPr>
              <w:t>MYR</w:t>
            </w:r>
          </w:p>
        </w:tc>
        <w:tc>
          <w:tcPr>
            <w:tcW w:w="857" w:type="dxa"/>
            <w:tcBorders>
              <w:top w:val="single" w:color="339966" w:sz="6" w:space="0"/>
              <w:left w:val="single" w:color="339966" w:sz="4" w:space="0"/>
              <w:bottom w:val="single" w:color="339966" w:sz="12" w:space="0"/>
              <w:right w:val="single" w:color="339966" w:sz="4" w:space="0"/>
            </w:tcBorders>
            <w:shd w:val="clear" w:color="auto" w:fill="CCFFCC"/>
            <w:tcMar>
              <w:top w:w="15" w:type="dxa"/>
              <w:left w:w="15" w:type="dxa"/>
              <w:bottom w:w="0" w:type="dxa"/>
              <w:right w:w="15" w:type="dxa"/>
            </w:tcMar>
            <w:vAlign w:val="center"/>
          </w:tcPr>
          <w:p>
            <w:pPr>
              <w:adjustRightInd w:val="0"/>
              <w:snapToGrid w:val="0"/>
              <w:spacing w:beforeLines="50"/>
              <w:jc w:val="center"/>
              <w:rPr>
                <w:rFonts w:ascii="Times New Roman" w:hAnsi="Times New Roman" w:cs="Times New Roman"/>
                <w:sz w:val="24"/>
                <w:szCs w:val="24"/>
              </w:rPr>
            </w:pPr>
            <w:r>
              <w:rPr>
                <w:rFonts w:ascii="Times New Roman" w:hAnsi="Times New Roman" w:cs="Times New Roman"/>
                <w:sz w:val="24"/>
                <w:szCs w:val="24"/>
              </w:rPr>
              <w:t>RUB</w:t>
            </w:r>
          </w:p>
        </w:tc>
        <w:tc>
          <w:tcPr>
            <w:tcW w:w="885" w:type="dxa"/>
            <w:tcBorders>
              <w:top w:val="single" w:color="339966" w:sz="6" w:space="0"/>
              <w:left w:val="single" w:color="339966" w:sz="4" w:space="0"/>
              <w:bottom w:val="single" w:color="339966" w:sz="12" w:space="0"/>
              <w:right w:val="single" w:color="339966" w:sz="4" w:space="0"/>
            </w:tcBorders>
            <w:shd w:val="clear" w:color="auto" w:fill="CCFFCC"/>
            <w:tcMar>
              <w:top w:w="15" w:type="dxa"/>
              <w:left w:w="15" w:type="dxa"/>
              <w:bottom w:w="0" w:type="dxa"/>
              <w:right w:w="15" w:type="dxa"/>
            </w:tcMar>
            <w:vAlign w:val="center"/>
          </w:tcPr>
          <w:p>
            <w:pPr>
              <w:adjustRightInd w:val="0"/>
              <w:snapToGrid w:val="0"/>
              <w:spacing w:beforeLines="50"/>
              <w:jc w:val="center"/>
              <w:rPr>
                <w:rFonts w:ascii="Times New Roman" w:hAnsi="Times New Roman" w:cs="Times New Roman"/>
                <w:sz w:val="24"/>
                <w:szCs w:val="24"/>
              </w:rPr>
            </w:pPr>
            <w:r>
              <w:rPr>
                <w:rFonts w:ascii="Times New Roman" w:hAnsi="Times New Roman" w:cs="Times New Roman"/>
                <w:sz w:val="24"/>
                <w:szCs w:val="24"/>
              </w:rPr>
              <w:t>ZAR</w:t>
            </w:r>
          </w:p>
        </w:tc>
        <w:tc>
          <w:tcPr>
            <w:tcW w:w="939" w:type="dxa"/>
            <w:tcBorders>
              <w:top w:val="single" w:color="339966" w:sz="6" w:space="0"/>
              <w:left w:val="single" w:color="339966" w:sz="4" w:space="0"/>
              <w:bottom w:val="single" w:color="339966" w:sz="12" w:space="0"/>
              <w:right w:val="single" w:color="339966" w:sz="4" w:space="0"/>
            </w:tcBorders>
            <w:shd w:val="clear" w:color="auto" w:fill="CCFFCC"/>
            <w:tcMar>
              <w:top w:w="15" w:type="dxa"/>
              <w:left w:w="15" w:type="dxa"/>
              <w:bottom w:w="0" w:type="dxa"/>
              <w:right w:w="15" w:type="dxa"/>
            </w:tcMar>
            <w:vAlign w:val="center"/>
          </w:tcPr>
          <w:p>
            <w:pPr>
              <w:adjustRightInd w:val="0"/>
              <w:snapToGrid w:val="0"/>
              <w:spacing w:beforeLines="50"/>
              <w:jc w:val="center"/>
              <w:rPr>
                <w:rFonts w:ascii="Times New Roman" w:hAnsi="Times New Roman" w:cs="Times New Roman"/>
                <w:sz w:val="24"/>
                <w:szCs w:val="24"/>
              </w:rPr>
            </w:pPr>
            <w:r>
              <w:rPr>
                <w:rFonts w:ascii="Times New Roman" w:hAnsi="Times New Roman" w:cs="Times New Roman"/>
                <w:sz w:val="24"/>
                <w:szCs w:val="24"/>
              </w:rPr>
              <w:t>KRW</w:t>
            </w:r>
          </w:p>
        </w:tc>
      </w:tr>
      <w:tr>
        <w:tblPrEx>
          <w:tblLayout w:type="fixed"/>
          <w:tblCellMar>
            <w:top w:w="0" w:type="dxa"/>
            <w:left w:w="0" w:type="dxa"/>
            <w:bottom w:w="0" w:type="dxa"/>
            <w:right w:w="0" w:type="dxa"/>
          </w:tblCellMar>
        </w:tblPrEx>
        <w:trPr>
          <w:trHeight w:val="50" w:hRule="atLeast"/>
          <w:jc w:val="center"/>
        </w:trPr>
        <w:tc>
          <w:tcPr>
            <w:tcW w:w="1449" w:type="dxa"/>
            <w:tcBorders>
              <w:top w:val="single" w:color="339966" w:sz="6" w:space="0"/>
              <w:left w:val="single" w:color="339966" w:sz="8" w:space="0"/>
              <w:bottom w:val="single" w:color="339966" w:sz="6" w:space="0"/>
              <w:right w:val="single" w:color="339966" w:sz="4" w:space="0"/>
            </w:tcBorders>
            <w:tcMar>
              <w:top w:w="15" w:type="dxa"/>
              <w:left w:w="15" w:type="dxa"/>
              <w:bottom w:w="0" w:type="dxa"/>
              <w:right w:w="15" w:type="dxa"/>
            </w:tcMar>
            <w:vAlign w:val="center"/>
          </w:tcPr>
          <w:p>
            <w:pPr>
              <w:adjustRightInd w:val="0"/>
              <w:snapToGrid w:val="0"/>
              <w:spacing w:beforeLines="50"/>
              <w:rPr>
                <w:rFonts w:ascii="Times New Roman" w:hAnsi="Times New Roman" w:cs="Times New Roman"/>
                <w:sz w:val="24"/>
                <w:szCs w:val="24"/>
              </w:rPr>
            </w:pPr>
            <w:r>
              <w:rPr>
                <w:rFonts w:ascii="Times New Roman" w:hAnsi="Times New Roman" w:cs="Times New Roman"/>
                <w:sz w:val="24"/>
                <w:szCs w:val="24"/>
              </w:rPr>
              <w:t>Trading volume</w:t>
            </w:r>
          </w:p>
        </w:tc>
        <w:tc>
          <w:tcPr>
            <w:tcW w:w="950" w:type="dxa"/>
            <w:tcBorders>
              <w:top w:val="single" w:color="339966" w:sz="6" w:space="0"/>
              <w:left w:val="single" w:color="339966" w:sz="4" w:space="0"/>
              <w:bottom w:val="single" w:color="339966" w:sz="6" w:space="0"/>
              <w:right w:val="single" w:color="339966" w:sz="4" w:space="0"/>
            </w:tcBorders>
            <w:tcMar>
              <w:top w:w="15" w:type="dxa"/>
              <w:left w:w="15" w:type="dxa"/>
              <w:bottom w:w="0" w:type="dxa"/>
              <w:right w:w="15" w:type="dxa"/>
            </w:tcMar>
            <w:vAlign w:val="center"/>
          </w:tcPr>
          <w:p>
            <w:pPr>
              <w:spacing w:beforeLines="50"/>
              <w:jc w:val="center"/>
              <w:rPr>
                <w:rFonts w:ascii="Times New Roman" w:hAnsi="Times New Roman" w:cs="Times New Roman"/>
                <w:sz w:val="24"/>
                <w:szCs w:val="24"/>
              </w:rPr>
            </w:pPr>
            <w:r>
              <w:rPr>
                <w:rFonts w:ascii="Times New Roman" w:hAnsi="Times New Roman" w:cs="Times New Roman"/>
                <w:sz w:val="24"/>
                <w:szCs w:val="24"/>
              </w:rPr>
              <w:t>846.92</w:t>
            </w:r>
          </w:p>
        </w:tc>
        <w:tc>
          <w:tcPr>
            <w:tcW w:w="830" w:type="dxa"/>
            <w:tcBorders>
              <w:top w:val="single" w:color="339966" w:sz="6" w:space="0"/>
              <w:left w:val="single" w:color="339966" w:sz="4" w:space="0"/>
              <w:bottom w:val="single" w:color="339966" w:sz="6" w:space="0"/>
              <w:right w:val="single" w:color="339966" w:sz="4" w:space="0"/>
            </w:tcBorders>
            <w:tcMar>
              <w:top w:w="15" w:type="dxa"/>
              <w:left w:w="15" w:type="dxa"/>
              <w:bottom w:w="0" w:type="dxa"/>
              <w:right w:w="15" w:type="dxa"/>
            </w:tcMar>
            <w:vAlign w:val="center"/>
          </w:tcPr>
          <w:p>
            <w:pPr>
              <w:spacing w:beforeLines="50"/>
              <w:jc w:val="center"/>
              <w:rPr>
                <w:rFonts w:ascii="Times New Roman" w:hAnsi="Times New Roman" w:cs="Times New Roman"/>
                <w:sz w:val="24"/>
                <w:szCs w:val="24"/>
              </w:rPr>
            </w:pPr>
            <w:r>
              <w:rPr>
                <w:rFonts w:ascii="Times New Roman" w:hAnsi="Times New Roman" w:cs="Times New Roman"/>
                <w:sz w:val="24"/>
                <w:szCs w:val="24"/>
              </w:rPr>
              <w:t>47.94</w:t>
            </w:r>
          </w:p>
        </w:tc>
        <w:tc>
          <w:tcPr>
            <w:tcW w:w="729" w:type="dxa"/>
            <w:tcBorders>
              <w:top w:val="single" w:color="339966" w:sz="6" w:space="0"/>
              <w:left w:val="single" w:color="339966" w:sz="4" w:space="0"/>
              <w:bottom w:val="single" w:color="339966" w:sz="6" w:space="0"/>
              <w:right w:val="single" w:color="339966" w:sz="4" w:space="0"/>
            </w:tcBorders>
            <w:tcMar>
              <w:top w:w="15" w:type="dxa"/>
              <w:left w:w="15" w:type="dxa"/>
              <w:bottom w:w="0" w:type="dxa"/>
              <w:right w:w="15" w:type="dxa"/>
            </w:tcMar>
            <w:vAlign w:val="center"/>
          </w:tcPr>
          <w:p>
            <w:pPr>
              <w:spacing w:beforeLines="50"/>
              <w:rPr>
                <w:rFonts w:ascii="Times New Roman" w:hAnsi="Times New Roman" w:cs="Times New Roman"/>
                <w:sz w:val="24"/>
                <w:szCs w:val="24"/>
              </w:rPr>
            </w:pPr>
            <w:r>
              <w:rPr>
                <w:rFonts w:ascii="Times New Roman" w:hAnsi="Times New Roman" w:cs="Times New Roman"/>
                <w:sz w:val="24"/>
                <w:szCs w:val="24"/>
              </w:rPr>
              <w:t>178.96</w:t>
            </w:r>
          </w:p>
        </w:tc>
        <w:tc>
          <w:tcPr>
            <w:tcW w:w="729" w:type="dxa"/>
            <w:tcBorders>
              <w:top w:val="single" w:color="339966" w:sz="6" w:space="0"/>
              <w:left w:val="single" w:color="339966" w:sz="4" w:space="0"/>
              <w:bottom w:val="single" w:color="339966" w:sz="6" w:space="0"/>
              <w:right w:val="single" w:color="339966" w:sz="4" w:space="0"/>
            </w:tcBorders>
            <w:tcMar>
              <w:top w:w="15" w:type="dxa"/>
              <w:left w:w="15" w:type="dxa"/>
              <w:bottom w:w="0" w:type="dxa"/>
              <w:right w:w="15" w:type="dxa"/>
            </w:tcMar>
            <w:vAlign w:val="center"/>
          </w:tcPr>
          <w:p>
            <w:pPr>
              <w:spacing w:beforeLines="50"/>
              <w:jc w:val="center"/>
              <w:rPr>
                <w:rFonts w:ascii="Times New Roman" w:hAnsi="Times New Roman" w:cs="Times New Roman"/>
                <w:sz w:val="24"/>
                <w:szCs w:val="24"/>
              </w:rPr>
            </w:pPr>
            <w:r>
              <w:rPr>
                <w:rFonts w:ascii="Times New Roman" w:hAnsi="Times New Roman" w:cs="Times New Roman"/>
                <w:sz w:val="24"/>
                <w:szCs w:val="24"/>
              </w:rPr>
              <w:t>15.33</w:t>
            </w:r>
          </w:p>
        </w:tc>
        <w:tc>
          <w:tcPr>
            <w:tcW w:w="857" w:type="dxa"/>
            <w:tcBorders>
              <w:top w:val="single" w:color="339966" w:sz="6" w:space="0"/>
              <w:left w:val="single" w:color="339966" w:sz="4" w:space="0"/>
              <w:bottom w:val="single" w:color="339966" w:sz="6" w:space="0"/>
              <w:right w:val="single" w:color="339966" w:sz="4" w:space="0"/>
            </w:tcBorders>
            <w:tcMar>
              <w:top w:w="15" w:type="dxa"/>
              <w:left w:w="15" w:type="dxa"/>
              <w:bottom w:w="0" w:type="dxa"/>
              <w:right w:w="15" w:type="dxa"/>
            </w:tcMar>
            <w:vAlign w:val="center"/>
          </w:tcPr>
          <w:p>
            <w:pPr>
              <w:spacing w:beforeLines="50"/>
              <w:jc w:val="center"/>
              <w:rPr>
                <w:rFonts w:ascii="Times New Roman" w:hAnsi="Times New Roman" w:cs="Times New Roman"/>
                <w:sz w:val="24"/>
                <w:szCs w:val="24"/>
              </w:rPr>
            </w:pPr>
            <w:r>
              <w:rPr>
                <w:rFonts w:ascii="Times New Roman" w:hAnsi="Times New Roman" w:cs="Times New Roman"/>
                <w:sz w:val="24"/>
                <w:szCs w:val="24"/>
              </w:rPr>
              <w:t>94.46</w:t>
            </w:r>
          </w:p>
        </w:tc>
        <w:tc>
          <w:tcPr>
            <w:tcW w:w="885" w:type="dxa"/>
            <w:tcBorders>
              <w:top w:val="single" w:color="339966" w:sz="6" w:space="0"/>
              <w:left w:val="single" w:color="339966" w:sz="4" w:space="0"/>
              <w:bottom w:val="single" w:color="339966" w:sz="6" w:space="0"/>
              <w:right w:val="single" w:color="339966" w:sz="4" w:space="0"/>
            </w:tcBorders>
            <w:tcMar>
              <w:top w:w="15" w:type="dxa"/>
              <w:left w:w="15" w:type="dxa"/>
              <w:bottom w:w="0" w:type="dxa"/>
              <w:right w:w="15" w:type="dxa"/>
            </w:tcMar>
            <w:vAlign w:val="center"/>
          </w:tcPr>
          <w:p>
            <w:pPr>
              <w:spacing w:beforeLines="50"/>
              <w:jc w:val="center"/>
              <w:rPr>
                <w:rFonts w:ascii="Times New Roman" w:hAnsi="Times New Roman" w:cs="Times New Roman"/>
                <w:sz w:val="24"/>
                <w:szCs w:val="24"/>
              </w:rPr>
            </w:pPr>
            <w:r>
              <w:rPr>
                <w:rFonts w:ascii="Times New Roman" w:hAnsi="Times New Roman" w:cs="Times New Roman"/>
                <w:sz w:val="24"/>
                <w:szCs w:val="24"/>
              </w:rPr>
              <w:t>0.58</w:t>
            </w:r>
          </w:p>
        </w:tc>
        <w:tc>
          <w:tcPr>
            <w:tcW w:w="939" w:type="dxa"/>
            <w:tcBorders>
              <w:top w:val="single" w:color="339966" w:sz="6" w:space="0"/>
              <w:left w:val="single" w:color="339966" w:sz="4" w:space="0"/>
              <w:bottom w:val="single" w:color="339966" w:sz="6" w:space="0"/>
              <w:right w:val="single" w:color="339966" w:sz="4" w:space="0"/>
            </w:tcBorders>
            <w:tcMar>
              <w:top w:w="15" w:type="dxa"/>
              <w:left w:w="15" w:type="dxa"/>
              <w:bottom w:w="0" w:type="dxa"/>
              <w:right w:w="15" w:type="dxa"/>
            </w:tcMar>
            <w:vAlign w:val="center"/>
          </w:tcPr>
          <w:p>
            <w:pPr>
              <w:spacing w:beforeLines="50"/>
              <w:jc w:val="center"/>
              <w:rPr>
                <w:rFonts w:ascii="Times New Roman" w:hAnsi="Times New Roman" w:cs="Times New Roman"/>
                <w:sz w:val="24"/>
                <w:szCs w:val="24"/>
              </w:rPr>
            </w:pPr>
            <w:r>
              <w:rPr>
                <w:rFonts w:ascii="Times New Roman" w:hAnsi="Times New Roman" w:cs="Times New Roman"/>
                <w:sz w:val="24"/>
                <w:szCs w:val="24"/>
              </w:rPr>
              <w:t>70.14</w:t>
            </w:r>
          </w:p>
        </w:tc>
      </w:tr>
      <w:tr>
        <w:tblPrEx>
          <w:tblLayout w:type="fixed"/>
          <w:tblCellMar>
            <w:top w:w="0" w:type="dxa"/>
            <w:left w:w="0" w:type="dxa"/>
            <w:bottom w:w="0" w:type="dxa"/>
            <w:right w:w="0" w:type="dxa"/>
          </w:tblCellMar>
        </w:tblPrEx>
        <w:trPr>
          <w:trHeight w:val="446" w:hRule="atLeast"/>
          <w:jc w:val="center"/>
        </w:trPr>
        <w:tc>
          <w:tcPr>
            <w:tcW w:w="1449" w:type="dxa"/>
            <w:tcBorders>
              <w:top w:val="single" w:color="339966" w:sz="6" w:space="0"/>
              <w:left w:val="single" w:color="339966" w:sz="8" w:space="0"/>
              <w:bottom w:val="single" w:color="339966" w:sz="12" w:space="0"/>
              <w:right w:val="single" w:color="339966" w:sz="4" w:space="0"/>
            </w:tcBorders>
            <w:shd w:val="clear" w:color="auto" w:fill="CCFFCC"/>
            <w:tcMar>
              <w:top w:w="15" w:type="dxa"/>
              <w:left w:w="15" w:type="dxa"/>
              <w:bottom w:w="0" w:type="dxa"/>
              <w:right w:w="15" w:type="dxa"/>
            </w:tcMar>
            <w:vAlign w:val="center"/>
          </w:tcPr>
          <w:p>
            <w:pPr>
              <w:adjustRightInd w:val="0"/>
              <w:snapToGrid w:val="0"/>
              <w:spacing w:beforeLines="50"/>
              <w:rPr>
                <w:rFonts w:ascii="Times New Roman" w:hAnsi="Times New Roman" w:cs="Times New Roman"/>
                <w:sz w:val="24"/>
                <w:szCs w:val="24"/>
              </w:rPr>
            </w:pPr>
            <w:r>
              <w:rPr>
                <w:rFonts w:ascii="Times New Roman" w:hAnsi="Times New Roman" w:cs="Times New Roman"/>
                <w:sz w:val="24"/>
                <w:szCs w:val="24"/>
              </w:rPr>
              <w:t>Currency</w:t>
            </w:r>
          </w:p>
        </w:tc>
        <w:tc>
          <w:tcPr>
            <w:tcW w:w="950" w:type="dxa"/>
            <w:tcBorders>
              <w:top w:val="single" w:color="339966" w:sz="6" w:space="0"/>
              <w:left w:val="single" w:color="339966" w:sz="4" w:space="0"/>
              <w:bottom w:val="single" w:color="339966" w:sz="12" w:space="0"/>
              <w:right w:val="single" w:color="339966" w:sz="4" w:space="0"/>
            </w:tcBorders>
            <w:shd w:val="clear" w:color="auto" w:fill="CCFFCC"/>
            <w:tcMar>
              <w:top w:w="15" w:type="dxa"/>
              <w:left w:w="15" w:type="dxa"/>
              <w:bottom w:w="0" w:type="dxa"/>
              <w:right w:w="15" w:type="dxa"/>
            </w:tcMar>
            <w:vAlign w:val="center"/>
          </w:tcPr>
          <w:p>
            <w:pPr>
              <w:adjustRightInd w:val="0"/>
              <w:snapToGrid w:val="0"/>
              <w:spacing w:beforeLines="50"/>
              <w:jc w:val="center"/>
              <w:rPr>
                <w:rFonts w:ascii="Times New Roman" w:hAnsi="Times New Roman" w:cs="Times New Roman"/>
                <w:sz w:val="24"/>
                <w:szCs w:val="24"/>
              </w:rPr>
            </w:pPr>
            <w:r>
              <w:rPr>
                <w:rFonts w:ascii="Times New Roman" w:hAnsi="Times New Roman" w:cs="Times New Roman"/>
                <w:sz w:val="24"/>
                <w:szCs w:val="24"/>
              </w:rPr>
              <w:t>AED</w:t>
            </w:r>
          </w:p>
        </w:tc>
        <w:tc>
          <w:tcPr>
            <w:tcW w:w="830" w:type="dxa"/>
            <w:tcBorders>
              <w:top w:val="single" w:color="339966" w:sz="6" w:space="0"/>
              <w:left w:val="single" w:color="339966" w:sz="4" w:space="0"/>
              <w:bottom w:val="single" w:color="339966" w:sz="12" w:space="0"/>
              <w:right w:val="single" w:color="339966" w:sz="4" w:space="0"/>
            </w:tcBorders>
            <w:shd w:val="clear" w:color="auto" w:fill="CCFFCC"/>
            <w:tcMar>
              <w:top w:w="15" w:type="dxa"/>
              <w:left w:w="15" w:type="dxa"/>
              <w:bottom w:w="0" w:type="dxa"/>
              <w:right w:w="15" w:type="dxa"/>
            </w:tcMar>
            <w:vAlign w:val="center"/>
          </w:tcPr>
          <w:p>
            <w:pPr>
              <w:adjustRightInd w:val="0"/>
              <w:snapToGrid w:val="0"/>
              <w:spacing w:beforeLines="50"/>
              <w:jc w:val="center"/>
              <w:rPr>
                <w:rFonts w:ascii="Times New Roman" w:hAnsi="Times New Roman" w:cs="Times New Roman"/>
                <w:sz w:val="24"/>
                <w:szCs w:val="24"/>
              </w:rPr>
            </w:pPr>
            <w:r>
              <w:rPr>
                <w:rFonts w:ascii="Times New Roman" w:hAnsi="Times New Roman" w:cs="Times New Roman"/>
                <w:sz w:val="24"/>
                <w:szCs w:val="24"/>
              </w:rPr>
              <w:t>SAR</w:t>
            </w:r>
          </w:p>
        </w:tc>
        <w:tc>
          <w:tcPr>
            <w:tcW w:w="729" w:type="dxa"/>
            <w:tcBorders>
              <w:top w:val="single" w:color="339966" w:sz="6" w:space="0"/>
              <w:left w:val="single" w:color="339966" w:sz="4" w:space="0"/>
              <w:bottom w:val="single" w:color="339966" w:sz="12" w:space="0"/>
              <w:right w:val="single" w:color="339966" w:sz="4" w:space="0"/>
            </w:tcBorders>
            <w:shd w:val="clear" w:color="auto" w:fill="CCFFCC"/>
            <w:tcMar>
              <w:top w:w="15" w:type="dxa"/>
              <w:left w:w="15" w:type="dxa"/>
              <w:bottom w:w="0" w:type="dxa"/>
              <w:right w:w="15" w:type="dxa"/>
            </w:tcMar>
            <w:vAlign w:val="center"/>
          </w:tcPr>
          <w:p>
            <w:pPr>
              <w:adjustRightInd w:val="0"/>
              <w:snapToGrid w:val="0"/>
              <w:spacing w:beforeLines="50"/>
              <w:jc w:val="center"/>
              <w:rPr>
                <w:rFonts w:ascii="Times New Roman" w:hAnsi="Times New Roman" w:cs="Times New Roman"/>
                <w:sz w:val="24"/>
                <w:szCs w:val="24"/>
              </w:rPr>
            </w:pPr>
            <w:r>
              <w:rPr>
                <w:rFonts w:ascii="Times New Roman" w:hAnsi="Times New Roman" w:cs="Times New Roman"/>
                <w:sz w:val="24"/>
                <w:szCs w:val="24"/>
              </w:rPr>
              <w:t>HUF</w:t>
            </w:r>
          </w:p>
        </w:tc>
        <w:tc>
          <w:tcPr>
            <w:tcW w:w="729" w:type="dxa"/>
            <w:tcBorders>
              <w:top w:val="single" w:color="339966" w:sz="6" w:space="0"/>
              <w:left w:val="single" w:color="339966" w:sz="4" w:space="0"/>
              <w:bottom w:val="single" w:color="339966" w:sz="12" w:space="0"/>
              <w:right w:val="single" w:color="339966" w:sz="4" w:space="0"/>
            </w:tcBorders>
            <w:shd w:val="clear" w:color="auto" w:fill="CCFFCC"/>
            <w:tcMar>
              <w:top w:w="15" w:type="dxa"/>
              <w:left w:w="15" w:type="dxa"/>
              <w:bottom w:w="0" w:type="dxa"/>
              <w:right w:w="15" w:type="dxa"/>
            </w:tcMar>
            <w:vAlign w:val="center"/>
          </w:tcPr>
          <w:p>
            <w:pPr>
              <w:adjustRightInd w:val="0"/>
              <w:snapToGrid w:val="0"/>
              <w:spacing w:beforeLines="50"/>
              <w:jc w:val="center"/>
              <w:rPr>
                <w:rFonts w:ascii="Times New Roman" w:hAnsi="Times New Roman" w:cs="Times New Roman"/>
                <w:sz w:val="24"/>
                <w:szCs w:val="24"/>
              </w:rPr>
            </w:pPr>
            <w:r>
              <w:rPr>
                <w:rFonts w:ascii="Times New Roman" w:hAnsi="Times New Roman" w:cs="Times New Roman"/>
                <w:sz w:val="24"/>
                <w:szCs w:val="24"/>
              </w:rPr>
              <w:t>PLN</w:t>
            </w:r>
          </w:p>
        </w:tc>
        <w:tc>
          <w:tcPr>
            <w:tcW w:w="857" w:type="dxa"/>
            <w:tcBorders>
              <w:top w:val="single" w:color="339966" w:sz="6" w:space="0"/>
              <w:left w:val="single" w:color="339966" w:sz="4" w:space="0"/>
              <w:bottom w:val="single" w:color="339966" w:sz="12" w:space="0"/>
              <w:right w:val="single" w:color="339966" w:sz="4" w:space="0"/>
            </w:tcBorders>
            <w:shd w:val="clear" w:color="auto" w:fill="CCFFCC"/>
            <w:tcMar>
              <w:top w:w="15" w:type="dxa"/>
              <w:left w:w="15" w:type="dxa"/>
              <w:bottom w:w="0" w:type="dxa"/>
              <w:right w:w="15" w:type="dxa"/>
            </w:tcMar>
            <w:vAlign w:val="center"/>
          </w:tcPr>
          <w:p>
            <w:pPr>
              <w:adjustRightInd w:val="0"/>
              <w:snapToGrid w:val="0"/>
              <w:spacing w:beforeLines="50"/>
              <w:jc w:val="center"/>
              <w:rPr>
                <w:rFonts w:ascii="Times New Roman" w:hAnsi="Times New Roman" w:cs="Times New Roman"/>
                <w:sz w:val="24"/>
                <w:szCs w:val="24"/>
              </w:rPr>
            </w:pPr>
            <w:r>
              <w:rPr>
                <w:rFonts w:ascii="Times New Roman" w:hAnsi="Times New Roman" w:cs="Times New Roman"/>
                <w:sz w:val="24"/>
                <w:szCs w:val="24"/>
              </w:rPr>
              <w:t>DKK</w:t>
            </w:r>
          </w:p>
        </w:tc>
        <w:tc>
          <w:tcPr>
            <w:tcW w:w="885" w:type="dxa"/>
            <w:tcBorders>
              <w:top w:val="single" w:color="339966" w:sz="6" w:space="0"/>
              <w:left w:val="single" w:color="339966" w:sz="4" w:space="0"/>
              <w:bottom w:val="single" w:color="339966" w:sz="12" w:space="0"/>
              <w:right w:val="single" w:color="339966" w:sz="4" w:space="0"/>
            </w:tcBorders>
            <w:shd w:val="clear" w:color="auto" w:fill="CCFFCC"/>
            <w:tcMar>
              <w:top w:w="15" w:type="dxa"/>
              <w:left w:w="15" w:type="dxa"/>
              <w:bottom w:w="0" w:type="dxa"/>
              <w:right w:w="15" w:type="dxa"/>
            </w:tcMar>
            <w:vAlign w:val="center"/>
          </w:tcPr>
          <w:p>
            <w:pPr>
              <w:adjustRightInd w:val="0"/>
              <w:snapToGrid w:val="0"/>
              <w:spacing w:beforeLines="50"/>
              <w:jc w:val="center"/>
              <w:rPr>
                <w:rFonts w:ascii="Times New Roman" w:hAnsi="Times New Roman" w:cs="Times New Roman"/>
                <w:sz w:val="24"/>
                <w:szCs w:val="24"/>
              </w:rPr>
            </w:pPr>
            <w:r>
              <w:rPr>
                <w:rFonts w:ascii="Times New Roman" w:hAnsi="Times New Roman" w:cs="Times New Roman"/>
                <w:sz w:val="24"/>
                <w:szCs w:val="24"/>
              </w:rPr>
              <w:t>SEK</w:t>
            </w:r>
          </w:p>
        </w:tc>
        <w:tc>
          <w:tcPr>
            <w:tcW w:w="939" w:type="dxa"/>
            <w:tcBorders>
              <w:top w:val="single" w:color="339966" w:sz="6" w:space="0"/>
              <w:left w:val="single" w:color="339966" w:sz="4" w:space="0"/>
              <w:bottom w:val="single" w:color="339966" w:sz="12" w:space="0"/>
              <w:right w:val="single" w:color="339966" w:sz="4" w:space="0"/>
            </w:tcBorders>
            <w:shd w:val="clear" w:color="auto" w:fill="CCFFCC"/>
            <w:tcMar>
              <w:top w:w="15" w:type="dxa"/>
              <w:left w:w="15" w:type="dxa"/>
              <w:bottom w:w="0" w:type="dxa"/>
              <w:right w:w="15" w:type="dxa"/>
            </w:tcMar>
            <w:vAlign w:val="center"/>
          </w:tcPr>
          <w:p>
            <w:pPr>
              <w:adjustRightInd w:val="0"/>
              <w:snapToGrid w:val="0"/>
              <w:spacing w:beforeLines="50"/>
              <w:jc w:val="center"/>
              <w:rPr>
                <w:rFonts w:ascii="Times New Roman" w:hAnsi="Times New Roman" w:cs="Times New Roman"/>
                <w:sz w:val="24"/>
                <w:szCs w:val="24"/>
              </w:rPr>
            </w:pPr>
            <w:r>
              <w:rPr>
                <w:rFonts w:ascii="Times New Roman" w:hAnsi="Times New Roman" w:cs="Times New Roman"/>
                <w:sz w:val="24"/>
                <w:szCs w:val="24"/>
              </w:rPr>
              <w:t>NOK</w:t>
            </w:r>
          </w:p>
        </w:tc>
      </w:tr>
      <w:tr>
        <w:tblPrEx>
          <w:tblLayout w:type="fixed"/>
          <w:tblCellMar>
            <w:top w:w="0" w:type="dxa"/>
            <w:left w:w="0" w:type="dxa"/>
            <w:bottom w:w="0" w:type="dxa"/>
            <w:right w:w="0" w:type="dxa"/>
          </w:tblCellMar>
        </w:tblPrEx>
        <w:trPr>
          <w:trHeight w:val="50" w:hRule="atLeast"/>
          <w:jc w:val="center"/>
        </w:trPr>
        <w:tc>
          <w:tcPr>
            <w:tcW w:w="1449" w:type="dxa"/>
            <w:tcBorders>
              <w:top w:val="single" w:color="339966" w:sz="6" w:space="0"/>
              <w:left w:val="single" w:color="339966" w:sz="8" w:space="0"/>
              <w:bottom w:val="single" w:color="339966" w:sz="6" w:space="0"/>
              <w:right w:val="single" w:color="339966" w:sz="4" w:space="0"/>
            </w:tcBorders>
            <w:tcMar>
              <w:top w:w="15" w:type="dxa"/>
              <w:left w:w="15" w:type="dxa"/>
              <w:bottom w:w="0" w:type="dxa"/>
              <w:right w:w="15" w:type="dxa"/>
            </w:tcMar>
            <w:vAlign w:val="center"/>
          </w:tcPr>
          <w:p>
            <w:pPr>
              <w:adjustRightInd w:val="0"/>
              <w:snapToGrid w:val="0"/>
              <w:spacing w:beforeLines="50"/>
              <w:rPr>
                <w:rFonts w:ascii="Times New Roman" w:hAnsi="Times New Roman" w:cs="Times New Roman"/>
                <w:sz w:val="24"/>
                <w:szCs w:val="24"/>
              </w:rPr>
            </w:pPr>
            <w:r>
              <w:rPr>
                <w:rFonts w:ascii="Times New Roman" w:hAnsi="Times New Roman" w:cs="Times New Roman"/>
                <w:sz w:val="24"/>
                <w:szCs w:val="24"/>
              </w:rPr>
              <w:t>Trading volume</w:t>
            </w:r>
          </w:p>
        </w:tc>
        <w:tc>
          <w:tcPr>
            <w:tcW w:w="950" w:type="dxa"/>
            <w:tcBorders>
              <w:top w:val="single" w:color="339966" w:sz="6" w:space="0"/>
              <w:left w:val="single" w:color="339966" w:sz="4" w:space="0"/>
              <w:bottom w:val="single" w:color="339966" w:sz="6" w:space="0"/>
              <w:right w:val="single" w:color="339966" w:sz="4" w:space="0"/>
            </w:tcBorders>
            <w:tcMar>
              <w:top w:w="15" w:type="dxa"/>
              <w:left w:w="15" w:type="dxa"/>
              <w:bottom w:w="0" w:type="dxa"/>
              <w:right w:w="15" w:type="dxa"/>
            </w:tcMar>
            <w:vAlign w:val="center"/>
          </w:tcPr>
          <w:p>
            <w:pPr>
              <w:spacing w:beforeLines="50"/>
              <w:jc w:val="center"/>
              <w:rPr>
                <w:rFonts w:ascii="Times New Roman" w:hAnsi="Times New Roman" w:cs="Times New Roman"/>
                <w:sz w:val="24"/>
                <w:szCs w:val="24"/>
              </w:rPr>
            </w:pPr>
            <w:r>
              <w:rPr>
                <w:rFonts w:ascii="Times New Roman" w:hAnsi="Times New Roman" w:cs="Times New Roman"/>
                <w:sz w:val="24"/>
                <w:szCs w:val="24"/>
              </w:rPr>
              <w:t>7.40</w:t>
            </w:r>
          </w:p>
        </w:tc>
        <w:tc>
          <w:tcPr>
            <w:tcW w:w="830" w:type="dxa"/>
            <w:tcBorders>
              <w:top w:val="single" w:color="339966" w:sz="6" w:space="0"/>
              <w:left w:val="single" w:color="339966" w:sz="4" w:space="0"/>
              <w:bottom w:val="single" w:color="339966" w:sz="6" w:space="0"/>
              <w:right w:val="single" w:color="339966" w:sz="4" w:space="0"/>
            </w:tcBorders>
            <w:tcMar>
              <w:top w:w="15" w:type="dxa"/>
              <w:left w:w="15" w:type="dxa"/>
              <w:bottom w:w="0" w:type="dxa"/>
              <w:right w:w="15" w:type="dxa"/>
            </w:tcMar>
            <w:vAlign w:val="center"/>
          </w:tcPr>
          <w:p>
            <w:pPr>
              <w:spacing w:beforeLines="50"/>
              <w:jc w:val="center"/>
              <w:rPr>
                <w:rFonts w:ascii="Times New Roman" w:hAnsi="Times New Roman" w:cs="Times New Roman"/>
                <w:sz w:val="24"/>
                <w:szCs w:val="24"/>
              </w:rPr>
            </w:pPr>
            <w:r>
              <w:rPr>
                <w:rFonts w:ascii="Times New Roman" w:hAnsi="Times New Roman" w:cs="Times New Roman"/>
                <w:sz w:val="24"/>
                <w:szCs w:val="24"/>
              </w:rPr>
              <w:t>6.78</w:t>
            </w:r>
          </w:p>
        </w:tc>
        <w:tc>
          <w:tcPr>
            <w:tcW w:w="729" w:type="dxa"/>
            <w:tcBorders>
              <w:top w:val="single" w:color="339966" w:sz="6" w:space="0"/>
              <w:left w:val="single" w:color="339966" w:sz="4" w:space="0"/>
              <w:bottom w:val="single" w:color="339966" w:sz="6" w:space="0"/>
              <w:right w:val="single" w:color="339966" w:sz="4" w:space="0"/>
            </w:tcBorders>
            <w:tcMar>
              <w:top w:w="15" w:type="dxa"/>
              <w:left w:w="15" w:type="dxa"/>
              <w:bottom w:w="0" w:type="dxa"/>
              <w:right w:w="15" w:type="dxa"/>
            </w:tcMar>
            <w:vAlign w:val="center"/>
          </w:tcPr>
          <w:p>
            <w:pPr>
              <w:spacing w:beforeLines="50"/>
              <w:jc w:val="center"/>
              <w:rPr>
                <w:rFonts w:ascii="Times New Roman" w:hAnsi="Times New Roman" w:cs="Times New Roman"/>
                <w:sz w:val="24"/>
                <w:szCs w:val="24"/>
              </w:rPr>
            </w:pPr>
            <w:r>
              <w:rPr>
                <w:rFonts w:ascii="Times New Roman" w:hAnsi="Times New Roman" w:cs="Times New Roman"/>
                <w:sz w:val="24"/>
                <w:szCs w:val="24"/>
              </w:rPr>
              <w:t>0.06</w:t>
            </w:r>
          </w:p>
        </w:tc>
        <w:tc>
          <w:tcPr>
            <w:tcW w:w="729" w:type="dxa"/>
            <w:tcBorders>
              <w:top w:val="single" w:color="339966" w:sz="6" w:space="0"/>
              <w:left w:val="single" w:color="339966" w:sz="4" w:space="0"/>
              <w:bottom w:val="single" w:color="339966" w:sz="6" w:space="0"/>
              <w:right w:val="single" w:color="339966" w:sz="4" w:space="0"/>
            </w:tcBorders>
            <w:tcMar>
              <w:top w:w="15" w:type="dxa"/>
              <w:left w:w="15" w:type="dxa"/>
              <w:bottom w:w="0" w:type="dxa"/>
              <w:right w:w="15" w:type="dxa"/>
            </w:tcMar>
            <w:vAlign w:val="center"/>
          </w:tcPr>
          <w:p>
            <w:pPr>
              <w:spacing w:beforeLines="50"/>
              <w:jc w:val="center"/>
              <w:rPr>
                <w:rFonts w:ascii="Times New Roman" w:hAnsi="Times New Roman" w:cs="Times New Roman"/>
                <w:sz w:val="24"/>
                <w:szCs w:val="24"/>
              </w:rPr>
            </w:pPr>
            <w:r>
              <w:rPr>
                <w:rFonts w:ascii="Times New Roman" w:hAnsi="Times New Roman" w:cs="Times New Roman"/>
                <w:sz w:val="24"/>
                <w:szCs w:val="24"/>
              </w:rPr>
              <w:t>0.19</w:t>
            </w:r>
          </w:p>
        </w:tc>
        <w:tc>
          <w:tcPr>
            <w:tcW w:w="857" w:type="dxa"/>
            <w:tcBorders>
              <w:top w:val="single" w:color="339966" w:sz="6" w:space="0"/>
              <w:left w:val="single" w:color="339966" w:sz="4" w:space="0"/>
              <w:bottom w:val="single" w:color="339966" w:sz="6" w:space="0"/>
              <w:right w:val="single" w:color="339966" w:sz="4" w:space="0"/>
            </w:tcBorders>
            <w:tcMar>
              <w:top w:w="15" w:type="dxa"/>
              <w:left w:w="15" w:type="dxa"/>
              <w:bottom w:w="0" w:type="dxa"/>
              <w:right w:w="15" w:type="dxa"/>
            </w:tcMar>
            <w:vAlign w:val="center"/>
          </w:tcPr>
          <w:p>
            <w:pPr>
              <w:spacing w:beforeLines="50"/>
              <w:jc w:val="center"/>
              <w:rPr>
                <w:rFonts w:ascii="Times New Roman" w:hAnsi="Times New Roman" w:cs="Times New Roman"/>
                <w:sz w:val="24"/>
                <w:szCs w:val="24"/>
              </w:rPr>
            </w:pPr>
            <w:r>
              <w:rPr>
                <w:rFonts w:ascii="Times New Roman" w:hAnsi="Times New Roman" w:cs="Times New Roman"/>
                <w:sz w:val="24"/>
                <w:szCs w:val="24"/>
              </w:rPr>
              <w:t>12.20</w:t>
            </w:r>
          </w:p>
        </w:tc>
        <w:tc>
          <w:tcPr>
            <w:tcW w:w="885" w:type="dxa"/>
            <w:tcBorders>
              <w:top w:val="single" w:color="339966" w:sz="6" w:space="0"/>
              <w:left w:val="single" w:color="339966" w:sz="4" w:space="0"/>
              <w:bottom w:val="single" w:color="339966" w:sz="6" w:space="0"/>
              <w:right w:val="single" w:color="339966" w:sz="4" w:space="0"/>
            </w:tcBorders>
            <w:tcMar>
              <w:top w:w="15" w:type="dxa"/>
              <w:left w:w="15" w:type="dxa"/>
              <w:bottom w:w="0" w:type="dxa"/>
              <w:right w:w="15" w:type="dxa"/>
            </w:tcMar>
            <w:vAlign w:val="center"/>
          </w:tcPr>
          <w:p>
            <w:pPr>
              <w:spacing w:beforeLines="50"/>
              <w:jc w:val="center"/>
              <w:rPr>
                <w:rFonts w:ascii="Times New Roman" w:hAnsi="Times New Roman" w:cs="Times New Roman"/>
                <w:sz w:val="24"/>
                <w:szCs w:val="24"/>
              </w:rPr>
            </w:pPr>
            <w:r>
              <w:rPr>
                <w:rFonts w:ascii="Times New Roman" w:hAnsi="Times New Roman" w:cs="Times New Roman"/>
                <w:sz w:val="24"/>
                <w:szCs w:val="24"/>
              </w:rPr>
              <w:t>18.88</w:t>
            </w:r>
          </w:p>
        </w:tc>
        <w:tc>
          <w:tcPr>
            <w:tcW w:w="939" w:type="dxa"/>
            <w:tcBorders>
              <w:top w:val="single" w:color="339966" w:sz="6" w:space="0"/>
              <w:left w:val="single" w:color="339966" w:sz="4" w:space="0"/>
              <w:bottom w:val="single" w:color="339966" w:sz="6" w:space="0"/>
              <w:right w:val="single" w:color="339966" w:sz="4" w:space="0"/>
            </w:tcBorders>
            <w:tcMar>
              <w:top w:w="15" w:type="dxa"/>
              <w:left w:w="15" w:type="dxa"/>
              <w:bottom w:w="0" w:type="dxa"/>
              <w:right w:w="15" w:type="dxa"/>
            </w:tcMar>
            <w:vAlign w:val="center"/>
          </w:tcPr>
          <w:p>
            <w:pPr>
              <w:spacing w:beforeLines="50"/>
              <w:jc w:val="center"/>
              <w:rPr>
                <w:rFonts w:ascii="Times New Roman" w:hAnsi="Times New Roman" w:cs="Times New Roman"/>
                <w:sz w:val="24"/>
                <w:szCs w:val="24"/>
              </w:rPr>
            </w:pPr>
            <w:r>
              <w:rPr>
                <w:rFonts w:ascii="Times New Roman" w:hAnsi="Times New Roman" w:cs="Times New Roman"/>
                <w:sz w:val="24"/>
                <w:szCs w:val="24"/>
              </w:rPr>
              <w:t>6.16</w:t>
            </w:r>
          </w:p>
        </w:tc>
      </w:tr>
      <w:tr>
        <w:tblPrEx>
          <w:tblLayout w:type="fixed"/>
          <w:tblCellMar>
            <w:top w:w="0" w:type="dxa"/>
            <w:left w:w="0" w:type="dxa"/>
            <w:bottom w:w="0" w:type="dxa"/>
            <w:right w:w="0" w:type="dxa"/>
          </w:tblCellMar>
        </w:tblPrEx>
        <w:trPr>
          <w:trHeight w:val="50" w:hRule="atLeast"/>
          <w:jc w:val="center"/>
        </w:trPr>
        <w:tc>
          <w:tcPr>
            <w:tcW w:w="1449" w:type="dxa"/>
            <w:tcBorders>
              <w:top w:val="single" w:color="339966" w:sz="6" w:space="0"/>
              <w:left w:val="single" w:color="339966" w:sz="8" w:space="0"/>
              <w:bottom w:val="single" w:color="339966" w:sz="6" w:space="0"/>
              <w:right w:val="single" w:color="339966" w:sz="4" w:space="0"/>
            </w:tcBorders>
            <w:shd w:val="clear" w:color="auto" w:fill="CCFFCC"/>
            <w:tcMar>
              <w:top w:w="15" w:type="dxa"/>
              <w:left w:w="15" w:type="dxa"/>
              <w:bottom w:w="0" w:type="dxa"/>
              <w:right w:w="15" w:type="dxa"/>
            </w:tcMar>
            <w:vAlign w:val="center"/>
          </w:tcPr>
          <w:p>
            <w:pPr>
              <w:adjustRightInd w:val="0"/>
              <w:snapToGrid w:val="0"/>
              <w:spacing w:beforeLines="50"/>
              <w:rPr>
                <w:rFonts w:ascii="Times New Roman" w:hAnsi="Times New Roman" w:cs="Times New Roman"/>
                <w:sz w:val="24"/>
                <w:szCs w:val="24"/>
              </w:rPr>
            </w:pPr>
            <w:r>
              <w:rPr>
                <w:rFonts w:ascii="Times New Roman" w:hAnsi="Times New Roman" w:cs="Times New Roman"/>
                <w:sz w:val="24"/>
                <w:szCs w:val="24"/>
              </w:rPr>
              <w:t>Currency</w:t>
            </w:r>
          </w:p>
        </w:tc>
        <w:tc>
          <w:tcPr>
            <w:tcW w:w="950" w:type="dxa"/>
            <w:tcBorders>
              <w:top w:val="single" w:color="339966" w:sz="6" w:space="0"/>
              <w:left w:val="single" w:color="339966" w:sz="4" w:space="0"/>
              <w:bottom w:val="single" w:color="339966" w:sz="6" w:space="0"/>
              <w:right w:val="single" w:color="339966" w:sz="4" w:space="0"/>
            </w:tcBorders>
            <w:shd w:val="clear" w:color="auto" w:fill="CCFFCC"/>
            <w:tcMar>
              <w:top w:w="15" w:type="dxa"/>
              <w:left w:w="15" w:type="dxa"/>
              <w:bottom w:w="0" w:type="dxa"/>
              <w:right w:w="15" w:type="dxa"/>
            </w:tcMar>
            <w:vAlign w:val="center"/>
          </w:tcPr>
          <w:p>
            <w:pPr>
              <w:adjustRightInd w:val="0"/>
              <w:snapToGrid w:val="0"/>
              <w:spacing w:beforeLines="50"/>
              <w:jc w:val="center"/>
              <w:rPr>
                <w:rFonts w:ascii="Times New Roman" w:hAnsi="Times New Roman" w:cs="Times New Roman"/>
                <w:sz w:val="24"/>
                <w:szCs w:val="24"/>
              </w:rPr>
            </w:pPr>
            <w:r>
              <w:rPr>
                <w:rFonts w:ascii="Times New Roman" w:hAnsi="Times New Roman" w:cs="Times New Roman"/>
                <w:sz w:val="24"/>
                <w:szCs w:val="24"/>
              </w:rPr>
              <w:t>TRY</w:t>
            </w:r>
          </w:p>
        </w:tc>
        <w:tc>
          <w:tcPr>
            <w:tcW w:w="830" w:type="dxa"/>
            <w:tcBorders>
              <w:top w:val="single" w:color="339966" w:sz="6" w:space="0"/>
              <w:left w:val="single" w:color="339966" w:sz="4" w:space="0"/>
              <w:bottom w:val="single" w:color="339966" w:sz="6" w:space="0"/>
              <w:right w:val="single" w:color="339966" w:sz="4" w:space="0"/>
            </w:tcBorders>
            <w:shd w:val="clear" w:color="auto" w:fill="CCFFCC"/>
            <w:tcMar>
              <w:top w:w="15" w:type="dxa"/>
              <w:left w:w="15" w:type="dxa"/>
              <w:bottom w:w="0" w:type="dxa"/>
              <w:right w:w="15" w:type="dxa"/>
            </w:tcMar>
            <w:vAlign w:val="center"/>
          </w:tcPr>
          <w:p>
            <w:pPr>
              <w:adjustRightInd w:val="0"/>
              <w:snapToGrid w:val="0"/>
              <w:spacing w:beforeLines="50"/>
              <w:jc w:val="center"/>
              <w:rPr>
                <w:rFonts w:ascii="Times New Roman" w:hAnsi="Times New Roman" w:cs="Times New Roman"/>
                <w:sz w:val="24"/>
                <w:szCs w:val="24"/>
              </w:rPr>
            </w:pPr>
            <w:r>
              <w:rPr>
                <w:rFonts w:ascii="Times New Roman" w:hAnsi="Times New Roman" w:cs="Times New Roman"/>
                <w:sz w:val="24"/>
                <w:szCs w:val="24"/>
              </w:rPr>
              <w:t>MXN</w:t>
            </w:r>
          </w:p>
        </w:tc>
        <w:tc>
          <w:tcPr>
            <w:tcW w:w="729" w:type="dxa"/>
            <w:tcBorders>
              <w:top w:val="single" w:color="339966" w:sz="6" w:space="0"/>
              <w:left w:val="single" w:color="339966" w:sz="4" w:space="0"/>
              <w:bottom w:val="single" w:color="339966" w:sz="6" w:space="0"/>
              <w:right w:val="single" w:color="339966" w:sz="4" w:space="0"/>
            </w:tcBorders>
            <w:shd w:val="clear" w:color="auto" w:fill="CCFFCC"/>
            <w:tcMar>
              <w:top w:w="15" w:type="dxa"/>
              <w:left w:w="15" w:type="dxa"/>
              <w:bottom w:w="0" w:type="dxa"/>
              <w:right w:w="15" w:type="dxa"/>
            </w:tcMar>
            <w:vAlign w:val="center"/>
          </w:tcPr>
          <w:p>
            <w:pPr>
              <w:adjustRightInd w:val="0"/>
              <w:snapToGrid w:val="0"/>
              <w:spacing w:beforeLines="50"/>
              <w:jc w:val="center"/>
              <w:rPr>
                <w:rFonts w:ascii="Times New Roman" w:hAnsi="Times New Roman" w:cs="Times New Roman"/>
                <w:sz w:val="24"/>
                <w:szCs w:val="24"/>
              </w:rPr>
            </w:pPr>
            <w:r>
              <w:rPr>
                <w:rFonts w:ascii="Times New Roman" w:hAnsi="Times New Roman" w:cs="Times New Roman"/>
                <w:sz w:val="24"/>
                <w:szCs w:val="24"/>
              </w:rPr>
              <w:t>THB</w:t>
            </w:r>
          </w:p>
        </w:tc>
        <w:tc>
          <w:tcPr>
            <w:tcW w:w="729" w:type="dxa"/>
            <w:tcBorders>
              <w:top w:val="single" w:color="339966" w:sz="6" w:space="0"/>
              <w:left w:val="single" w:color="339966" w:sz="4" w:space="0"/>
              <w:bottom w:val="single" w:color="339966" w:sz="6" w:space="0"/>
              <w:right w:val="single" w:color="339966" w:sz="4" w:space="0"/>
            </w:tcBorders>
            <w:shd w:val="clear" w:color="auto" w:fill="CCFFCC"/>
            <w:tcMar>
              <w:top w:w="15" w:type="dxa"/>
              <w:left w:w="15" w:type="dxa"/>
              <w:bottom w:w="0" w:type="dxa"/>
              <w:right w:w="15" w:type="dxa"/>
            </w:tcMar>
            <w:vAlign w:val="center"/>
          </w:tcPr>
          <w:p>
            <w:pPr>
              <w:adjustRightInd w:val="0"/>
              <w:snapToGrid w:val="0"/>
              <w:spacing w:beforeLines="50"/>
              <w:jc w:val="center"/>
              <w:rPr>
                <w:rFonts w:ascii="Times New Roman" w:hAnsi="Times New Roman" w:cs="Times New Roman"/>
                <w:sz w:val="24"/>
                <w:szCs w:val="24"/>
              </w:rPr>
            </w:pPr>
            <w:r>
              <w:rPr>
                <w:rFonts w:ascii="Times New Roman" w:hAnsi="Times New Roman" w:cs="Times New Roman"/>
                <w:sz w:val="24"/>
                <w:szCs w:val="24"/>
              </w:rPr>
              <w:t>KHR</w:t>
            </w:r>
          </w:p>
        </w:tc>
        <w:tc>
          <w:tcPr>
            <w:tcW w:w="857" w:type="dxa"/>
            <w:tcBorders>
              <w:top w:val="single" w:color="339966" w:sz="6" w:space="0"/>
              <w:left w:val="single" w:color="339966" w:sz="4" w:space="0"/>
              <w:bottom w:val="single" w:color="339966" w:sz="6" w:space="0"/>
              <w:right w:val="single" w:color="339966" w:sz="4" w:space="0"/>
            </w:tcBorders>
            <w:shd w:val="clear" w:color="auto" w:fill="CCFFCC"/>
            <w:tcMar>
              <w:top w:w="15" w:type="dxa"/>
              <w:left w:w="15" w:type="dxa"/>
              <w:bottom w:w="0" w:type="dxa"/>
              <w:right w:w="15" w:type="dxa"/>
            </w:tcMar>
            <w:vAlign w:val="center"/>
          </w:tcPr>
          <w:p>
            <w:pPr>
              <w:adjustRightInd w:val="0"/>
              <w:snapToGrid w:val="0"/>
              <w:spacing w:beforeLines="50"/>
              <w:jc w:val="center"/>
              <w:rPr>
                <w:rFonts w:ascii="Times New Roman" w:hAnsi="Times New Roman" w:cs="Times New Roman"/>
                <w:sz w:val="24"/>
                <w:szCs w:val="24"/>
              </w:rPr>
            </w:pPr>
            <w:r>
              <w:rPr>
                <w:rFonts w:ascii="Times New Roman" w:hAnsi="Times New Roman" w:cs="Times New Roman"/>
                <w:sz w:val="24"/>
                <w:szCs w:val="24"/>
              </w:rPr>
              <w:t>KZT</w:t>
            </w:r>
          </w:p>
        </w:tc>
        <w:tc>
          <w:tcPr>
            <w:tcW w:w="885" w:type="dxa"/>
            <w:tcBorders>
              <w:top w:val="single" w:color="339966" w:sz="6" w:space="0"/>
              <w:left w:val="single" w:color="339966" w:sz="4" w:space="0"/>
              <w:bottom w:val="single" w:color="339966" w:sz="6" w:space="0"/>
              <w:right w:val="single" w:color="339966" w:sz="4" w:space="0"/>
            </w:tcBorders>
            <w:shd w:val="clear" w:color="auto" w:fill="CCFFCC"/>
            <w:tcMar>
              <w:top w:w="15" w:type="dxa"/>
              <w:left w:w="15" w:type="dxa"/>
              <w:bottom w:w="0" w:type="dxa"/>
              <w:right w:w="15" w:type="dxa"/>
            </w:tcMar>
            <w:vAlign w:val="center"/>
          </w:tcPr>
          <w:p>
            <w:pPr>
              <w:adjustRightInd w:val="0"/>
              <w:snapToGrid w:val="0"/>
              <w:spacing w:beforeLines="50"/>
              <w:jc w:val="center"/>
              <w:rPr>
                <w:rFonts w:ascii="Times New Roman" w:hAnsi="Times New Roman" w:cs="Times New Roman"/>
                <w:sz w:val="24"/>
                <w:szCs w:val="24"/>
              </w:rPr>
            </w:pPr>
            <w:r>
              <w:rPr>
                <w:rFonts w:ascii="Times New Roman" w:hAnsi="Times New Roman" w:cs="Times New Roman"/>
                <w:sz w:val="24"/>
                <w:szCs w:val="24"/>
              </w:rPr>
              <w:t>VND</w:t>
            </w:r>
          </w:p>
        </w:tc>
        <w:tc>
          <w:tcPr>
            <w:tcW w:w="939" w:type="dxa"/>
            <w:tcBorders>
              <w:top w:val="single" w:color="339966" w:sz="6" w:space="0"/>
              <w:left w:val="single" w:color="339966" w:sz="4" w:space="0"/>
              <w:bottom w:val="single" w:color="339966" w:sz="6" w:space="0"/>
              <w:right w:val="single" w:color="339966" w:sz="4" w:space="0"/>
            </w:tcBorders>
            <w:shd w:val="clear" w:color="auto" w:fill="CCFFCC"/>
            <w:tcMar>
              <w:top w:w="15" w:type="dxa"/>
              <w:left w:w="15" w:type="dxa"/>
              <w:bottom w:w="0" w:type="dxa"/>
              <w:right w:w="15" w:type="dxa"/>
            </w:tcMar>
            <w:vAlign w:val="center"/>
          </w:tcPr>
          <w:p>
            <w:pPr>
              <w:adjustRightInd w:val="0"/>
              <w:snapToGrid w:val="0"/>
              <w:spacing w:beforeLines="50"/>
              <w:jc w:val="center"/>
              <w:rPr>
                <w:rFonts w:ascii="Times New Roman" w:hAnsi="Times New Roman" w:cs="Times New Roman"/>
                <w:sz w:val="24"/>
                <w:szCs w:val="24"/>
              </w:rPr>
            </w:pPr>
            <w:r>
              <w:rPr>
                <w:rFonts w:ascii="Times New Roman" w:hAnsi="Times New Roman" w:cs="Times New Roman"/>
                <w:sz w:val="24"/>
                <w:szCs w:val="24"/>
              </w:rPr>
              <w:t>MNT</w:t>
            </w:r>
          </w:p>
        </w:tc>
      </w:tr>
      <w:tr>
        <w:tblPrEx>
          <w:tblLayout w:type="fixed"/>
          <w:tblCellMar>
            <w:top w:w="0" w:type="dxa"/>
            <w:left w:w="0" w:type="dxa"/>
            <w:bottom w:w="0" w:type="dxa"/>
            <w:right w:w="0" w:type="dxa"/>
          </w:tblCellMar>
        </w:tblPrEx>
        <w:trPr>
          <w:trHeight w:val="50" w:hRule="atLeast"/>
          <w:jc w:val="center"/>
        </w:trPr>
        <w:tc>
          <w:tcPr>
            <w:tcW w:w="1449" w:type="dxa"/>
            <w:tcBorders>
              <w:top w:val="single" w:color="339966" w:sz="6" w:space="0"/>
              <w:left w:val="single" w:color="339966" w:sz="8" w:space="0"/>
              <w:bottom w:val="single" w:color="339966" w:sz="12" w:space="0"/>
              <w:right w:val="single" w:color="339966" w:sz="4" w:space="0"/>
            </w:tcBorders>
            <w:tcMar>
              <w:top w:w="15" w:type="dxa"/>
              <w:left w:w="15" w:type="dxa"/>
              <w:bottom w:w="0" w:type="dxa"/>
              <w:right w:w="15" w:type="dxa"/>
            </w:tcMar>
            <w:vAlign w:val="center"/>
          </w:tcPr>
          <w:p>
            <w:pPr>
              <w:adjustRightInd w:val="0"/>
              <w:snapToGrid w:val="0"/>
              <w:spacing w:beforeLines="50"/>
              <w:rPr>
                <w:rFonts w:ascii="Times New Roman" w:hAnsi="Times New Roman" w:cs="Times New Roman"/>
                <w:sz w:val="24"/>
                <w:szCs w:val="24"/>
              </w:rPr>
            </w:pPr>
            <w:r>
              <w:rPr>
                <w:rFonts w:ascii="Times New Roman" w:hAnsi="Times New Roman" w:cs="Times New Roman"/>
                <w:sz w:val="24"/>
                <w:szCs w:val="24"/>
              </w:rPr>
              <w:t>Trading volume</w:t>
            </w:r>
          </w:p>
        </w:tc>
        <w:tc>
          <w:tcPr>
            <w:tcW w:w="950" w:type="dxa"/>
            <w:tcBorders>
              <w:top w:val="single" w:color="339966" w:sz="6" w:space="0"/>
              <w:left w:val="single" w:color="339966" w:sz="4" w:space="0"/>
              <w:bottom w:val="single" w:color="339966" w:sz="12" w:space="0"/>
              <w:right w:val="single" w:color="339966" w:sz="4" w:space="0"/>
            </w:tcBorders>
            <w:tcMar>
              <w:top w:w="15" w:type="dxa"/>
              <w:left w:w="15" w:type="dxa"/>
              <w:bottom w:w="0" w:type="dxa"/>
              <w:right w:w="15" w:type="dxa"/>
            </w:tcMar>
            <w:vAlign w:val="center"/>
          </w:tcPr>
          <w:p>
            <w:pPr>
              <w:spacing w:beforeLines="50"/>
              <w:jc w:val="center"/>
              <w:rPr>
                <w:rFonts w:ascii="Times New Roman" w:hAnsi="Times New Roman" w:cs="Times New Roman"/>
                <w:sz w:val="24"/>
                <w:szCs w:val="24"/>
              </w:rPr>
            </w:pPr>
            <w:r>
              <w:rPr>
                <w:rFonts w:ascii="Times New Roman" w:hAnsi="Times New Roman" w:cs="Times New Roman"/>
                <w:sz w:val="24"/>
                <w:szCs w:val="24"/>
              </w:rPr>
              <w:t>0.68</w:t>
            </w:r>
          </w:p>
        </w:tc>
        <w:tc>
          <w:tcPr>
            <w:tcW w:w="830" w:type="dxa"/>
            <w:tcBorders>
              <w:top w:val="single" w:color="339966" w:sz="6" w:space="0"/>
              <w:left w:val="single" w:color="339966" w:sz="4" w:space="0"/>
              <w:bottom w:val="single" w:color="339966" w:sz="12" w:space="0"/>
              <w:right w:val="single" w:color="339966" w:sz="4" w:space="0"/>
            </w:tcBorders>
            <w:tcMar>
              <w:top w:w="15" w:type="dxa"/>
              <w:left w:w="15" w:type="dxa"/>
              <w:bottom w:w="0" w:type="dxa"/>
              <w:right w:w="15" w:type="dxa"/>
            </w:tcMar>
            <w:vAlign w:val="center"/>
          </w:tcPr>
          <w:p>
            <w:pPr>
              <w:spacing w:beforeLines="50"/>
              <w:jc w:val="center"/>
              <w:rPr>
                <w:rFonts w:ascii="Times New Roman" w:hAnsi="Times New Roman" w:cs="Times New Roman"/>
                <w:sz w:val="24"/>
                <w:szCs w:val="24"/>
              </w:rPr>
            </w:pPr>
            <w:r>
              <w:rPr>
                <w:rFonts w:ascii="Times New Roman" w:hAnsi="Times New Roman" w:cs="Times New Roman"/>
                <w:sz w:val="24"/>
                <w:szCs w:val="24"/>
              </w:rPr>
              <w:t>0.12</w:t>
            </w:r>
          </w:p>
        </w:tc>
        <w:tc>
          <w:tcPr>
            <w:tcW w:w="729" w:type="dxa"/>
            <w:tcBorders>
              <w:top w:val="single" w:color="339966" w:sz="6" w:space="0"/>
              <w:left w:val="single" w:color="339966" w:sz="4" w:space="0"/>
              <w:bottom w:val="single" w:color="339966" w:sz="12" w:space="0"/>
              <w:right w:val="single" w:color="339966" w:sz="4" w:space="0"/>
            </w:tcBorders>
            <w:tcMar>
              <w:top w:w="15" w:type="dxa"/>
              <w:left w:w="15" w:type="dxa"/>
              <w:bottom w:w="0" w:type="dxa"/>
              <w:right w:w="15" w:type="dxa"/>
            </w:tcMar>
            <w:vAlign w:val="center"/>
          </w:tcPr>
          <w:p>
            <w:pPr>
              <w:spacing w:beforeLines="50"/>
              <w:jc w:val="center"/>
              <w:rPr>
                <w:rFonts w:ascii="Times New Roman" w:hAnsi="Times New Roman" w:cs="Times New Roman"/>
                <w:sz w:val="24"/>
                <w:szCs w:val="24"/>
              </w:rPr>
            </w:pPr>
            <w:r>
              <w:rPr>
                <w:rFonts w:ascii="Times New Roman" w:hAnsi="Times New Roman" w:cs="Times New Roman"/>
                <w:sz w:val="24"/>
                <w:szCs w:val="24"/>
              </w:rPr>
              <w:t>177.01</w:t>
            </w:r>
          </w:p>
        </w:tc>
        <w:tc>
          <w:tcPr>
            <w:tcW w:w="729" w:type="dxa"/>
            <w:tcBorders>
              <w:top w:val="single" w:color="339966" w:sz="6" w:space="0"/>
              <w:left w:val="single" w:color="339966" w:sz="4" w:space="0"/>
              <w:bottom w:val="single" w:color="339966" w:sz="12" w:space="0"/>
              <w:right w:val="single" w:color="339966" w:sz="4" w:space="0"/>
            </w:tcBorders>
            <w:tcMar>
              <w:top w:w="15" w:type="dxa"/>
              <w:left w:w="15" w:type="dxa"/>
              <w:bottom w:w="0" w:type="dxa"/>
              <w:right w:w="15" w:type="dxa"/>
            </w:tcMar>
            <w:vAlign w:val="center"/>
          </w:tcPr>
          <w:p>
            <w:pPr>
              <w:spacing w:beforeLines="50"/>
              <w:jc w:val="center"/>
              <w:rPr>
                <w:rFonts w:ascii="Times New Roman" w:hAnsi="Times New Roman" w:cs="Times New Roman"/>
                <w:sz w:val="24"/>
                <w:szCs w:val="24"/>
              </w:rPr>
            </w:pPr>
            <w:r>
              <w:rPr>
                <w:rFonts w:ascii="Times New Roman" w:hAnsi="Times New Roman" w:cs="Times New Roman"/>
                <w:sz w:val="24"/>
                <w:szCs w:val="24"/>
              </w:rPr>
              <w:t>0</w:t>
            </w:r>
          </w:p>
        </w:tc>
        <w:tc>
          <w:tcPr>
            <w:tcW w:w="857" w:type="dxa"/>
            <w:tcBorders>
              <w:top w:val="single" w:color="339966" w:sz="6" w:space="0"/>
              <w:left w:val="single" w:color="339966" w:sz="4" w:space="0"/>
              <w:bottom w:val="single" w:color="339966" w:sz="12" w:space="0"/>
              <w:right w:val="single" w:color="339966" w:sz="4" w:space="0"/>
            </w:tcBorders>
            <w:tcMar>
              <w:top w:w="15" w:type="dxa"/>
              <w:left w:w="15" w:type="dxa"/>
              <w:bottom w:w="0" w:type="dxa"/>
              <w:right w:w="15" w:type="dxa"/>
            </w:tcMar>
            <w:vAlign w:val="center"/>
          </w:tcPr>
          <w:p>
            <w:pPr>
              <w:spacing w:beforeLines="50"/>
              <w:jc w:val="center"/>
              <w:rPr>
                <w:rFonts w:ascii="Times New Roman" w:hAnsi="Times New Roman" w:cs="Times New Roman"/>
                <w:sz w:val="24"/>
                <w:szCs w:val="24"/>
              </w:rPr>
            </w:pPr>
            <w:r>
              <w:rPr>
                <w:rFonts w:ascii="Times New Roman" w:hAnsi="Times New Roman" w:cs="Times New Roman"/>
                <w:sz w:val="24"/>
                <w:szCs w:val="24"/>
              </w:rPr>
              <w:t>0.041</w:t>
            </w:r>
          </w:p>
        </w:tc>
        <w:tc>
          <w:tcPr>
            <w:tcW w:w="885" w:type="dxa"/>
            <w:tcBorders>
              <w:top w:val="single" w:color="339966" w:sz="6" w:space="0"/>
              <w:left w:val="single" w:color="339966" w:sz="4" w:space="0"/>
              <w:bottom w:val="single" w:color="339966" w:sz="12" w:space="0"/>
              <w:right w:val="single" w:color="339966" w:sz="4" w:space="0"/>
            </w:tcBorders>
            <w:tcMar>
              <w:top w:w="15" w:type="dxa"/>
              <w:left w:w="15" w:type="dxa"/>
              <w:bottom w:w="0" w:type="dxa"/>
              <w:right w:w="15" w:type="dxa"/>
            </w:tcMar>
            <w:vAlign w:val="center"/>
          </w:tcPr>
          <w:p>
            <w:pPr>
              <w:spacing w:beforeLines="50"/>
              <w:jc w:val="center"/>
              <w:rPr>
                <w:rFonts w:ascii="Times New Roman" w:hAnsi="Times New Roman" w:cs="Times New Roman"/>
                <w:sz w:val="24"/>
                <w:szCs w:val="24"/>
              </w:rPr>
            </w:pPr>
            <w:r>
              <w:rPr>
                <w:rFonts w:ascii="Times New Roman" w:hAnsi="Times New Roman" w:cs="Times New Roman"/>
                <w:sz w:val="24"/>
                <w:szCs w:val="24"/>
              </w:rPr>
              <w:t>0.010</w:t>
            </w:r>
          </w:p>
        </w:tc>
        <w:tc>
          <w:tcPr>
            <w:tcW w:w="939" w:type="dxa"/>
            <w:tcBorders>
              <w:top w:val="single" w:color="339966" w:sz="6" w:space="0"/>
              <w:left w:val="single" w:color="339966" w:sz="4" w:space="0"/>
              <w:bottom w:val="single" w:color="339966" w:sz="12" w:space="0"/>
              <w:right w:val="single" w:color="339966" w:sz="4" w:space="0"/>
            </w:tcBorders>
            <w:tcMar>
              <w:top w:w="15" w:type="dxa"/>
              <w:left w:w="15" w:type="dxa"/>
              <w:bottom w:w="0" w:type="dxa"/>
              <w:right w:w="15" w:type="dxa"/>
            </w:tcMar>
            <w:vAlign w:val="center"/>
          </w:tcPr>
          <w:p>
            <w:pPr>
              <w:spacing w:beforeLines="50"/>
              <w:jc w:val="center"/>
              <w:rPr>
                <w:rFonts w:ascii="Times New Roman" w:hAnsi="Times New Roman" w:cs="Times New Roman"/>
                <w:sz w:val="24"/>
                <w:szCs w:val="24"/>
              </w:rPr>
            </w:pPr>
            <w:r>
              <w:rPr>
                <w:rFonts w:ascii="Times New Roman" w:hAnsi="Times New Roman" w:cs="Times New Roman"/>
                <w:sz w:val="24"/>
                <w:szCs w:val="24"/>
              </w:rPr>
              <w:t>0.010</w:t>
            </w:r>
          </w:p>
        </w:tc>
      </w:tr>
    </w:tbl>
    <w:p>
      <w:pPr>
        <w:pStyle w:val="23"/>
        <w:spacing w:beforeLines="50" w:line="240" w:lineRule="auto"/>
        <w:rPr>
          <w:rFonts w:ascii="Times New Roman" w:hAnsi="Times New Roman" w:cs="Times New Roman" w:eastAsiaTheme="minorEastAsia"/>
        </w:rPr>
      </w:pPr>
      <w:r>
        <w:rPr>
          <w:rFonts w:ascii="Times New Roman" w:hAnsi="Times New Roman" w:cs="Times New Roman" w:eastAsiaTheme="minorEastAsia"/>
        </w:rPr>
        <w:t xml:space="preserve">Source: China Foreign Exchange Trade System. </w:t>
      </w:r>
    </w:p>
    <w:p>
      <w:pPr>
        <w:spacing w:beforeLines="50"/>
        <w:rPr>
          <w:rFonts w:ascii="Times New Roman" w:hAnsi="Times New Roman" w:cs="Times New Roman"/>
          <w:sz w:val="24"/>
          <w:szCs w:val="24"/>
        </w:rPr>
      </w:pPr>
    </w:p>
    <w:p>
      <w:pPr>
        <w:pStyle w:val="3"/>
        <w:ind w:firstLine="0" w:firstLineChars="0"/>
        <w:rPr>
          <w:rFonts w:ascii="Times New Roman" w:hAnsi="Times New Roman" w:eastAsia="黑体"/>
          <w:kern w:val="0"/>
        </w:rPr>
      </w:pPr>
      <w:bookmarkStart w:id="97" w:name="_Toc17798267"/>
      <w:bookmarkStart w:id="98" w:name="_Toc17808036"/>
      <w:bookmarkStart w:id="99" w:name="_Toc17807925"/>
      <w:bookmarkStart w:id="100" w:name="_Toc17808077"/>
      <w:r>
        <w:rPr>
          <w:rFonts w:ascii="Times New Roman" w:hAnsi="Times New Roman" w:eastAsia="黑体"/>
          <w:kern w:val="0"/>
        </w:rPr>
        <w:t>IX. Deepening the reforms of financial institutions</w:t>
      </w:r>
      <w:bookmarkEnd w:id="97"/>
      <w:bookmarkEnd w:id="98"/>
      <w:bookmarkEnd w:id="99"/>
      <w:bookmarkEnd w:id="100"/>
    </w:p>
    <w:p>
      <w:pPr>
        <w:spacing w:beforeLines="50"/>
        <w:rPr>
          <w:rFonts w:ascii="Times New Roman" w:hAnsi="Times New Roman" w:cs="Times New Roman"/>
          <w:sz w:val="24"/>
          <w:szCs w:val="24"/>
        </w:rPr>
      </w:pPr>
      <w:r>
        <w:rPr>
          <w:rFonts w:ascii="Times New Roman" w:hAnsi="Times New Roman" w:cs="Times New Roman"/>
          <w:b/>
          <w:sz w:val="24"/>
          <w:szCs w:val="24"/>
        </w:rPr>
        <w:t>Reform plans for development-oriented and policy-oriented financial institutions have been comprehensively implemented.</w:t>
      </w:r>
      <w:r>
        <w:rPr>
          <w:rFonts w:ascii="Times New Roman" w:hAnsi="Times New Roman" w:cs="Times New Roman"/>
          <w:sz w:val="24"/>
          <w:szCs w:val="24"/>
        </w:rPr>
        <w:t xml:space="preserve"> The PBC, together with members of the reform working group, orderly advanced reform measures to put in place a board of directors so as to enhance the governance structure and to define the scope of their businesses. As of now, new boards of directors of the China Development Bank and the China EximBank have been established and are functioning effectively. A board of directors of the Agricultural Development Bank of China is in the process of being formed. The PBC will continue to encourage the three banks to clarify their functions and to improve their risk management and control so as to develop their role to better serve national strategies. </w:t>
      </w:r>
    </w:p>
    <w:p>
      <w:pPr>
        <w:spacing w:beforeLines="50"/>
        <w:rPr>
          <w:rFonts w:ascii="Times New Roman" w:hAnsi="Times New Roman" w:cs="Times New Roman"/>
          <w:sz w:val="24"/>
          <w:szCs w:val="24"/>
        </w:rPr>
      </w:pPr>
    </w:p>
    <w:p>
      <w:pPr>
        <w:spacing w:beforeLines="50"/>
        <w:rPr>
          <w:rFonts w:ascii="Times New Roman" w:hAnsi="Times New Roman" w:cs="Times New Roman"/>
          <w:sz w:val="24"/>
          <w:szCs w:val="24"/>
        </w:rPr>
      </w:pPr>
      <w:r>
        <w:rPr>
          <w:rFonts w:ascii="Times New Roman" w:hAnsi="Times New Roman" w:cs="Times New Roman"/>
          <w:sz w:val="24"/>
          <w:szCs w:val="24"/>
        </w:rPr>
        <w:t>The takeover of the Baoshang Bank was steady and orderly. Under the leadership of the CPC Central Committee and the State Council, the PBC and the CBIRC, in accordance with the established schemes and plans, took over the Baoshang Bank decisively on May 24, effectively safeguarding stability of the financial market and preventing risk spillovers. During the process of the takeover, the PBC, together with relevant departments and local governments, was carefully deployed and it promoted progress in an orderly manner. All work was put in place rapidly and the takeover progressed smoothly. Since the takeover, the business of the Baoshang Bank has been operating normally, all branches have been in good order, and there have been no bank runs or group incidents. Replacement of the existing interbank certificates of deposit of the Baoshang Bank was successfully completed and interbank business gradually returned to normal. According to the idea of “separating the new from the old,” after the takeover the Baoshang Bank successfully issued six interbank certificates of deposit. The acquisition of large-value debt was successfully completed, ensuring maximum protection of the legitimate rights and interests of most depositors and soundly achieving the policy objectives of exercising market discipline and guarding against moral hazards. The outflow of funds was less than expected and public sentiment reflected overall stability, as the first phase of the takeover came to an end. The PBC will continue to work with the relevant departments to take over the Baoshang Bank in a steady and orderly manner and will promote the market-oriented reform and restructuring of the Baoshang Bank on the basis of assets liquidation and capital verification.</w:t>
      </w:r>
    </w:p>
    <w:p>
      <w:pPr>
        <w:spacing w:beforeLines="50"/>
        <w:rPr>
          <w:rFonts w:ascii="Times New Roman" w:hAnsi="Times New Roman" w:cs="Times New Roman"/>
          <w:sz w:val="24"/>
          <w:szCs w:val="24"/>
        </w:rPr>
      </w:pPr>
    </w:p>
    <w:p>
      <w:pPr>
        <w:pStyle w:val="4"/>
        <w:shd w:val="clear" w:fill="92D050"/>
        <w:rPr>
          <w:highlight w:val="none"/>
        </w:rPr>
      </w:pPr>
      <w:bookmarkStart w:id="101" w:name="_Toc17808078"/>
      <w:r>
        <w:rPr>
          <w:highlight w:val="none"/>
        </w:rPr>
        <w:t>Box 3 Soundly Resolving the Partial and Structural Liquidity Risks of Small and Medium-sized Banks</w:t>
      </w:r>
      <w:bookmarkEnd w:id="101"/>
    </w:p>
    <w:p>
      <w:pPr>
        <w:shd w:val="clear" w:fill="92D050"/>
        <w:spacing w:beforeLines="50"/>
        <w:rPr>
          <w:rFonts w:ascii="Times New Roman" w:hAnsi="Times New Roman" w:cs="Times New Roman"/>
          <w:sz w:val="24"/>
          <w:szCs w:val="24"/>
          <w:highlight w:val="none"/>
        </w:rPr>
      </w:pPr>
    </w:p>
    <w:p>
      <w:pPr>
        <w:shd w:val="clear" w:fill="92D050"/>
        <w:spacing w:beforeLines="50"/>
        <w:rPr>
          <w:rFonts w:ascii="Times New Roman" w:hAnsi="Times New Roman" w:cs="Times New Roman"/>
          <w:sz w:val="24"/>
          <w:szCs w:val="24"/>
          <w:highlight w:val="none"/>
        </w:rPr>
      </w:pPr>
      <w:r>
        <w:rPr>
          <w:rFonts w:ascii="Times New Roman" w:hAnsi="Times New Roman" w:cs="Times New Roman"/>
          <w:sz w:val="24"/>
          <w:szCs w:val="24"/>
          <w:highlight w:val="none"/>
        </w:rPr>
        <w:t>Small and medium-sized banks play a fundamental role in China's banking system and are important forces in developing inclusive finance and serving private firms and MSBs. The CPC Central Committee and the State Council have always attached great importance to the development of small and medium-sized banks. In recent years, the PBC has continuously optimized and made innovations in policy tools so as to provide policy support for small and medium-sized banks to serve the real economy and to promote their healthy development.</w:t>
      </w:r>
    </w:p>
    <w:p>
      <w:pPr>
        <w:shd w:val="clear" w:fill="92D050"/>
        <w:spacing w:beforeLines="50"/>
        <w:rPr>
          <w:rFonts w:ascii="Times New Roman" w:hAnsi="Times New Roman" w:cs="Times New Roman"/>
          <w:sz w:val="24"/>
          <w:szCs w:val="24"/>
          <w:highlight w:val="none"/>
        </w:rPr>
      </w:pPr>
    </w:p>
    <w:p>
      <w:pPr>
        <w:shd w:val="clear" w:fill="92D050"/>
        <w:spacing w:beforeLines="50"/>
        <w:rPr>
          <w:rFonts w:ascii="Times New Roman" w:hAnsi="Times New Roman" w:cs="Times New Roman"/>
          <w:sz w:val="24"/>
          <w:szCs w:val="24"/>
          <w:highlight w:val="none"/>
        </w:rPr>
      </w:pPr>
      <w:r>
        <w:rPr>
          <w:rFonts w:ascii="Times New Roman" w:hAnsi="Times New Roman" w:cs="Times New Roman"/>
          <w:sz w:val="24"/>
          <w:szCs w:val="24"/>
          <w:highlight w:val="none"/>
        </w:rPr>
        <w:t>In late May 2019, the Baoshang Bank was taken over due to serious credit risks, causing market concerns about the liquidity risks of some small and medium-sized banks. Judging from the events after the takeover, it is true that the financing capability of a few small and medium-sized banks was affected due to a lower risk appetite on the market. However, after the PBC and relevant agencies took timely measures to stabilize market liquidity, the situation soon improved. Specifically, the PBC has adopted the following measures to ensure the safety of the liquidity of small and medium-sized banks:</w:t>
      </w:r>
    </w:p>
    <w:p>
      <w:pPr>
        <w:shd w:val="clear" w:fill="92D050"/>
        <w:spacing w:beforeLines="50"/>
        <w:rPr>
          <w:rFonts w:ascii="Times New Roman" w:hAnsi="Times New Roman" w:cs="Times New Roman"/>
          <w:sz w:val="24"/>
          <w:szCs w:val="24"/>
          <w:highlight w:val="none"/>
        </w:rPr>
      </w:pPr>
    </w:p>
    <w:p>
      <w:pPr>
        <w:shd w:val="clear" w:fill="92D050"/>
        <w:spacing w:beforeLines="50"/>
        <w:rPr>
          <w:rFonts w:ascii="Times New Roman" w:hAnsi="Times New Roman" w:cs="Times New Roman"/>
          <w:sz w:val="24"/>
          <w:szCs w:val="24"/>
          <w:highlight w:val="none"/>
        </w:rPr>
      </w:pPr>
      <w:r>
        <w:rPr>
          <w:rFonts w:ascii="Times New Roman" w:hAnsi="Times New Roman" w:cs="Times New Roman"/>
          <w:b/>
          <w:sz w:val="24"/>
          <w:szCs w:val="24"/>
          <w:highlight w:val="none"/>
        </w:rPr>
        <w:t xml:space="preserve">First, maintaining reasonably adequate macro-liquidity. </w:t>
      </w:r>
      <w:r>
        <w:rPr>
          <w:rFonts w:ascii="Times New Roman" w:hAnsi="Times New Roman" w:cs="Times New Roman"/>
          <w:sz w:val="24"/>
          <w:szCs w:val="24"/>
          <w:highlight w:val="none"/>
        </w:rPr>
        <w:t>The PBC adopted a combination of various policy tools, such as repo operations in the open market, the RRR, the MLF, the SLF, and central-bank lending and discounts, to inject liquidity so as to maintain liquidity at a reasonable and adequate level and to strengthen the liquidity buffer of the market in response to shocks. It provided a suitable liquidity environment to meet the reasonable financing needs of small and medium-sized financial institutions. In view of the seasonal factors affecting liquidity in the banking system in June and the strong demand for funds at the end of H1, the PBC injected liquidity in advance by adjusting the maturities of repo operations in the open market to keep the interest rate of the money market stable within a reasonable range and to guarantee the stability of various market entities, including small and medium-sized banks by the end of H1.</w:t>
      </w:r>
    </w:p>
    <w:p>
      <w:pPr>
        <w:shd w:val="clear" w:fill="92D050"/>
        <w:spacing w:beforeLines="50"/>
        <w:rPr>
          <w:rFonts w:ascii="Times New Roman" w:hAnsi="Times New Roman" w:cs="Times New Roman"/>
          <w:sz w:val="24"/>
          <w:szCs w:val="24"/>
          <w:highlight w:val="none"/>
        </w:rPr>
      </w:pPr>
    </w:p>
    <w:p>
      <w:pPr>
        <w:shd w:val="clear" w:fill="92D050"/>
        <w:spacing w:beforeLines="50"/>
        <w:rPr>
          <w:rFonts w:ascii="Times New Roman" w:hAnsi="Times New Roman" w:cs="Times New Roman"/>
          <w:sz w:val="24"/>
          <w:szCs w:val="24"/>
          <w:highlight w:val="none"/>
        </w:rPr>
      </w:pPr>
      <w:r>
        <w:rPr>
          <w:rFonts w:ascii="Times New Roman" w:hAnsi="Times New Roman" w:cs="Times New Roman"/>
          <w:b/>
          <w:sz w:val="24"/>
          <w:szCs w:val="24"/>
          <w:highlight w:val="none"/>
        </w:rPr>
        <w:t xml:space="preserve">Second, providing liquidity support to small and medium-sized banks. </w:t>
      </w:r>
      <w:r>
        <w:rPr>
          <w:rFonts w:ascii="Times New Roman" w:hAnsi="Times New Roman" w:cs="Times New Roman"/>
          <w:sz w:val="24"/>
          <w:szCs w:val="24"/>
          <w:highlight w:val="none"/>
        </w:rPr>
        <w:t>On June 6th, 19 and July 15, additional MLF operations were carried out for small and medium-sized banks on the basis of the renewal of all matured MLFs. On June 14, the PBC announced an additional central-bank discount of RMB 200 billion and a standing loan facility (SLF) of RMB 100 billion, and incorporated interbank CDs into the SLF collateral. The central-bank discount and the SLF are measures for well-targeted liquidity support, while expanding the scope of collateral can improve the liquidity availability of small and medium-sized banks. On June 17 and July 15, the second and third adjustments to the targeted RRR cuts of the rural commercial banks were arranged, with long-term funds of about RMB 100 billion released for each adjustment. In addition, the PBC also provided credit enhancements of small and medium-sized banks on interbank CD issuances through private-firm bond-issuance facilities.</w:t>
      </w:r>
    </w:p>
    <w:p>
      <w:pPr>
        <w:shd w:val="clear" w:fill="92D050"/>
        <w:spacing w:beforeLines="50"/>
        <w:rPr>
          <w:rFonts w:ascii="Times New Roman" w:hAnsi="Times New Roman" w:cs="Times New Roman"/>
          <w:sz w:val="24"/>
          <w:szCs w:val="24"/>
          <w:highlight w:val="none"/>
        </w:rPr>
      </w:pPr>
    </w:p>
    <w:p>
      <w:pPr>
        <w:shd w:val="clear" w:fill="92D050"/>
        <w:spacing w:beforeLines="50"/>
        <w:rPr>
          <w:rFonts w:ascii="Times New Roman" w:hAnsi="Times New Roman" w:cs="Times New Roman"/>
          <w:sz w:val="24"/>
          <w:szCs w:val="24"/>
          <w:highlight w:val="none"/>
        </w:rPr>
      </w:pPr>
      <w:r>
        <w:rPr>
          <w:rFonts w:ascii="Times New Roman" w:hAnsi="Times New Roman" w:cs="Times New Roman"/>
          <w:b/>
          <w:sz w:val="24"/>
          <w:szCs w:val="24"/>
          <w:highlight w:val="none"/>
        </w:rPr>
        <w:t xml:space="preserve">Since mid-June, market financing conditions of small and medium-sized banks have improved significantly, as shown in the following aspects: First, the repo financing rate of small and medium-sized banks has fallen. </w:t>
      </w:r>
      <w:r>
        <w:rPr>
          <w:rFonts w:ascii="Times New Roman" w:hAnsi="Times New Roman" w:cs="Times New Roman"/>
          <w:sz w:val="24"/>
          <w:szCs w:val="24"/>
          <w:highlight w:val="none"/>
        </w:rPr>
        <w:t xml:space="preserve">Small and medium-sized banks are the main borrowers in the interbank market, so the repo rates of depository institutions (DR) in the interbank market can better reflect their short-term financing costs. Since late May, the relevant interest-rate indicators generally showed a downward trend. In June, the average DR007 was 2.41 percent, down 17 basis points from May, and the DR007 at end-June was 2.56 percent, 7 basis points lower than that at end-May and 45 basis points lower than that in the same period of the last year. Since July, DR interest rates have remained generally stable. </w:t>
      </w:r>
      <w:r>
        <w:rPr>
          <w:rFonts w:ascii="Times New Roman" w:hAnsi="Times New Roman" w:cs="Times New Roman"/>
          <w:b/>
          <w:sz w:val="24"/>
          <w:szCs w:val="24"/>
          <w:highlight w:val="none"/>
        </w:rPr>
        <w:t xml:space="preserve">Second, the financing scale of small and medium-sized banks in the money market has rebounded steadily. </w:t>
      </w:r>
      <w:r>
        <w:rPr>
          <w:rFonts w:ascii="Times New Roman" w:hAnsi="Times New Roman" w:cs="Times New Roman"/>
          <w:sz w:val="24"/>
          <w:szCs w:val="24"/>
          <w:highlight w:val="none"/>
        </w:rPr>
        <w:t xml:space="preserve">After the takeover of the Baoshang Bank, the financing capacity of some small and medium-sized banks in the money market was limited, as reflected in indices such as the overall financing scale of small and medium-sized banks and their financing proportion in the entire market. However, since mid-June the related indices have witnessed continuous improvements, remaining at a reasonable level. </w:t>
      </w:r>
      <w:r>
        <w:rPr>
          <w:rFonts w:ascii="Times New Roman" w:hAnsi="Times New Roman" w:cs="Times New Roman"/>
          <w:b/>
          <w:sz w:val="24"/>
          <w:szCs w:val="24"/>
          <w:highlight w:val="none"/>
        </w:rPr>
        <w:t xml:space="preserve">Third, the interbank CD market has recovered. </w:t>
      </w:r>
      <w:r>
        <w:rPr>
          <w:rFonts w:ascii="Times New Roman" w:hAnsi="Times New Roman" w:cs="Times New Roman"/>
          <w:sz w:val="24"/>
          <w:szCs w:val="24"/>
          <w:highlight w:val="none"/>
        </w:rPr>
        <w:t>In the primary market, investor demand for interbank CDs issued by small and medium-sized banks rebounded reasonably and the success rate of interbank CD issuances as a whole has increased. In the secondary market, CD businesses tended to be active, interest rates fell, and the spread between interbank low-rated (AA+) CDs and high-rated (AAA) CDs narrowed from 60 basis points after the takeover of the Baoshang Bank to the current 40 basis points. In general, the liquidity situation of small and medium-sized banks has been relatively stable.</w:t>
      </w:r>
    </w:p>
    <w:p>
      <w:pPr>
        <w:shd w:val="clear" w:fill="92D050"/>
        <w:spacing w:beforeLines="50"/>
        <w:rPr>
          <w:rFonts w:ascii="Times New Roman" w:hAnsi="Times New Roman" w:cs="Times New Roman"/>
          <w:sz w:val="24"/>
          <w:szCs w:val="24"/>
          <w:highlight w:val="none"/>
        </w:rPr>
      </w:pPr>
    </w:p>
    <w:p>
      <w:pPr>
        <w:shd w:val="clear" w:fill="92D050"/>
        <w:spacing w:beforeLines="50"/>
        <w:rPr>
          <w:rFonts w:ascii="Times New Roman" w:hAnsi="Times New Roman" w:cs="Times New Roman"/>
          <w:sz w:val="24"/>
          <w:szCs w:val="24"/>
          <w:highlight w:val="none"/>
        </w:rPr>
      </w:pPr>
      <w:r>
        <w:rPr>
          <w:rFonts w:ascii="Times New Roman" w:hAnsi="Times New Roman" w:cs="Times New Roman"/>
          <w:sz w:val="24"/>
          <w:szCs w:val="24"/>
          <w:highlight w:val="none"/>
        </w:rPr>
        <w:t xml:space="preserve">At the same time, the takeover of the Baoshang Bank caused great changes in the interbank market, which should be well understood. </w:t>
      </w:r>
      <w:r>
        <w:rPr>
          <w:rFonts w:ascii="Times New Roman" w:hAnsi="Times New Roman" w:cs="Times New Roman"/>
          <w:b/>
          <w:sz w:val="24"/>
          <w:szCs w:val="24"/>
          <w:highlight w:val="none"/>
        </w:rPr>
        <w:t>First, it is necessary to rationally view the changes in the interbank environment.</w:t>
      </w:r>
      <w:r>
        <w:rPr>
          <w:rFonts w:ascii="Times New Roman" w:hAnsi="Times New Roman" w:cs="Times New Roman"/>
          <w:sz w:val="24"/>
          <w:szCs w:val="24"/>
          <w:highlight w:val="none"/>
        </w:rPr>
        <w:t xml:space="preserve"> In the past, due to the neglect of risks by some market participants and the excessive boost of the interbank business, the internal risks of the financial system were accumulating and pressure was increasing. After the takeover of the Baoshang Bank, interbank financing conditions have been relatively tightened and stratification of the interest rates on the market has become more obvious. To a certain extent, this rectifies the irregular development of the past interbank business and enhances the risk awareness of market participants after breaking the rigid repayment assumption on the interbank market, which helps to strengthen the market-risk pricing mechanism and constrain the excessive expansion of institutions, and it is in line with the overall direction of the supply-side structural reforms in the financial sector. </w:t>
      </w:r>
      <w:r>
        <w:rPr>
          <w:rFonts w:ascii="Times New Roman" w:hAnsi="Times New Roman" w:cs="Times New Roman"/>
          <w:b/>
          <w:sz w:val="24"/>
          <w:szCs w:val="24"/>
          <w:highlight w:val="none"/>
        </w:rPr>
        <w:t>Second, we need to avoid irrational liquidity contractions by reducing  excessive dependence on interbank businesses and enhancing institutional support to small and medium banks.</w:t>
      </w:r>
      <w:r>
        <w:rPr>
          <w:rFonts w:ascii="Times New Roman" w:hAnsi="Times New Roman" w:cs="Times New Roman"/>
          <w:sz w:val="24"/>
          <w:szCs w:val="24"/>
          <w:highlight w:val="none"/>
        </w:rPr>
        <w:t xml:space="preserve"> On the one hand, all kinds of financial institutions should reduce their excessive dependence on interbank businesses, avoiding the excessive expansion of interbank businesses and the neglect of risk management so as to do a better job in their own liquidity management. On the other hand, support should also be offered to improve the institutional backup for small and medium-sized banks and to optimize the structure of the banking system. </w:t>
      </w:r>
      <w:r>
        <w:rPr>
          <w:rFonts w:ascii="Times New Roman" w:hAnsi="Times New Roman" w:cs="Times New Roman"/>
          <w:b/>
          <w:sz w:val="24"/>
          <w:szCs w:val="24"/>
          <w:highlight w:val="none"/>
        </w:rPr>
        <w:t xml:space="preserve">Third, it is necessary to enhance the ability to serve entities and to guard against risks by replenishing capital. </w:t>
      </w:r>
      <w:r>
        <w:rPr>
          <w:rFonts w:ascii="Times New Roman" w:hAnsi="Times New Roman" w:cs="Times New Roman"/>
          <w:sz w:val="24"/>
          <w:szCs w:val="24"/>
          <w:highlight w:val="none"/>
        </w:rPr>
        <w:t>The partial and structural liquidity risks of some small and medium-sized banks are essentially the result of market selection caused by insufficient real capital levels. It is necessary to encourage small and medium-sized banks to replenish capital in order to combine capital replenishments with deepening supply-side structural reforms in the financial sector, strengthening the basic capacity of financial risk prevention and stimulating the healthy development of small and medium-sized banks.</w:t>
      </w:r>
    </w:p>
    <w:p>
      <w:pPr>
        <w:shd w:val="clear" w:fill="92D050"/>
        <w:spacing w:beforeLines="50"/>
        <w:rPr>
          <w:rFonts w:ascii="Times New Roman" w:hAnsi="Times New Roman" w:cs="Times New Roman"/>
          <w:sz w:val="24"/>
          <w:szCs w:val="24"/>
          <w:highlight w:val="none"/>
        </w:rPr>
      </w:pPr>
    </w:p>
    <w:p>
      <w:pPr>
        <w:shd w:val="clear" w:fill="92D050"/>
        <w:spacing w:beforeLines="50"/>
        <w:rPr>
          <w:rFonts w:ascii="Times New Roman" w:hAnsi="Times New Roman" w:cs="Times New Roman"/>
          <w:sz w:val="24"/>
          <w:szCs w:val="24"/>
          <w:highlight w:val="none"/>
        </w:rPr>
      </w:pPr>
      <w:r>
        <w:rPr>
          <w:rFonts w:ascii="Times New Roman" w:hAnsi="Times New Roman" w:cs="Times New Roman"/>
          <w:sz w:val="24"/>
          <w:szCs w:val="24"/>
          <w:highlight w:val="none"/>
        </w:rPr>
        <w:t>The essence of preventing liquidity risks lies in properly managing business and enhancing capacity. Based on the original aspirations and missions of supporting the real economy, small and medium-sized banks should return to their origins and focus on their core businesses, which means they must adhere to a path of professional development to serve the grassroots and the real economy so as to strengthen themselves and achieve high-quality development in the process of supporting private firms and MSBs and the development of the local economy. The PBC will continue to innovate and improve monetary-policy tools and mechanisms in a targeted manner, to ensure the overall stability of small and medium-sized banks, and to create a better policy environment to achieve specialized operations and high-quality development.</w:t>
      </w:r>
    </w:p>
    <w:p>
      <w:pPr>
        <w:spacing w:beforeLines="50"/>
        <w:rPr>
          <w:rFonts w:ascii="Times New Roman" w:hAnsi="Times New Roman" w:cs="Times New Roman"/>
          <w:sz w:val="24"/>
          <w:szCs w:val="24"/>
        </w:rPr>
      </w:pPr>
    </w:p>
    <w:p>
      <w:pPr>
        <w:pStyle w:val="3"/>
        <w:ind w:firstLine="0" w:firstLineChars="0"/>
        <w:rPr>
          <w:rFonts w:ascii="Times New Roman" w:hAnsi="Times New Roman" w:eastAsia="黑体"/>
          <w:kern w:val="0"/>
        </w:rPr>
      </w:pPr>
      <w:bookmarkStart w:id="102" w:name="_Toc17808079"/>
      <w:bookmarkStart w:id="103" w:name="_Toc17807926"/>
      <w:bookmarkStart w:id="104" w:name="_Toc17808037"/>
      <w:bookmarkStart w:id="105" w:name="_Toc17798268"/>
      <w:r>
        <w:rPr>
          <w:rFonts w:ascii="Times New Roman" w:hAnsi="Times New Roman" w:eastAsia="黑体"/>
          <w:kern w:val="0"/>
        </w:rPr>
        <w:t>X. Deepening reforms of foreign-exchange administration</w:t>
      </w:r>
      <w:bookmarkEnd w:id="102"/>
      <w:bookmarkEnd w:id="103"/>
      <w:bookmarkEnd w:id="104"/>
      <w:bookmarkEnd w:id="105"/>
    </w:p>
    <w:p>
      <w:pPr>
        <w:spacing w:beforeLines="50"/>
        <w:rPr>
          <w:rFonts w:ascii="Times New Roman" w:hAnsi="Times New Roman" w:cs="Times New Roman"/>
          <w:sz w:val="24"/>
          <w:szCs w:val="24"/>
        </w:rPr>
      </w:pPr>
      <w:r>
        <w:rPr>
          <w:rFonts w:ascii="Times New Roman" w:hAnsi="Times New Roman" w:cs="Times New Roman"/>
          <w:b/>
          <w:sz w:val="24"/>
          <w:szCs w:val="24"/>
        </w:rPr>
        <w:t xml:space="preserve">Improvements were made in foreign-exchange management to better serve the real economy. First, </w:t>
      </w:r>
      <w:r>
        <w:rPr>
          <w:rFonts w:ascii="Times New Roman" w:hAnsi="Times New Roman" w:cs="Times New Roman"/>
          <w:sz w:val="24"/>
          <w:szCs w:val="24"/>
        </w:rPr>
        <w:t xml:space="preserve">a pilot program for facilitation of trade receipts and expenditures was established to further improve the business environment. </w:t>
      </w:r>
      <w:r>
        <w:rPr>
          <w:rFonts w:ascii="Times New Roman" w:hAnsi="Times New Roman" w:cs="Times New Roman"/>
          <w:b/>
          <w:sz w:val="24"/>
          <w:szCs w:val="24"/>
        </w:rPr>
        <w:t xml:space="preserve">Second, </w:t>
      </w:r>
      <w:r>
        <w:rPr>
          <w:rFonts w:ascii="Times New Roman" w:hAnsi="Times New Roman" w:cs="Times New Roman"/>
          <w:sz w:val="24"/>
          <w:szCs w:val="24"/>
        </w:rPr>
        <w:t xml:space="preserve">equity incentives were encouraged to be set up for foreign employees of listed companies so as to steadily improve the openness of the domestic capital market to the outside world. </w:t>
      </w:r>
      <w:r>
        <w:rPr>
          <w:rFonts w:ascii="Times New Roman" w:hAnsi="Times New Roman" w:cs="Times New Roman"/>
          <w:b/>
          <w:sz w:val="24"/>
          <w:szCs w:val="24"/>
        </w:rPr>
        <w:t>Third,</w:t>
      </w:r>
      <w:r>
        <w:rPr>
          <w:rFonts w:ascii="Times New Roman" w:hAnsi="Times New Roman" w:cs="Times New Roman"/>
          <w:sz w:val="24"/>
          <w:szCs w:val="24"/>
        </w:rPr>
        <w:t xml:space="preserve"> reforms of the centralized operations and management of cross-border funds of multinational companies were deepened to facilitate cross-border investments and financing.</w:t>
      </w:r>
      <w:r>
        <w:rPr>
          <w:rFonts w:ascii="Times New Roman" w:hAnsi="Times New Roman" w:cs="Times New Roman"/>
          <w:b/>
          <w:sz w:val="24"/>
          <w:szCs w:val="24"/>
        </w:rPr>
        <w:t xml:space="preserve"> Fourth</w:t>
      </w:r>
      <w:r>
        <w:rPr>
          <w:rFonts w:ascii="Times New Roman" w:hAnsi="Times New Roman" w:cs="Times New Roman"/>
          <w:sz w:val="24"/>
          <w:szCs w:val="24"/>
        </w:rPr>
        <w:t>, the 2018 Overview of the “Belt and Road” National Foreign Exchange Management Policies was updated and released so as to provide policy references for market participants.</w:t>
      </w:r>
    </w:p>
    <w:p>
      <w:pPr>
        <w:spacing w:beforeLines="50"/>
        <w:rPr>
          <w:rFonts w:ascii="Times New Roman" w:hAnsi="Times New Roman" w:cs="Times New Roman"/>
          <w:sz w:val="24"/>
          <w:szCs w:val="24"/>
        </w:rPr>
      </w:pPr>
    </w:p>
    <w:p>
      <w:pPr>
        <w:spacing w:beforeLines="50"/>
        <w:rPr>
          <w:rFonts w:ascii="Times New Roman" w:hAnsi="Times New Roman" w:cs="Times New Roman"/>
          <w:sz w:val="24"/>
          <w:szCs w:val="24"/>
        </w:rPr>
      </w:pPr>
      <w:r>
        <w:rPr>
          <w:rFonts w:ascii="Times New Roman" w:hAnsi="Times New Roman" w:cs="Times New Roman"/>
          <w:b/>
          <w:sz w:val="24"/>
          <w:szCs w:val="24"/>
        </w:rPr>
        <w:t xml:space="preserve">Reforms in key areas were deepened. First, </w:t>
      </w:r>
      <w:r>
        <w:rPr>
          <w:rFonts w:ascii="Times New Roman" w:hAnsi="Times New Roman" w:cs="Times New Roman"/>
          <w:sz w:val="24"/>
          <w:szCs w:val="24"/>
        </w:rPr>
        <w:t xml:space="preserve">measures for the management of cross-border depositary receipts were promulgated to support the healthy development of science and technology innovation boards and to cooperate with the launch of the Shanghai-London stock connect. </w:t>
      </w:r>
      <w:r>
        <w:rPr>
          <w:rFonts w:ascii="Times New Roman" w:hAnsi="Times New Roman" w:cs="Times New Roman"/>
          <w:b/>
          <w:sz w:val="24"/>
          <w:szCs w:val="24"/>
        </w:rPr>
        <w:t xml:space="preserve">Second, </w:t>
      </w:r>
      <w:r>
        <w:rPr>
          <w:rFonts w:ascii="Times New Roman" w:hAnsi="Times New Roman" w:cs="Times New Roman"/>
          <w:sz w:val="24"/>
          <w:szCs w:val="24"/>
        </w:rPr>
        <w:t>the PBC, in conjunction with the CSRC, launched the China-Japan ETF connect to support financial market cooperation between China and Japan. Third, the policy of opening up the interbank bond market was improved so that the restrictions on remittances committed by foreign investors through both domestic and foreign currencies were relaxed.</w:t>
      </w:r>
    </w:p>
    <w:p>
      <w:pPr>
        <w:spacing w:beforeLines="50"/>
        <w:rPr>
          <w:rFonts w:ascii="Times New Roman" w:hAnsi="Times New Roman" w:cs="Times New Roman"/>
          <w:sz w:val="24"/>
          <w:szCs w:val="24"/>
        </w:rPr>
      </w:pPr>
    </w:p>
    <w:p>
      <w:pPr>
        <w:spacing w:beforeLines="50"/>
        <w:rPr>
          <w:rFonts w:ascii="Times New Roman" w:hAnsi="Times New Roman" w:cs="Times New Roman"/>
          <w:sz w:val="24"/>
          <w:szCs w:val="24"/>
        </w:rPr>
      </w:pPr>
      <w:r>
        <w:rPr>
          <w:rFonts w:ascii="Times New Roman" w:hAnsi="Times New Roman" w:cs="Times New Roman"/>
          <w:b/>
          <w:sz w:val="24"/>
          <w:szCs w:val="24"/>
        </w:rPr>
        <w:t xml:space="preserve">Supervision of the foreign-exchange market was strengthened. </w:t>
      </w:r>
      <w:r>
        <w:rPr>
          <w:rFonts w:ascii="Times New Roman" w:hAnsi="Times New Roman" w:cs="Times New Roman"/>
          <w:sz w:val="24"/>
          <w:szCs w:val="24"/>
        </w:rPr>
        <w:t>The PBC strictly cracked down on violations of foreign-exchange laws and regulations, cracked down on underground banks and their counterparties in joint efforts with relevant agencies, strengthened cross-border regulatory cooperation, and prudently disposed of illegal online foreign-exchange trading platforms.</w:t>
      </w:r>
    </w:p>
    <w:p>
      <w:pPr>
        <w:rPr>
          <w:rFonts w:ascii="Times New Roman" w:hAnsi="Times New Roman" w:cs="Times New Roman"/>
          <w:sz w:val="24"/>
          <w:szCs w:val="24"/>
        </w:rPr>
      </w:pPr>
    </w:p>
    <w:p>
      <w:pPr>
        <w:widowControl/>
        <w:jc w:val="left"/>
        <w:rPr>
          <w:rFonts w:ascii="Times New Roman" w:hAnsi="Times New Roman" w:cs="Times New Roman"/>
          <w:b/>
          <w:bCs/>
          <w:sz w:val="24"/>
          <w:szCs w:val="24"/>
        </w:rPr>
      </w:pPr>
      <w:bookmarkStart w:id="106" w:name="_Toc524442925"/>
      <w:bookmarkStart w:id="107" w:name="_Toc3909031"/>
      <w:r>
        <w:rPr>
          <w:rFonts w:ascii="Times New Roman" w:hAnsi="Times New Roman" w:cs="Times New Roman"/>
          <w:b/>
          <w:bCs/>
          <w:sz w:val="24"/>
          <w:szCs w:val="24"/>
        </w:rPr>
        <w:br w:type="page"/>
      </w:r>
    </w:p>
    <w:p>
      <w:pPr>
        <w:widowControl/>
        <w:jc w:val="left"/>
        <w:rPr>
          <w:rFonts w:ascii="Times New Roman" w:hAnsi="Times New Roman" w:eastAsia="Times New Roman" w:cs="Times New Roman"/>
          <w:b/>
          <w:bCs/>
          <w:kern w:val="44"/>
          <w:sz w:val="24"/>
          <w:szCs w:val="44"/>
        </w:rPr>
      </w:pPr>
      <w:bookmarkStart w:id="108" w:name="_Toc17798269"/>
      <w:r>
        <w:rPr>
          <w:rFonts w:ascii="Times New Roman" w:hAnsi="Times New Roman" w:cs="Times New Roman"/>
        </w:rPr>
        <w:br w:type="page"/>
      </w:r>
    </w:p>
    <w:p>
      <w:pPr>
        <w:pStyle w:val="2"/>
        <w:rPr>
          <w:rFonts w:ascii="Times New Roman" w:hAnsi="Times New Roman" w:cs="Times New Roman"/>
        </w:rPr>
      </w:pPr>
      <w:bookmarkStart w:id="109" w:name="_Toc17807927"/>
      <w:bookmarkStart w:id="110" w:name="_Toc17808038"/>
      <w:bookmarkStart w:id="111" w:name="_Toc17808080"/>
      <w:r>
        <w:rPr>
          <w:rFonts w:ascii="Times New Roman" w:hAnsi="Times New Roman" w:cs="Times New Roman"/>
        </w:rPr>
        <w:t>Part 3</w:t>
      </w:r>
      <w:r>
        <w:rPr>
          <w:rFonts w:hint="eastAsia" w:ascii="Times New Roman" w:hAnsi="Times New Roman" w:cs="Times New Roman"/>
        </w:rPr>
        <w:t xml:space="preserve">. </w:t>
      </w:r>
      <w:r>
        <w:rPr>
          <w:rFonts w:ascii="Times New Roman" w:hAnsi="Times New Roman" w:cs="Times New Roman"/>
        </w:rPr>
        <w:t xml:space="preserve"> Financial Market Analysis</w:t>
      </w:r>
      <w:bookmarkEnd w:id="106"/>
      <w:bookmarkEnd w:id="108"/>
      <w:bookmarkEnd w:id="109"/>
      <w:bookmarkEnd w:id="110"/>
      <w:bookmarkEnd w:id="111"/>
    </w:p>
    <w:p>
      <w:pPr>
        <w:autoSpaceDE w:val="0"/>
        <w:autoSpaceDN w:val="0"/>
        <w:adjustRightInd w:val="0"/>
        <w:spacing w:after="160"/>
        <w:rPr>
          <w:rFonts w:ascii="Times New Roman" w:hAnsi="Times New Roman" w:cs="Times New Roman"/>
          <w:sz w:val="24"/>
          <w:szCs w:val="24"/>
        </w:rPr>
      </w:pPr>
      <w:r>
        <w:rPr>
          <w:rFonts w:ascii="Times New Roman" w:hAnsi="Times New Roman" w:cs="Times New Roman"/>
          <w:sz w:val="24"/>
          <w:szCs w:val="24"/>
        </w:rPr>
        <w:t>In H1</w:t>
      </w:r>
      <w:r>
        <w:rPr>
          <w:rFonts w:hint="eastAsia" w:ascii="Times New Roman" w:hAnsi="Times New Roman" w:cs="Times New Roman"/>
          <w:sz w:val="24"/>
          <w:szCs w:val="24"/>
        </w:rPr>
        <w:t xml:space="preserve"> of </w:t>
      </w:r>
      <w:r>
        <w:rPr>
          <w:rFonts w:ascii="Times New Roman" w:hAnsi="Times New Roman" w:cs="Times New Roman"/>
          <w:sz w:val="24"/>
          <w:szCs w:val="24"/>
        </w:rPr>
        <w:t xml:space="preserve">2019, the financial market generally operated smoothly. Money-market interest rates declined and transactions were active. The coupon rates of corporate debenture bonds declined, the volume of spot bond transactions increased rapidly, and the growth of bond issuances accelerated year on year. Stock market indices rebounded,  with the turnover and size of financing increasing year on year. The growth of premium income in the insurance sector picked up and asset growth in this sector accelerated. </w:t>
      </w:r>
    </w:p>
    <w:p>
      <w:pPr>
        <w:rPr>
          <w:rFonts w:ascii="Times New Roman" w:hAnsi="Times New Roman" w:cs="Times New Roman"/>
          <w:sz w:val="24"/>
          <w:szCs w:val="24"/>
        </w:rPr>
      </w:pPr>
    </w:p>
    <w:p>
      <w:pPr>
        <w:pStyle w:val="3"/>
        <w:ind w:firstLine="0" w:firstLineChars="0"/>
        <w:rPr>
          <w:rFonts w:ascii="Times New Roman" w:hAnsi="Times New Roman" w:eastAsia="宋体"/>
          <w:szCs w:val="24"/>
        </w:rPr>
      </w:pPr>
      <w:bookmarkStart w:id="112" w:name="_Toc17798270"/>
      <w:bookmarkStart w:id="113" w:name="_Toc524442926"/>
      <w:bookmarkStart w:id="114" w:name="_Toc17808039"/>
      <w:bookmarkStart w:id="115" w:name="_Toc17808081"/>
      <w:bookmarkStart w:id="116" w:name="_Toc17807928"/>
      <w:bookmarkStart w:id="117" w:name="_Toc426729155"/>
      <w:bookmarkStart w:id="118" w:name="_Toc458009415"/>
      <w:r>
        <w:rPr>
          <w:rFonts w:ascii="Times New Roman" w:hAnsi="Times New Roman" w:eastAsia="宋体"/>
          <w:szCs w:val="24"/>
        </w:rPr>
        <w:t>I. Financial market analysis</w:t>
      </w:r>
      <w:bookmarkEnd w:id="112"/>
      <w:bookmarkEnd w:id="113"/>
      <w:bookmarkEnd w:id="114"/>
      <w:bookmarkEnd w:id="115"/>
      <w:bookmarkEnd w:id="116"/>
      <w:bookmarkStart w:id="119" w:name="_Toc472330077"/>
      <w:bookmarkStart w:id="120" w:name="_Toc476916148"/>
      <w:bookmarkStart w:id="121" w:name="_Toc464655691"/>
      <w:bookmarkStart w:id="122" w:name="_Toc472329787"/>
      <w:bookmarkStart w:id="123" w:name="_Toc464655073"/>
    </w:p>
    <w:bookmarkEnd w:id="119"/>
    <w:bookmarkEnd w:id="120"/>
    <w:bookmarkEnd w:id="121"/>
    <w:bookmarkEnd w:id="122"/>
    <w:bookmarkEnd w:id="123"/>
    <w:p>
      <w:pPr>
        <w:rPr>
          <w:rFonts w:ascii="Times New Roman" w:hAnsi="Times New Roman" w:cs="Times New Roman"/>
          <w:b/>
          <w:bCs/>
          <w:sz w:val="24"/>
          <w:szCs w:val="24"/>
        </w:rPr>
      </w:pPr>
      <w:r>
        <w:rPr>
          <w:rFonts w:ascii="Times New Roman" w:hAnsi="Times New Roman" w:cs="Times New Roman"/>
          <w:b/>
          <w:bCs/>
          <w:sz w:val="24"/>
          <w:szCs w:val="24"/>
        </w:rPr>
        <w:t>1. Money-market interest rates declined and market transactions were active.</w:t>
      </w:r>
    </w:p>
    <w:p>
      <w:pPr>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Liquidity in the banking system was at a reasonable and adequate level, and money-market interest rates declined.</w:t>
      </w:r>
      <w:r>
        <w:rPr>
          <w:rFonts w:ascii="Times New Roman" w:hAnsi="Times New Roman" w:cs="Times New Roman"/>
          <w:sz w:val="24"/>
          <w:szCs w:val="24"/>
        </w:rPr>
        <w:t xml:space="preserve"> In June, the monthly weighted average interest rate of interbank lending and pledged repos posted 1.70 percent and 1.74 percent, respectively, down 87 basis points and 94 basis points from December 2018. The monthly weighted average interest rate of pledged repos of zero-risk bonds among deposit-taking institutions posted 1.57 percent, down 86 basis points from December 2018 and 17 basis points lower than that of pledged repos. The Shibor generally declined. At end-June, the overnight and 7-day Shibor posted 1.37 percent and 2.60 percent respectively, down 118 basis points and 30 basis points respectively from end-2018. The 3-month and 1-year Shibor posted 2.71 percent and 3.10 percent respectively, down 64 basis points and 42 basis points from end-2018.</w:t>
      </w:r>
    </w:p>
    <w:p>
      <w:pPr>
        <w:autoSpaceDE w:val="0"/>
        <w:autoSpaceDN w:val="0"/>
        <w:adjustRightInd w:val="0"/>
        <w:rPr>
          <w:rFonts w:ascii="Times New Roman" w:hAnsi="Times New Roman" w:cs="Times New Roman"/>
          <w:sz w:val="24"/>
          <w:szCs w:val="24"/>
        </w:rPr>
      </w:pPr>
    </w:p>
    <w:p>
      <w:pPr>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Repo transactions and lending on the interbank market were active, featuring a drop in the growth of net lending provided by Chinese-funded large and medium-sized banks and a notable increase in borrowing by insurance companies.</w:t>
      </w:r>
      <w:r>
        <w:rPr>
          <w:rFonts w:ascii="Times New Roman" w:hAnsi="Times New Roman" w:cs="Times New Roman"/>
          <w:sz w:val="24"/>
          <w:szCs w:val="24"/>
        </w:rPr>
        <w:t xml:space="preserve"> In H1 of 2019, the cumulative volume of bond repos on the interbank market reached RMB 399.6 trillion, representing an average daily turnover of RMB 3.3 trillion and a year-on-year increase of 22.9 percent. The cumulative volume of interbank lending reached RMB 83.4 trillion, with an average daily turnover of RMB 683.9 billion and a year-on-year increase of 38.8 percent. In terms of the maturity structure, overnight repos and overnight lending accounted for 84.9 percent and 92.1 percent respectively of the turnover in bond repos and interbank lending, up 6.7 percentage points and 3.3 percentage points year on year. The volume of bond repos on the exchange markets decreased 1.9 percent year on year to RMB 115.2 trillion. In terms of financing among financial institutions, the flow of funds displayed the following characteristics. First, Chinese-funded large and medium-sized banks were net lenders, providing RMB 160.8 trillion of net lending in H1 of 2019 through repos and interbank lending, up 17.5 percent year on year, 3.4 percentage points lower than the year-on-year growth in Q1 of 2019. Second, net borrowing by insurance companies grew notably, reaching RMB 3.7 trillion in H1 of 2019, up 64.3 percent year on year. Third, net borrowing by other financial institutions and vehicles and by securities companies increased rapidly, totaling RMB 84.5 trillion and RMB 53.1 trillion respectively, up 38.2 percent and 43 percent year on year, 6.8 percentage points and 2.3 percentage points lower than the year-on-year growth in Q1 of 2019.</w:t>
      </w:r>
    </w:p>
    <w:bookmarkEnd w:id="117"/>
    <w:bookmarkEnd w:id="118"/>
    <w:p>
      <w:pPr>
        <w:pStyle w:val="5"/>
        <w:jc w:val="center"/>
      </w:pPr>
      <w:bookmarkStart w:id="124" w:name="_Toc524442947"/>
      <w:bookmarkStart w:id="125" w:name="_Toc17809069"/>
      <w:r>
        <w:rPr>
          <w:rFonts w:ascii="Times New Roman" w:hAnsi="Times New Roman" w:cs="Times New Roman"/>
          <w:b/>
          <w:bCs/>
          <w:sz w:val="24"/>
          <w:szCs w:val="24"/>
        </w:rPr>
        <w:t xml:space="preserve">Table </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SEQ Table \* ARABIC </w:instrText>
      </w:r>
      <w:r>
        <w:rPr>
          <w:rFonts w:ascii="Times New Roman" w:hAnsi="Times New Roman" w:cs="Times New Roman"/>
          <w:b/>
          <w:bCs/>
          <w:sz w:val="24"/>
          <w:szCs w:val="24"/>
        </w:rPr>
        <w:fldChar w:fldCharType="separate"/>
      </w:r>
      <w:r>
        <w:rPr>
          <w:rFonts w:ascii="Times New Roman" w:hAnsi="Times New Roman" w:cs="Times New Roman"/>
          <w:b/>
          <w:bCs/>
          <w:sz w:val="24"/>
          <w:szCs w:val="24"/>
        </w:rPr>
        <w:t>8</w:t>
      </w:r>
      <w:r>
        <w:rPr>
          <w:rFonts w:ascii="Times New Roman" w:hAnsi="Times New Roman" w:cs="Times New Roman"/>
          <w:b/>
          <w:bCs/>
          <w:sz w:val="24"/>
          <w:szCs w:val="24"/>
        </w:rPr>
        <w:fldChar w:fldCharType="end"/>
      </w:r>
      <w:r>
        <w:rPr>
          <w:rFonts w:ascii="Times New Roman" w:hAnsi="Times New Roman" w:cs="Times New Roman"/>
          <w:b/>
          <w:bCs/>
          <w:sz w:val="24"/>
          <w:szCs w:val="24"/>
        </w:rPr>
        <w:t xml:space="preserve"> Fund Flows among Financial Institutions, H1 201</w:t>
      </w:r>
      <w:bookmarkEnd w:id="124"/>
      <w:r>
        <w:rPr>
          <w:rFonts w:ascii="Times New Roman" w:hAnsi="Times New Roman" w:cs="Times New Roman"/>
          <w:b/>
          <w:bCs/>
          <w:sz w:val="24"/>
          <w:szCs w:val="24"/>
        </w:rPr>
        <w:t>9</w:t>
      </w:r>
      <w:bookmarkEnd w:id="125"/>
    </w:p>
    <w:tbl>
      <w:tblPr>
        <w:tblStyle w:val="14"/>
        <w:tblW w:w="8483" w:type="dxa"/>
        <w:jc w:val="center"/>
        <w:tblInd w:w="0" w:type="dxa"/>
        <w:tblLayout w:type="fixed"/>
        <w:tblCellMar>
          <w:top w:w="0" w:type="dxa"/>
          <w:left w:w="0" w:type="dxa"/>
          <w:bottom w:w="0" w:type="dxa"/>
          <w:right w:w="0" w:type="dxa"/>
        </w:tblCellMar>
      </w:tblPr>
      <w:tblGrid>
        <w:gridCol w:w="2632"/>
        <w:gridCol w:w="1462"/>
        <w:gridCol w:w="1462"/>
        <w:gridCol w:w="1462"/>
        <w:gridCol w:w="1465"/>
      </w:tblGrid>
      <w:tr>
        <w:tblPrEx>
          <w:tblLayout w:type="fixed"/>
          <w:tblCellMar>
            <w:top w:w="0" w:type="dxa"/>
            <w:left w:w="0" w:type="dxa"/>
            <w:bottom w:w="0" w:type="dxa"/>
            <w:right w:w="0" w:type="dxa"/>
          </w:tblCellMar>
        </w:tblPrEx>
        <w:trPr>
          <w:trHeight w:val="300" w:hRule="atLeast"/>
          <w:jc w:val="center"/>
        </w:trPr>
        <w:tc>
          <w:tcPr>
            <w:tcW w:w="8483" w:type="dxa"/>
            <w:gridSpan w:val="5"/>
            <w:tcBorders>
              <w:top w:val="nil"/>
              <w:left w:val="nil"/>
              <w:bottom w:val="single" w:color="008000" w:sz="12" w:space="0"/>
              <w:right w:val="nil"/>
            </w:tcBorders>
            <w:vAlign w:val="bottom"/>
          </w:tcPr>
          <w:p>
            <w:pPr>
              <w:rPr>
                <w:rFonts w:ascii="Times New Roman" w:hAnsi="Times New Roman" w:cs="Times New Roman"/>
                <w:sz w:val="24"/>
                <w:szCs w:val="24"/>
              </w:rPr>
            </w:pPr>
          </w:p>
          <w:p>
            <w:pPr>
              <w:ind w:right="120"/>
              <w:jc w:val="center"/>
              <w:rPr>
                <w:rFonts w:ascii="Times New Roman" w:hAnsi="Times New Roman" w:cs="Times New Roman"/>
                <w:sz w:val="24"/>
                <w:szCs w:val="24"/>
              </w:rPr>
            </w:pPr>
            <w:r>
              <w:rPr>
                <w:rFonts w:ascii="Times New Roman" w:hAnsi="Times New Roman" w:cs="Times New Roman"/>
                <w:sz w:val="24"/>
                <w:szCs w:val="24"/>
              </w:rPr>
              <w:t>Unit: RMB 100 million</w:t>
            </w:r>
          </w:p>
        </w:tc>
      </w:tr>
      <w:tr>
        <w:tblPrEx>
          <w:tblLayout w:type="fixed"/>
          <w:tblCellMar>
            <w:top w:w="0" w:type="dxa"/>
            <w:left w:w="0" w:type="dxa"/>
            <w:bottom w:w="0" w:type="dxa"/>
            <w:right w:w="0" w:type="dxa"/>
          </w:tblCellMar>
        </w:tblPrEx>
        <w:trPr>
          <w:cantSplit/>
          <w:trHeight w:val="369" w:hRule="atLeast"/>
          <w:jc w:val="center"/>
        </w:trPr>
        <w:tc>
          <w:tcPr>
            <w:tcW w:w="2632" w:type="dxa"/>
            <w:vMerge w:val="restart"/>
            <w:tcBorders>
              <w:top w:val="nil"/>
              <w:left w:val="nil"/>
              <w:bottom w:val="single" w:color="008000" w:sz="8" w:space="0"/>
              <w:right w:val="single" w:color="008000" w:sz="4" w:space="0"/>
            </w:tcBorders>
            <w:shd w:val="clear" w:color="auto" w:fill="CCFFCC"/>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　</w:t>
            </w:r>
          </w:p>
        </w:tc>
        <w:tc>
          <w:tcPr>
            <w:tcW w:w="2924" w:type="dxa"/>
            <w:gridSpan w:val="2"/>
            <w:tcBorders>
              <w:top w:val="single" w:color="008000" w:sz="12" w:space="0"/>
              <w:left w:val="nil"/>
              <w:bottom w:val="single" w:color="008000" w:sz="4" w:space="0"/>
              <w:right w:val="single" w:color="008000" w:sz="4" w:space="0"/>
            </w:tcBorders>
            <w:shd w:val="clear" w:color="auto" w:fill="CCFFCC"/>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Repos</w:t>
            </w:r>
          </w:p>
        </w:tc>
        <w:tc>
          <w:tcPr>
            <w:tcW w:w="2927" w:type="dxa"/>
            <w:gridSpan w:val="2"/>
            <w:tcBorders>
              <w:top w:val="single" w:color="008000" w:sz="12" w:space="0"/>
              <w:left w:val="nil"/>
              <w:bottom w:val="single" w:color="008000" w:sz="4" w:space="0"/>
              <w:right w:val="nil"/>
            </w:tcBorders>
            <w:shd w:val="clear" w:color="auto" w:fill="CCFFCC"/>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Interbank lending</w:t>
            </w:r>
          </w:p>
        </w:tc>
      </w:tr>
      <w:tr>
        <w:tblPrEx>
          <w:tblLayout w:type="fixed"/>
          <w:tblCellMar>
            <w:top w:w="0" w:type="dxa"/>
            <w:left w:w="0" w:type="dxa"/>
            <w:bottom w:w="0" w:type="dxa"/>
            <w:right w:w="0" w:type="dxa"/>
          </w:tblCellMar>
        </w:tblPrEx>
        <w:trPr>
          <w:cantSplit/>
          <w:trHeight w:val="369" w:hRule="atLeast"/>
          <w:jc w:val="center"/>
        </w:trPr>
        <w:tc>
          <w:tcPr>
            <w:tcW w:w="2632" w:type="dxa"/>
            <w:vMerge w:val="continue"/>
            <w:tcBorders>
              <w:top w:val="nil"/>
              <w:left w:val="nil"/>
              <w:bottom w:val="single" w:color="008000" w:sz="8" w:space="0"/>
              <w:right w:val="single" w:color="008000" w:sz="4" w:space="0"/>
            </w:tcBorders>
            <w:shd w:val="clear" w:color="auto" w:fill="auto"/>
            <w:vAlign w:val="center"/>
          </w:tcPr>
          <w:p>
            <w:pPr>
              <w:keepNext/>
              <w:keepLines/>
              <w:spacing w:beforeLines="200" w:afterLines="100"/>
              <w:jc w:val="center"/>
              <w:outlineLvl w:val="0"/>
              <w:rPr>
                <w:rFonts w:ascii="Times New Roman" w:hAnsi="Times New Roman" w:cs="Times New Roman"/>
                <w:sz w:val="24"/>
                <w:szCs w:val="24"/>
              </w:rPr>
            </w:pPr>
          </w:p>
        </w:tc>
        <w:tc>
          <w:tcPr>
            <w:tcW w:w="1462" w:type="dxa"/>
            <w:tcBorders>
              <w:top w:val="nil"/>
              <w:left w:val="nil"/>
              <w:bottom w:val="single" w:color="008000" w:sz="8" w:space="0"/>
              <w:right w:val="single" w:color="008000" w:sz="4" w:space="0"/>
            </w:tcBorders>
            <w:shd w:val="clear" w:color="auto" w:fill="CCFFCC"/>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H1 2019</w:t>
            </w:r>
          </w:p>
        </w:tc>
        <w:tc>
          <w:tcPr>
            <w:tcW w:w="1462" w:type="dxa"/>
            <w:tcBorders>
              <w:top w:val="nil"/>
              <w:left w:val="nil"/>
              <w:bottom w:val="single" w:color="008000" w:sz="8" w:space="0"/>
              <w:right w:val="single" w:color="008000" w:sz="4" w:space="0"/>
            </w:tcBorders>
            <w:shd w:val="clear" w:color="auto" w:fill="CCFFCC"/>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H1 2018</w:t>
            </w:r>
          </w:p>
        </w:tc>
        <w:tc>
          <w:tcPr>
            <w:tcW w:w="1462" w:type="dxa"/>
            <w:tcBorders>
              <w:top w:val="nil"/>
              <w:left w:val="nil"/>
              <w:bottom w:val="single" w:color="008000" w:sz="8" w:space="0"/>
              <w:right w:val="single" w:color="008000" w:sz="4" w:space="0"/>
            </w:tcBorders>
            <w:shd w:val="clear" w:color="auto" w:fill="CCFFCC"/>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H1 2019</w:t>
            </w:r>
          </w:p>
        </w:tc>
        <w:tc>
          <w:tcPr>
            <w:tcW w:w="1465" w:type="dxa"/>
            <w:tcBorders>
              <w:top w:val="nil"/>
              <w:left w:val="nil"/>
              <w:bottom w:val="single" w:color="008000" w:sz="8" w:space="0"/>
              <w:right w:val="nil"/>
            </w:tcBorders>
            <w:shd w:val="clear" w:color="auto" w:fill="CCFFCC"/>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H1 2018</w:t>
            </w:r>
          </w:p>
        </w:tc>
      </w:tr>
      <w:tr>
        <w:tblPrEx>
          <w:tblLayout w:type="fixed"/>
          <w:tblCellMar>
            <w:top w:w="0" w:type="dxa"/>
            <w:left w:w="0" w:type="dxa"/>
            <w:bottom w:w="0" w:type="dxa"/>
            <w:right w:w="0" w:type="dxa"/>
          </w:tblCellMar>
        </w:tblPrEx>
        <w:trPr>
          <w:trHeight w:val="369" w:hRule="atLeast"/>
          <w:jc w:val="center"/>
        </w:trPr>
        <w:tc>
          <w:tcPr>
            <w:tcW w:w="2632" w:type="dxa"/>
            <w:tcBorders>
              <w:top w:val="single" w:color="008000" w:sz="8" w:space="0"/>
              <w:left w:val="nil"/>
              <w:bottom w:val="nil"/>
              <w:right w:val="single" w:color="008000" w:sz="4" w:space="0"/>
            </w:tcBorders>
            <w:shd w:val="clear" w:color="auto" w:fill="FFFFFF"/>
            <w:vAlign w:val="center"/>
          </w:tcPr>
          <w:p>
            <w:pPr>
              <w:adjustRightInd w:val="0"/>
              <w:snapToGrid w:val="0"/>
              <w:jc w:val="left"/>
              <w:rPr>
                <w:rFonts w:ascii="Times New Roman" w:hAnsi="Times New Roman" w:cs="Times New Roman"/>
                <w:sz w:val="24"/>
                <w:szCs w:val="24"/>
              </w:rPr>
            </w:pPr>
            <w:r>
              <w:rPr>
                <w:rFonts w:ascii="Times New Roman" w:hAnsi="Times New Roman" w:cs="Times New Roman"/>
                <w:sz w:val="24"/>
                <w:szCs w:val="24"/>
              </w:rPr>
              <w:t>Chinese-funded large banks</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 1 \* GB3 </w:instrText>
            </w:r>
            <w:r>
              <w:rPr>
                <w:rFonts w:ascii="Times New Roman" w:hAnsi="Times New Roman" w:cs="Times New Roman"/>
                <w:sz w:val="24"/>
                <w:szCs w:val="24"/>
              </w:rPr>
              <w:fldChar w:fldCharType="separate"/>
            </w:r>
            <w:r>
              <w:rPr>
                <w:rFonts w:cs="Times New Roman"/>
                <w:sz w:val="24"/>
                <w:szCs w:val="24"/>
              </w:rPr>
              <w:t>①</w:t>
            </w:r>
            <w:r>
              <w:rPr>
                <w:rFonts w:ascii="Times New Roman" w:hAnsi="Times New Roman" w:cs="Times New Roman"/>
                <w:sz w:val="24"/>
                <w:szCs w:val="24"/>
              </w:rPr>
              <w:fldChar w:fldCharType="end"/>
            </w:r>
          </w:p>
        </w:tc>
        <w:tc>
          <w:tcPr>
            <w:tcW w:w="1462" w:type="dxa"/>
            <w:tcBorders>
              <w:top w:val="single" w:color="008000" w:sz="8" w:space="0"/>
              <w:left w:val="nil"/>
              <w:bottom w:val="nil"/>
              <w:right w:val="single" w:color="008000" w:sz="4" w:space="0"/>
            </w:tcBorders>
            <w:shd w:val="clear" w:color="auto" w:fill="FFFFFF"/>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–963,223</w:t>
            </w:r>
          </w:p>
        </w:tc>
        <w:tc>
          <w:tcPr>
            <w:tcW w:w="1462" w:type="dxa"/>
            <w:tcBorders>
              <w:top w:val="single" w:color="008000" w:sz="8" w:space="0"/>
              <w:left w:val="nil"/>
              <w:bottom w:val="nil"/>
              <w:right w:val="single" w:color="008000" w:sz="4" w:space="0"/>
            </w:tcBorders>
            <w:shd w:val="clear" w:color="auto" w:fill="FFFFFF"/>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–748,503</w:t>
            </w:r>
          </w:p>
        </w:tc>
        <w:tc>
          <w:tcPr>
            <w:tcW w:w="1462" w:type="dxa"/>
            <w:tcBorders>
              <w:top w:val="single" w:color="008000" w:sz="8" w:space="0"/>
              <w:left w:val="nil"/>
              <w:bottom w:val="nil"/>
              <w:right w:val="single" w:color="008000" w:sz="4" w:space="0"/>
            </w:tcBorders>
            <w:shd w:val="clear" w:color="auto" w:fill="FFFFFF"/>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–155,482</w:t>
            </w:r>
          </w:p>
        </w:tc>
        <w:tc>
          <w:tcPr>
            <w:tcW w:w="1465" w:type="dxa"/>
            <w:tcBorders>
              <w:top w:val="single" w:color="008000" w:sz="8" w:space="0"/>
              <w:left w:val="nil"/>
              <w:bottom w:val="nil"/>
              <w:right w:val="nil"/>
            </w:tcBorders>
            <w:shd w:val="clear" w:color="auto" w:fill="FFFFFF"/>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–125,183</w:t>
            </w:r>
          </w:p>
        </w:tc>
      </w:tr>
      <w:tr>
        <w:tblPrEx>
          <w:tblLayout w:type="fixed"/>
          <w:tblCellMar>
            <w:top w:w="0" w:type="dxa"/>
            <w:left w:w="0" w:type="dxa"/>
            <w:bottom w:w="0" w:type="dxa"/>
            <w:right w:w="0" w:type="dxa"/>
          </w:tblCellMar>
        </w:tblPrEx>
        <w:trPr>
          <w:trHeight w:val="369" w:hRule="atLeast"/>
          <w:jc w:val="center"/>
        </w:trPr>
        <w:tc>
          <w:tcPr>
            <w:tcW w:w="2632" w:type="dxa"/>
            <w:tcBorders>
              <w:top w:val="nil"/>
              <w:left w:val="nil"/>
              <w:bottom w:val="nil"/>
              <w:right w:val="single" w:color="008000" w:sz="4" w:space="0"/>
            </w:tcBorders>
            <w:shd w:val="clear" w:color="auto" w:fill="CCFFCC"/>
            <w:vAlign w:val="center"/>
          </w:tcPr>
          <w:p>
            <w:pPr>
              <w:adjustRightInd w:val="0"/>
              <w:snapToGrid w:val="0"/>
              <w:jc w:val="left"/>
              <w:rPr>
                <w:rFonts w:ascii="Times New Roman" w:hAnsi="Times New Roman" w:cs="Times New Roman"/>
                <w:sz w:val="24"/>
                <w:szCs w:val="24"/>
              </w:rPr>
            </w:pPr>
            <w:r>
              <w:rPr>
                <w:rFonts w:ascii="Times New Roman" w:hAnsi="Times New Roman" w:cs="Times New Roman"/>
                <w:sz w:val="24"/>
                <w:szCs w:val="24"/>
              </w:rPr>
              <w:t>Chinese-funded medium-sized banks</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 2 \* GB3 </w:instrText>
            </w:r>
            <w:r>
              <w:rPr>
                <w:rFonts w:ascii="Times New Roman" w:hAnsi="Times New Roman" w:cs="Times New Roman"/>
                <w:sz w:val="24"/>
                <w:szCs w:val="24"/>
              </w:rPr>
              <w:fldChar w:fldCharType="separate"/>
            </w:r>
            <w:r>
              <w:rPr>
                <w:rFonts w:cs="Times New Roman"/>
                <w:sz w:val="24"/>
                <w:szCs w:val="24"/>
              </w:rPr>
              <w:t>②</w:t>
            </w:r>
            <w:r>
              <w:rPr>
                <w:rFonts w:ascii="Times New Roman" w:hAnsi="Times New Roman" w:cs="Times New Roman"/>
                <w:sz w:val="24"/>
                <w:szCs w:val="24"/>
              </w:rPr>
              <w:fldChar w:fldCharType="end"/>
            </w:r>
          </w:p>
        </w:tc>
        <w:tc>
          <w:tcPr>
            <w:tcW w:w="1462" w:type="dxa"/>
            <w:tcBorders>
              <w:top w:val="nil"/>
              <w:left w:val="nil"/>
              <w:bottom w:val="nil"/>
              <w:right w:val="single" w:color="008000" w:sz="4" w:space="0"/>
            </w:tcBorders>
            <w:shd w:val="clear" w:color="auto" w:fill="CCFFCC"/>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–402,336</w:t>
            </w:r>
          </w:p>
        </w:tc>
        <w:tc>
          <w:tcPr>
            <w:tcW w:w="1462" w:type="dxa"/>
            <w:tcBorders>
              <w:top w:val="nil"/>
              <w:left w:val="nil"/>
              <w:bottom w:val="nil"/>
              <w:right w:val="single" w:color="008000" w:sz="4" w:space="0"/>
            </w:tcBorders>
            <w:shd w:val="clear" w:color="auto" w:fill="CCFFCC"/>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–423,305</w:t>
            </w:r>
          </w:p>
        </w:tc>
        <w:tc>
          <w:tcPr>
            <w:tcW w:w="1462" w:type="dxa"/>
            <w:tcBorders>
              <w:top w:val="nil"/>
              <w:left w:val="nil"/>
              <w:bottom w:val="nil"/>
              <w:right w:val="single" w:color="008000" w:sz="4" w:space="0"/>
            </w:tcBorders>
            <w:shd w:val="clear" w:color="auto" w:fill="CCFFCC"/>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–86,641</w:t>
            </w:r>
          </w:p>
        </w:tc>
        <w:tc>
          <w:tcPr>
            <w:tcW w:w="1465" w:type="dxa"/>
            <w:tcBorders>
              <w:top w:val="nil"/>
              <w:left w:val="nil"/>
              <w:bottom w:val="nil"/>
              <w:right w:val="nil"/>
            </w:tcBorders>
            <w:shd w:val="clear" w:color="auto" w:fill="CCFFCC"/>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–71,236</w:t>
            </w:r>
          </w:p>
        </w:tc>
      </w:tr>
      <w:tr>
        <w:tblPrEx>
          <w:tblLayout w:type="fixed"/>
          <w:tblCellMar>
            <w:top w:w="0" w:type="dxa"/>
            <w:left w:w="0" w:type="dxa"/>
            <w:bottom w:w="0" w:type="dxa"/>
            <w:right w:w="0" w:type="dxa"/>
          </w:tblCellMar>
        </w:tblPrEx>
        <w:trPr>
          <w:trHeight w:val="369" w:hRule="atLeast"/>
          <w:jc w:val="center"/>
        </w:trPr>
        <w:tc>
          <w:tcPr>
            <w:tcW w:w="2632" w:type="dxa"/>
            <w:tcBorders>
              <w:top w:val="nil"/>
              <w:left w:val="nil"/>
              <w:bottom w:val="nil"/>
              <w:right w:val="single" w:color="008000" w:sz="4" w:space="0"/>
            </w:tcBorders>
            <w:shd w:val="clear" w:color="auto" w:fill="CCFFCC"/>
            <w:vAlign w:val="center"/>
          </w:tcPr>
          <w:p>
            <w:pPr>
              <w:adjustRightInd w:val="0"/>
              <w:snapToGrid w:val="0"/>
              <w:jc w:val="left"/>
              <w:rPr>
                <w:rFonts w:ascii="Times New Roman" w:hAnsi="Times New Roman" w:cs="Times New Roman"/>
                <w:sz w:val="24"/>
                <w:szCs w:val="24"/>
              </w:rPr>
            </w:pPr>
            <w:r>
              <w:rPr>
                <w:rFonts w:ascii="Times New Roman" w:hAnsi="Times New Roman" w:cs="Times New Roman"/>
                <w:sz w:val="24"/>
                <w:szCs w:val="24"/>
              </w:rPr>
              <w:t>Chinese-funded small-sized banks</w:t>
            </w:r>
            <w:r>
              <w:rPr>
                <w:rFonts w:cs="Times New Roman"/>
                <w:sz w:val="24"/>
                <w:szCs w:val="24"/>
              </w:rPr>
              <w:t>③</w:t>
            </w:r>
          </w:p>
        </w:tc>
        <w:tc>
          <w:tcPr>
            <w:tcW w:w="1462" w:type="dxa"/>
            <w:tcBorders>
              <w:top w:val="nil"/>
              <w:left w:val="nil"/>
              <w:bottom w:val="nil"/>
              <w:right w:val="single" w:color="008000" w:sz="4" w:space="0"/>
            </w:tcBorders>
            <w:shd w:val="clear" w:color="auto" w:fill="CCFFCC"/>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95,271</w:t>
            </w:r>
          </w:p>
        </w:tc>
        <w:tc>
          <w:tcPr>
            <w:tcW w:w="1462" w:type="dxa"/>
            <w:tcBorders>
              <w:top w:val="nil"/>
              <w:left w:val="nil"/>
              <w:bottom w:val="nil"/>
              <w:right w:val="single" w:color="008000" w:sz="4" w:space="0"/>
            </w:tcBorders>
            <w:shd w:val="clear" w:color="auto" w:fill="CCFFCC"/>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244,765</w:t>
            </w:r>
          </w:p>
        </w:tc>
        <w:tc>
          <w:tcPr>
            <w:tcW w:w="1462" w:type="dxa"/>
            <w:tcBorders>
              <w:top w:val="nil"/>
              <w:left w:val="nil"/>
              <w:bottom w:val="nil"/>
              <w:right w:val="single" w:color="008000" w:sz="4" w:space="0"/>
            </w:tcBorders>
            <w:shd w:val="clear" w:color="auto" w:fill="CCFFCC"/>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60,513</w:t>
            </w:r>
          </w:p>
        </w:tc>
        <w:tc>
          <w:tcPr>
            <w:tcW w:w="1465" w:type="dxa"/>
            <w:tcBorders>
              <w:top w:val="nil"/>
              <w:left w:val="nil"/>
              <w:bottom w:val="nil"/>
              <w:right w:val="nil"/>
            </w:tcBorders>
            <w:shd w:val="clear" w:color="auto" w:fill="CCFFCC"/>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81,901</w:t>
            </w:r>
          </w:p>
        </w:tc>
      </w:tr>
      <w:tr>
        <w:tblPrEx>
          <w:tblLayout w:type="fixed"/>
          <w:tblCellMar>
            <w:top w:w="0" w:type="dxa"/>
            <w:left w:w="0" w:type="dxa"/>
            <w:bottom w:w="0" w:type="dxa"/>
            <w:right w:w="0" w:type="dxa"/>
          </w:tblCellMar>
        </w:tblPrEx>
        <w:trPr>
          <w:trHeight w:val="369" w:hRule="atLeast"/>
          <w:jc w:val="center"/>
        </w:trPr>
        <w:tc>
          <w:tcPr>
            <w:tcW w:w="2632" w:type="dxa"/>
            <w:tcBorders>
              <w:top w:val="nil"/>
              <w:left w:val="nil"/>
              <w:bottom w:val="nil"/>
              <w:right w:val="single" w:color="008000" w:sz="4" w:space="0"/>
            </w:tcBorders>
            <w:shd w:val="clear" w:color="auto" w:fill="FFFFFF"/>
            <w:vAlign w:val="center"/>
          </w:tcPr>
          <w:p>
            <w:pPr>
              <w:adjustRightInd w:val="0"/>
              <w:snapToGrid w:val="0"/>
              <w:rPr>
                <w:rFonts w:ascii="Times New Roman" w:hAnsi="Times New Roman" w:cs="Times New Roman"/>
                <w:sz w:val="24"/>
                <w:szCs w:val="24"/>
              </w:rPr>
            </w:pPr>
            <w:r>
              <w:rPr>
                <w:rFonts w:ascii="Times New Roman" w:hAnsi="Times New Roman" w:cs="Times New Roman"/>
                <w:sz w:val="24"/>
                <w:szCs w:val="24"/>
              </w:rPr>
              <w:t>Securities institutions</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 4 \* GB3 </w:instrText>
            </w:r>
            <w:r>
              <w:rPr>
                <w:rFonts w:ascii="Times New Roman" w:hAnsi="Times New Roman" w:cs="Times New Roman"/>
                <w:sz w:val="24"/>
                <w:szCs w:val="24"/>
              </w:rPr>
              <w:fldChar w:fldCharType="separate"/>
            </w:r>
            <w:r>
              <w:rPr>
                <w:rFonts w:cs="Times New Roman"/>
                <w:sz w:val="24"/>
                <w:szCs w:val="24"/>
              </w:rPr>
              <w:t>④</w:t>
            </w:r>
            <w:r>
              <w:rPr>
                <w:rFonts w:ascii="Times New Roman" w:hAnsi="Times New Roman" w:cs="Times New Roman"/>
                <w:sz w:val="24"/>
                <w:szCs w:val="24"/>
              </w:rPr>
              <w:fldChar w:fldCharType="end"/>
            </w:r>
          </w:p>
        </w:tc>
        <w:tc>
          <w:tcPr>
            <w:tcW w:w="1462" w:type="dxa"/>
            <w:tcBorders>
              <w:top w:val="nil"/>
              <w:left w:val="nil"/>
              <w:bottom w:val="nil"/>
              <w:right w:val="single" w:color="008000" w:sz="4" w:space="0"/>
            </w:tcBorders>
            <w:shd w:val="clear" w:color="auto" w:fill="FFFFFF"/>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393,100</w:t>
            </w:r>
          </w:p>
        </w:tc>
        <w:tc>
          <w:tcPr>
            <w:tcW w:w="1462" w:type="dxa"/>
            <w:tcBorders>
              <w:top w:val="nil"/>
              <w:left w:val="nil"/>
              <w:bottom w:val="nil"/>
              <w:right w:val="single" w:color="008000" w:sz="4" w:space="0"/>
            </w:tcBorders>
            <w:shd w:val="clear" w:color="auto" w:fill="FFFFFF"/>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287,958</w:t>
            </w:r>
          </w:p>
        </w:tc>
        <w:tc>
          <w:tcPr>
            <w:tcW w:w="1462" w:type="dxa"/>
            <w:tcBorders>
              <w:top w:val="nil"/>
              <w:left w:val="nil"/>
              <w:bottom w:val="nil"/>
              <w:right w:val="single" w:color="008000" w:sz="4" w:space="0"/>
            </w:tcBorders>
            <w:shd w:val="clear" w:color="auto" w:fill="FFFFFF"/>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137,803</w:t>
            </w:r>
          </w:p>
        </w:tc>
        <w:tc>
          <w:tcPr>
            <w:tcW w:w="1465" w:type="dxa"/>
            <w:tcBorders>
              <w:top w:val="nil"/>
              <w:left w:val="nil"/>
              <w:bottom w:val="nil"/>
              <w:right w:val="nil"/>
            </w:tcBorders>
            <w:shd w:val="clear" w:color="auto" w:fill="FFFFFF"/>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83,441</w:t>
            </w:r>
          </w:p>
        </w:tc>
      </w:tr>
      <w:tr>
        <w:tblPrEx>
          <w:tblLayout w:type="fixed"/>
          <w:tblCellMar>
            <w:top w:w="0" w:type="dxa"/>
            <w:left w:w="0" w:type="dxa"/>
            <w:bottom w:w="0" w:type="dxa"/>
            <w:right w:w="0" w:type="dxa"/>
          </w:tblCellMar>
        </w:tblPrEx>
        <w:trPr>
          <w:trHeight w:val="369" w:hRule="atLeast"/>
          <w:jc w:val="center"/>
        </w:trPr>
        <w:tc>
          <w:tcPr>
            <w:tcW w:w="2632" w:type="dxa"/>
            <w:tcBorders>
              <w:top w:val="nil"/>
              <w:left w:val="nil"/>
              <w:bottom w:val="nil"/>
              <w:right w:val="single" w:color="008000" w:sz="4" w:space="0"/>
            </w:tcBorders>
            <w:shd w:val="clear" w:color="auto" w:fill="CCFFCC"/>
            <w:vAlign w:val="center"/>
          </w:tcPr>
          <w:p>
            <w:pPr>
              <w:adjustRightInd w:val="0"/>
              <w:snapToGrid w:val="0"/>
              <w:rPr>
                <w:rFonts w:ascii="Times New Roman" w:hAnsi="Times New Roman" w:cs="Times New Roman"/>
                <w:sz w:val="24"/>
                <w:szCs w:val="24"/>
              </w:rPr>
            </w:pPr>
            <w:r>
              <w:rPr>
                <w:rFonts w:ascii="Times New Roman" w:hAnsi="Times New Roman" w:cs="Times New Roman"/>
                <w:sz w:val="24"/>
                <w:szCs w:val="24"/>
              </w:rPr>
              <w:t>Insurance institutions</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 5 \* GB3 </w:instrText>
            </w:r>
            <w:r>
              <w:rPr>
                <w:rFonts w:ascii="Times New Roman" w:hAnsi="Times New Roman" w:cs="Times New Roman"/>
                <w:sz w:val="24"/>
                <w:szCs w:val="24"/>
              </w:rPr>
              <w:fldChar w:fldCharType="separate"/>
            </w:r>
            <w:r>
              <w:rPr>
                <w:rFonts w:cs="Times New Roman"/>
                <w:sz w:val="24"/>
                <w:szCs w:val="24"/>
              </w:rPr>
              <w:t>⑤</w:t>
            </w:r>
            <w:r>
              <w:rPr>
                <w:rFonts w:ascii="Times New Roman" w:hAnsi="Times New Roman" w:cs="Times New Roman"/>
                <w:sz w:val="24"/>
                <w:szCs w:val="24"/>
              </w:rPr>
              <w:fldChar w:fldCharType="end"/>
            </w:r>
          </w:p>
        </w:tc>
        <w:tc>
          <w:tcPr>
            <w:tcW w:w="1462" w:type="dxa"/>
            <w:tcBorders>
              <w:top w:val="nil"/>
              <w:left w:val="nil"/>
              <w:bottom w:val="nil"/>
              <w:right w:val="single" w:color="008000" w:sz="4" w:space="0"/>
            </w:tcBorders>
            <w:shd w:val="clear" w:color="auto" w:fill="CCFFCC"/>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36,578</w:t>
            </w:r>
          </w:p>
        </w:tc>
        <w:tc>
          <w:tcPr>
            <w:tcW w:w="1462" w:type="dxa"/>
            <w:tcBorders>
              <w:top w:val="nil"/>
              <w:left w:val="nil"/>
              <w:bottom w:val="nil"/>
              <w:right w:val="single" w:color="008000" w:sz="4" w:space="0"/>
            </w:tcBorders>
            <w:shd w:val="clear" w:color="auto" w:fill="CCFFCC"/>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22,111</w:t>
            </w:r>
          </w:p>
        </w:tc>
        <w:tc>
          <w:tcPr>
            <w:tcW w:w="1462" w:type="dxa"/>
            <w:tcBorders>
              <w:top w:val="nil"/>
              <w:left w:val="nil"/>
              <w:bottom w:val="nil"/>
              <w:right w:val="single" w:color="008000" w:sz="4" w:space="0"/>
            </w:tcBorders>
            <w:shd w:val="clear" w:color="auto" w:fill="CCFFCC"/>
            <w:vAlign w:val="center"/>
          </w:tcPr>
          <w:p>
            <w:pPr>
              <w:tabs>
                <w:tab w:val="center" w:pos="4320"/>
                <w:tab w:val="right" w:pos="8640"/>
              </w:tabs>
              <w:adjustRightInd w:val="0"/>
              <w:snapToGrid w:val="0"/>
              <w:jc w:val="center"/>
              <w:rPr>
                <w:rFonts w:ascii="Times New Roman" w:hAnsi="Times New Roman" w:cs="Times New Roman"/>
                <w:sz w:val="24"/>
                <w:szCs w:val="24"/>
              </w:rPr>
            </w:pPr>
            <w:r>
              <w:rPr>
                <w:rFonts w:ascii="Times New Roman" w:hAnsi="Times New Roman" w:cs="Times New Roman"/>
                <w:sz w:val="24"/>
                <w:szCs w:val="24"/>
              </w:rPr>
              <w:t>272</w:t>
            </w:r>
          </w:p>
        </w:tc>
        <w:tc>
          <w:tcPr>
            <w:tcW w:w="1465" w:type="dxa"/>
            <w:tcBorders>
              <w:top w:val="nil"/>
              <w:left w:val="nil"/>
              <w:bottom w:val="nil"/>
              <w:right w:val="nil"/>
            </w:tcBorders>
            <w:shd w:val="clear" w:color="auto" w:fill="CCFFCC"/>
            <w:vAlign w:val="center"/>
          </w:tcPr>
          <w:p>
            <w:pPr>
              <w:tabs>
                <w:tab w:val="center" w:pos="4320"/>
                <w:tab w:val="right" w:pos="8640"/>
              </w:tabs>
              <w:adjustRightInd w:val="0"/>
              <w:snapToGrid w:val="0"/>
              <w:jc w:val="center"/>
              <w:rPr>
                <w:rFonts w:ascii="Times New Roman" w:hAnsi="Times New Roman" w:cs="Times New Roman"/>
                <w:sz w:val="24"/>
                <w:szCs w:val="24"/>
              </w:rPr>
            </w:pPr>
            <w:r>
              <w:rPr>
                <w:rFonts w:ascii="Times New Roman" w:hAnsi="Times New Roman" w:cs="Times New Roman"/>
                <w:sz w:val="24"/>
                <w:szCs w:val="24"/>
              </w:rPr>
              <w:t>314</w:t>
            </w:r>
          </w:p>
        </w:tc>
      </w:tr>
      <w:tr>
        <w:tblPrEx>
          <w:tblLayout w:type="fixed"/>
          <w:tblCellMar>
            <w:top w:w="0" w:type="dxa"/>
            <w:left w:w="0" w:type="dxa"/>
            <w:bottom w:w="0" w:type="dxa"/>
            <w:right w:w="0" w:type="dxa"/>
          </w:tblCellMar>
        </w:tblPrEx>
        <w:trPr>
          <w:trHeight w:val="369" w:hRule="atLeast"/>
          <w:jc w:val="center"/>
        </w:trPr>
        <w:tc>
          <w:tcPr>
            <w:tcW w:w="2632" w:type="dxa"/>
            <w:tcBorders>
              <w:top w:val="nil"/>
              <w:left w:val="nil"/>
              <w:bottom w:val="nil"/>
              <w:right w:val="single" w:color="008000" w:sz="4" w:space="0"/>
            </w:tcBorders>
            <w:shd w:val="clear" w:color="auto" w:fill="FFFFFF"/>
            <w:vAlign w:val="center"/>
          </w:tcPr>
          <w:p>
            <w:pPr>
              <w:tabs>
                <w:tab w:val="center" w:pos="4320"/>
                <w:tab w:val="right" w:pos="8640"/>
              </w:tabs>
              <w:adjustRightInd w:val="0"/>
              <w:snapToGrid w:val="0"/>
              <w:rPr>
                <w:rFonts w:ascii="Times New Roman" w:hAnsi="Times New Roman" w:cs="Times New Roman"/>
                <w:sz w:val="24"/>
                <w:szCs w:val="24"/>
              </w:rPr>
            </w:pPr>
            <w:r>
              <w:rPr>
                <w:rFonts w:ascii="Times New Roman" w:hAnsi="Times New Roman" w:cs="Times New Roman"/>
                <w:sz w:val="24"/>
                <w:szCs w:val="24"/>
              </w:rPr>
              <w:t>Foreign-funded banks</w:t>
            </w:r>
          </w:p>
        </w:tc>
        <w:tc>
          <w:tcPr>
            <w:tcW w:w="1462" w:type="dxa"/>
            <w:tcBorders>
              <w:top w:val="nil"/>
              <w:left w:val="nil"/>
              <w:bottom w:val="nil"/>
              <w:right w:val="single" w:color="008000" w:sz="4" w:space="0"/>
            </w:tcBorders>
            <w:shd w:val="clear" w:color="auto" w:fill="FFFFFF"/>
            <w:vAlign w:val="center"/>
          </w:tcPr>
          <w:p>
            <w:pPr>
              <w:tabs>
                <w:tab w:val="center" w:pos="4320"/>
                <w:tab w:val="right" w:pos="8640"/>
              </w:tabs>
              <w:adjustRightInd w:val="0"/>
              <w:snapToGrid w:val="0"/>
              <w:jc w:val="center"/>
              <w:rPr>
                <w:rFonts w:ascii="Times New Roman" w:hAnsi="Times New Roman" w:cs="Times New Roman"/>
                <w:sz w:val="24"/>
                <w:szCs w:val="24"/>
              </w:rPr>
            </w:pPr>
            <w:r>
              <w:rPr>
                <w:rFonts w:ascii="Times New Roman" w:hAnsi="Times New Roman" w:cs="Times New Roman"/>
                <w:sz w:val="24"/>
                <w:szCs w:val="24"/>
              </w:rPr>
              <w:t>50,268</w:t>
            </w:r>
          </w:p>
        </w:tc>
        <w:tc>
          <w:tcPr>
            <w:tcW w:w="1462" w:type="dxa"/>
            <w:tcBorders>
              <w:top w:val="nil"/>
              <w:left w:val="nil"/>
              <w:bottom w:val="nil"/>
              <w:right w:val="single" w:color="008000" w:sz="4" w:space="0"/>
            </w:tcBorders>
            <w:shd w:val="clear" w:color="auto" w:fill="FFFFFF"/>
            <w:vAlign w:val="center"/>
          </w:tcPr>
          <w:p>
            <w:pPr>
              <w:tabs>
                <w:tab w:val="center" w:pos="4320"/>
                <w:tab w:val="right" w:pos="8640"/>
              </w:tabs>
              <w:adjustRightInd w:val="0"/>
              <w:snapToGrid w:val="0"/>
              <w:jc w:val="center"/>
              <w:rPr>
                <w:rFonts w:ascii="Times New Roman" w:hAnsi="Times New Roman" w:cs="Times New Roman"/>
                <w:sz w:val="24"/>
                <w:szCs w:val="24"/>
              </w:rPr>
            </w:pPr>
            <w:r>
              <w:rPr>
                <w:rFonts w:ascii="Times New Roman" w:hAnsi="Times New Roman" w:cs="Times New Roman"/>
                <w:sz w:val="24"/>
                <w:szCs w:val="24"/>
              </w:rPr>
              <w:t>35,379</w:t>
            </w:r>
          </w:p>
        </w:tc>
        <w:tc>
          <w:tcPr>
            <w:tcW w:w="1462" w:type="dxa"/>
            <w:tcBorders>
              <w:top w:val="nil"/>
              <w:left w:val="nil"/>
              <w:bottom w:val="nil"/>
              <w:right w:val="single" w:color="008000" w:sz="4" w:space="0"/>
            </w:tcBorders>
            <w:shd w:val="clear" w:color="auto" w:fill="FFFFFF"/>
            <w:vAlign w:val="center"/>
          </w:tcPr>
          <w:p>
            <w:pPr>
              <w:tabs>
                <w:tab w:val="center" w:pos="4320"/>
                <w:tab w:val="right" w:pos="8640"/>
              </w:tabs>
              <w:adjustRightInd w:val="0"/>
              <w:snapToGrid w:val="0"/>
              <w:jc w:val="center"/>
              <w:rPr>
                <w:rFonts w:ascii="Times New Roman" w:hAnsi="Times New Roman" w:cs="Times New Roman"/>
                <w:sz w:val="24"/>
                <w:szCs w:val="24"/>
              </w:rPr>
            </w:pPr>
            <w:r>
              <w:rPr>
                <w:rFonts w:ascii="Times New Roman" w:hAnsi="Times New Roman" w:cs="Times New Roman"/>
                <w:sz w:val="24"/>
                <w:szCs w:val="24"/>
              </w:rPr>
              <w:t>–10,731</w:t>
            </w:r>
          </w:p>
        </w:tc>
        <w:tc>
          <w:tcPr>
            <w:tcW w:w="1465" w:type="dxa"/>
            <w:tcBorders>
              <w:top w:val="nil"/>
              <w:left w:val="nil"/>
              <w:bottom w:val="nil"/>
              <w:right w:val="nil"/>
            </w:tcBorders>
            <w:shd w:val="clear" w:color="auto" w:fill="FFFFFF"/>
            <w:vAlign w:val="center"/>
          </w:tcPr>
          <w:p>
            <w:pPr>
              <w:tabs>
                <w:tab w:val="center" w:pos="4320"/>
                <w:tab w:val="right" w:pos="8640"/>
              </w:tabs>
              <w:adjustRightInd w:val="0"/>
              <w:snapToGrid w:val="0"/>
              <w:jc w:val="center"/>
              <w:rPr>
                <w:rFonts w:ascii="Times New Roman" w:hAnsi="Times New Roman" w:cs="Times New Roman"/>
                <w:sz w:val="24"/>
                <w:szCs w:val="24"/>
              </w:rPr>
            </w:pPr>
            <w:r>
              <w:rPr>
                <w:rFonts w:ascii="Times New Roman" w:hAnsi="Times New Roman" w:cs="Times New Roman"/>
                <w:sz w:val="24"/>
                <w:szCs w:val="24"/>
              </w:rPr>
              <w:t>1,195</w:t>
            </w:r>
          </w:p>
        </w:tc>
      </w:tr>
      <w:tr>
        <w:tblPrEx>
          <w:tblLayout w:type="fixed"/>
          <w:tblCellMar>
            <w:top w:w="0" w:type="dxa"/>
            <w:left w:w="0" w:type="dxa"/>
            <w:bottom w:w="0" w:type="dxa"/>
            <w:right w:w="0" w:type="dxa"/>
          </w:tblCellMar>
        </w:tblPrEx>
        <w:trPr>
          <w:trHeight w:val="369" w:hRule="atLeast"/>
          <w:jc w:val="center"/>
        </w:trPr>
        <w:tc>
          <w:tcPr>
            <w:tcW w:w="2632" w:type="dxa"/>
            <w:tcBorders>
              <w:top w:val="nil"/>
              <w:left w:val="nil"/>
              <w:bottom w:val="single" w:color="008000" w:sz="12" w:space="0"/>
              <w:right w:val="single" w:color="008000" w:sz="4" w:space="0"/>
            </w:tcBorders>
            <w:shd w:val="clear" w:color="auto" w:fill="CCFFCC"/>
            <w:vAlign w:val="center"/>
          </w:tcPr>
          <w:p>
            <w:pPr>
              <w:tabs>
                <w:tab w:val="center" w:pos="4320"/>
                <w:tab w:val="right" w:pos="8640"/>
              </w:tabs>
              <w:adjustRightInd w:val="0"/>
              <w:snapToGrid w:val="0"/>
              <w:rPr>
                <w:rFonts w:ascii="Times New Roman" w:hAnsi="Times New Roman" w:cs="Times New Roman"/>
                <w:sz w:val="24"/>
                <w:szCs w:val="24"/>
              </w:rPr>
            </w:pPr>
            <w:r>
              <w:rPr>
                <w:rFonts w:ascii="Times New Roman" w:hAnsi="Times New Roman" w:cs="Times New Roman"/>
                <w:sz w:val="24"/>
                <w:szCs w:val="24"/>
              </w:rPr>
              <w:t>Other financial institutions and vehicles</w:t>
            </w:r>
            <w:r>
              <w:rPr>
                <w:rFonts w:cs="Times New Roman"/>
                <w:sz w:val="24"/>
                <w:szCs w:val="24"/>
              </w:rPr>
              <w:t>⑥</w:t>
            </w:r>
          </w:p>
        </w:tc>
        <w:tc>
          <w:tcPr>
            <w:tcW w:w="1462" w:type="dxa"/>
            <w:tcBorders>
              <w:top w:val="nil"/>
              <w:left w:val="nil"/>
              <w:bottom w:val="single" w:color="339966" w:sz="12" w:space="0"/>
              <w:right w:val="single" w:color="008000" w:sz="4" w:space="0"/>
            </w:tcBorders>
            <w:shd w:val="clear" w:color="auto" w:fill="CCFFCC"/>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790,342</w:t>
            </w:r>
          </w:p>
        </w:tc>
        <w:tc>
          <w:tcPr>
            <w:tcW w:w="1462" w:type="dxa"/>
            <w:tcBorders>
              <w:top w:val="nil"/>
              <w:left w:val="nil"/>
              <w:bottom w:val="single" w:color="339966" w:sz="12" w:space="0"/>
              <w:right w:val="single" w:color="008000" w:sz="4" w:space="0"/>
            </w:tcBorders>
            <w:shd w:val="clear" w:color="auto" w:fill="CCFFCC"/>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581,596</w:t>
            </w:r>
          </w:p>
        </w:tc>
        <w:tc>
          <w:tcPr>
            <w:tcW w:w="1462" w:type="dxa"/>
            <w:tcBorders>
              <w:top w:val="nil"/>
              <w:left w:val="nil"/>
              <w:bottom w:val="single" w:color="339966" w:sz="12" w:space="0"/>
              <w:right w:val="single" w:color="008000" w:sz="4" w:space="0"/>
            </w:tcBorders>
            <w:shd w:val="clear" w:color="auto" w:fill="CCFFCC"/>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54,266</w:t>
            </w:r>
          </w:p>
        </w:tc>
        <w:tc>
          <w:tcPr>
            <w:tcW w:w="1465" w:type="dxa"/>
            <w:tcBorders>
              <w:top w:val="nil"/>
              <w:left w:val="nil"/>
              <w:bottom w:val="single" w:color="339966" w:sz="12" w:space="0"/>
              <w:right w:val="nil"/>
            </w:tcBorders>
            <w:shd w:val="clear" w:color="auto" w:fill="CCFFCC"/>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29,568</w:t>
            </w:r>
          </w:p>
        </w:tc>
      </w:tr>
    </w:tbl>
    <w:p>
      <w:pPr>
        <w:autoSpaceDE w:val="0"/>
        <w:autoSpaceDN w:val="0"/>
        <w:adjustRightInd w:val="0"/>
        <w:snapToGrid w:val="0"/>
        <w:rPr>
          <w:rFonts w:ascii="Times New Roman" w:hAnsi="Times New Roman" w:cs="Times New Roman"/>
          <w:sz w:val="24"/>
          <w:szCs w:val="24"/>
        </w:rPr>
      </w:pPr>
      <w:r>
        <w:rPr>
          <w:rFonts w:ascii="Times New Roman" w:hAnsi="Times New Roman" w:cs="Times New Roman"/>
          <w:sz w:val="24"/>
          <w:szCs w:val="24"/>
        </w:rPr>
        <w:t>Notes：</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 1 \* GB3 </w:instrText>
      </w:r>
      <w:r>
        <w:rPr>
          <w:rFonts w:ascii="Times New Roman" w:hAnsi="Times New Roman" w:cs="Times New Roman"/>
          <w:sz w:val="24"/>
          <w:szCs w:val="24"/>
        </w:rPr>
        <w:fldChar w:fldCharType="separate"/>
      </w:r>
      <w:r>
        <w:rPr>
          <w:rFonts w:cs="Times New Roman"/>
          <w:sz w:val="24"/>
          <w:szCs w:val="24"/>
        </w:rPr>
        <w:t>①</w:t>
      </w:r>
      <w:r>
        <w:rPr>
          <w:rFonts w:ascii="Times New Roman" w:hAnsi="Times New Roman" w:cs="Times New Roman"/>
          <w:sz w:val="24"/>
          <w:szCs w:val="24"/>
        </w:rPr>
        <w:fldChar w:fldCharType="end"/>
      </w:r>
      <w:r>
        <w:rPr>
          <w:rFonts w:ascii="Times New Roman" w:hAnsi="Times New Roman" w:cs="Times New Roman"/>
          <w:sz w:val="24"/>
          <w:szCs w:val="24"/>
        </w:rPr>
        <w:t xml:space="preserve">Chinese-funded large banks include the Industrial and Commercial Bank of China, the Agricultural Bank of China, the Bank of China, the China Construction Bank, the China Development Bank, the Bank of Communications, and the Postal Savings Bank of China. </w:t>
      </w:r>
    </w:p>
    <w:p>
      <w:pPr>
        <w:autoSpaceDE w:val="0"/>
        <w:autoSpaceDN w:val="0"/>
        <w:adjustRightInd w:val="0"/>
        <w:snapToGrid w:val="0"/>
        <w:rPr>
          <w:rFonts w:ascii="Times New Roman" w:hAnsi="Times New Roman" w:cs="Times New Roman"/>
          <w:sz w:val="24"/>
          <w:szCs w:val="24"/>
        </w:rPr>
      </w:pPr>
      <w:r>
        <w:rPr>
          <w:rFonts w:cs="Times New Roman"/>
          <w:sz w:val="24"/>
          <w:szCs w:val="24"/>
        </w:rPr>
        <w:t>②</w:t>
      </w:r>
      <w:r>
        <w:rPr>
          <w:rFonts w:ascii="Times New Roman" w:hAnsi="Times New Roman" w:cs="Times New Roman"/>
          <w:sz w:val="24"/>
          <w:szCs w:val="24"/>
        </w:rPr>
        <w:t>Chinese-funded medium-sized banks refer to policy banks, the China Merchants Bank, and the eight other joint-equity commercial banks, the Bank of Beijing, the Bank of Shanghai, and the Bank of Jiangsu.</w:t>
      </w:r>
    </w:p>
    <w:p>
      <w:pPr>
        <w:autoSpaceDE w:val="0"/>
        <w:autoSpaceDN w:val="0"/>
        <w:adjustRightInd w:val="0"/>
        <w:snapToGrid w:val="0"/>
        <w:rPr>
          <w:rFonts w:ascii="Times New Roman" w:hAnsi="Times New Roman" w:cs="Times New Roman"/>
          <w:sz w:val="24"/>
          <w:szCs w:val="24"/>
        </w:rPr>
      </w:pPr>
      <w:r>
        <w:rPr>
          <w:rFonts w:cs="Times New Roman"/>
          <w:sz w:val="24"/>
          <w:szCs w:val="24"/>
        </w:rPr>
        <w:t>③</w:t>
      </w:r>
      <w:r>
        <w:rPr>
          <w:rFonts w:ascii="Times New Roman" w:hAnsi="Times New Roman" w:cs="Times New Roman"/>
          <w:sz w:val="24"/>
          <w:szCs w:val="24"/>
        </w:rPr>
        <w:t xml:space="preserve">Chinese-funded small-sized banks refer to Hengfeng Bank, China Zheshang Bank, China Bohai Bank, other city commercial banks, rural commercial banks, rural cooperative banks, private banks, and village and township banks. </w:t>
      </w:r>
    </w:p>
    <w:p>
      <w:pPr>
        <w:autoSpaceDE w:val="0"/>
        <w:autoSpaceDN w:val="0"/>
        <w:adjustRightInd w:val="0"/>
        <w:snapToGrid w:val="0"/>
        <w:rPr>
          <w:rFonts w:ascii="Times New Roman" w:hAnsi="Times New Roman" w:cs="Times New Roman"/>
          <w:sz w:val="24"/>
          <w:szCs w:val="24"/>
        </w:rPr>
      </w:pPr>
      <w:r>
        <w:rPr>
          <w:rFonts w:cs="Times New Roman"/>
          <w:sz w:val="24"/>
          <w:szCs w:val="24"/>
        </w:rPr>
        <w:t>④</w:t>
      </w:r>
      <w:r>
        <w:rPr>
          <w:rFonts w:ascii="Times New Roman" w:hAnsi="Times New Roman" w:cs="Times New Roman"/>
          <w:sz w:val="24"/>
          <w:szCs w:val="24"/>
        </w:rPr>
        <w:t xml:space="preserve">Securities institutions include securities firms and fund-management and futures companies. </w:t>
      </w:r>
    </w:p>
    <w:p>
      <w:pPr>
        <w:autoSpaceDE w:val="0"/>
        <w:autoSpaceDN w:val="0"/>
        <w:adjustRightInd w:val="0"/>
        <w:snapToGrid w:val="0"/>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 5 \* GB3 </w:instrText>
      </w:r>
      <w:r>
        <w:rPr>
          <w:rFonts w:ascii="Times New Roman" w:hAnsi="Times New Roman" w:cs="Times New Roman"/>
          <w:sz w:val="24"/>
          <w:szCs w:val="24"/>
        </w:rPr>
        <w:fldChar w:fldCharType="separate"/>
      </w:r>
      <w:r>
        <w:rPr>
          <w:rFonts w:cs="Times New Roman"/>
          <w:sz w:val="24"/>
          <w:szCs w:val="24"/>
        </w:rPr>
        <w:t>⑤</w:t>
      </w:r>
      <w:r>
        <w:rPr>
          <w:rFonts w:ascii="Times New Roman" w:hAnsi="Times New Roman" w:cs="Times New Roman"/>
          <w:sz w:val="24"/>
          <w:szCs w:val="24"/>
        </w:rPr>
        <w:fldChar w:fldCharType="end"/>
      </w:r>
      <w:r>
        <w:rPr>
          <w:rFonts w:ascii="Times New Roman" w:hAnsi="Times New Roman" w:cs="Times New Roman"/>
          <w:sz w:val="24"/>
          <w:szCs w:val="24"/>
        </w:rPr>
        <w:t xml:space="preserve">Insurance institutions include insurance firms and corporate annuities. </w:t>
      </w:r>
    </w:p>
    <w:p>
      <w:pPr>
        <w:autoSpaceDE w:val="0"/>
        <w:autoSpaceDN w:val="0"/>
        <w:adjustRightInd w:val="0"/>
        <w:snapToGrid w:val="0"/>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 6 \* GB3 </w:instrText>
      </w:r>
      <w:r>
        <w:rPr>
          <w:rFonts w:ascii="Times New Roman" w:hAnsi="Times New Roman" w:cs="Times New Roman"/>
          <w:sz w:val="24"/>
          <w:szCs w:val="24"/>
        </w:rPr>
        <w:fldChar w:fldCharType="separate"/>
      </w:r>
      <w:r>
        <w:rPr>
          <w:rFonts w:cs="Times New Roman"/>
          <w:sz w:val="24"/>
          <w:szCs w:val="24"/>
        </w:rPr>
        <w:t>⑥</w:t>
      </w:r>
      <w:r>
        <w:rPr>
          <w:rFonts w:ascii="Times New Roman" w:hAnsi="Times New Roman" w:cs="Times New Roman"/>
          <w:sz w:val="24"/>
          <w:szCs w:val="24"/>
        </w:rPr>
        <w:fldChar w:fldCharType="end"/>
      </w:r>
      <w:r>
        <w:rPr>
          <w:rFonts w:ascii="Times New Roman" w:hAnsi="Times New Roman" w:cs="Times New Roman"/>
          <w:sz w:val="24"/>
          <w:szCs w:val="24"/>
        </w:rPr>
        <w:t xml:space="preserve">Other financial institutions and vehicles include urban credit cooperatives, rural credit cooperatives, finance companies, trust and investment companies, financial leasing companies, asset-management companies, social-security funds, mutual funds, wealth management products, trust plans, and other investment vehicles. Some of these financial institutions and vehicles do not participate in the interbank lending market. </w:t>
      </w:r>
    </w:p>
    <w:p>
      <w:pPr>
        <w:autoSpaceDE w:val="0"/>
        <w:autoSpaceDN w:val="0"/>
        <w:adjustRightInd w:val="0"/>
        <w:snapToGrid w:val="0"/>
        <w:rPr>
          <w:rFonts w:ascii="Times New Roman" w:hAnsi="Times New Roman" w:cs="Times New Roman"/>
          <w:sz w:val="24"/>
          <w:szCs w:val="24"/>
        </w:rPr>
      </w:pPr>
      <w:r>
        <w:rPr>
          <w:rFonts w:cs="Times New Roman"/>
          <w:sz w:val="24"/>
          <w:szCs w:val="24"/>
        </w:rPr>
        <w:t>⑦</w:t>
      </w:r>
      <w:r>
        <w:rPr>
          <w:rFonts w:ascii="Times New Roman" w:hAnsi="Times New Roman" w:cs="Times New Roman"/>
          <w:sz w:val="24"/>
          <w:szCs w:val="24"/>
        </w:rPr>
        <w:t xml:space="preserve">A negative sign indicates net lending and a positive sign indicates net borrowing. </w:t>
      </w:r>
    </w:p>
    <w:p>
      <w:pPr>
        <w:autoSpaceDE w:val="0"/>
        <w:autoSpaceDN w:val="0"/>
        <w:adjustRightInd w:val="0"/>
        <w:snapToGrid w:val="0"/>
        <w:rPr>
          <w:rFonts w:ascii="Times New Roman" w:hAnsi="Times New Roman" w:cs="Times New Roman"/>
          <w:sz w:val="24"/>
          <w:szCs w:val="24"/>
        </w:rPr>
      </w:pPr>
      <w:r>
        <w:rPr>
          <w:rFonts w:ascii="Times New Roman" w:hAnsi="Times New Roman" w:cs="Times New Roman"/>
          <w:sz w:val="24"/>
          <w:szCs w:val="24"/>
        </w:rPr>
        <w:t xml:space="preserve">Source: China Foreign Exchange Trade System. </w:t>
      </w:r>
    </w:p>
    <w:p>
      <w:pPr>
        <w:autoSpaceDE w:val="0"/>
        <w:autoSpaceDN w:val="0"/>
        <w:spacing w:beforeLines="50"/>
        <w:ind w:firstLine="436" w:firstLineChars="182"/>
        <w:rPr>
          <w:rFonts w:ascii="Times New Roman" w:hAnsi="Times New Roman" w:cs="Times New Roman"/>
          <w:sz w:val="24"/>
          <w:szCs w:val="24"/>
        </w:rPr>
      </w:pPr>
      <w:r>
        <w:rPr>
          <w:rFonts w:ascii="Times New Roman" w:hAnsi="Times New Roman" w:cs="Times New Roman"/>
          <w:sz w:val="24"/>
          <w:szCs w:val="24"/>
        </w:rPr>
        <w:tab/>
      </w:r>
    </w:p>
    <w:p>
      <w:pPr>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 xml:space="preserve">The interbank CD and CD businesses witnessed orderly development. </w:t>
      </w:r>
      <w:r>
        <w:rPr>
          <w:rFonts w:ascii="Times New Roman" w:hAnsi="Times New Roman" w:cs="Times New Roman"/>
          <w:sz w:val="24"/>
          <w:szCs w:val="24"/>
        </w:rPr>
        <w:t>In H1, a total of 12,464 interbank CDs was issued on the interbank market, raising RMB 8.35 trillion. Trading volume on the secondary market totaled RMB 74.26 trillion and the issuance and trading of interbank CDs were all priced with reference to the Shibor. The correlation between the issuance rate of interbank CDs and the mid- and long-term Shibor has been further enhanced. In Q2 of 2019, the average weighted interest rate of 3-month interbank CDs was 2.96 percent, 9 basis points higher than that of the 3-month Shibor. A total of 25,927 CDs was issued by financial institutions, raising RMB 7.23 trillion and with a gain of RMB 3.11 trillion year on year. After the Baoshang Bank was taken over, issuance of interbank CDs was affected. The PBC and other relevant departments boosted market confidence by promoting the replacement of the stock of interbank CDs of the Baoshang Bank and adopting support tools for bond financing by private firms to provide credit enhancement, which promoted a rebound of issuances and subscriptions on the interbank CD market.</w:t>
      </w:r>
    </w:p>
    <w:p>
      <w:pPr>
        <w:ind w:firstLine="482" w:firstLineChars="200"/>
        <w:rPr>
          <w:rFonts w:ascii="Times New Roman" w:hAnsi="Times New Roman" w:cs="Times New Roman"/>
          <w:b/>
          <w:bCs/>
          <w:sz w:val="24"/>
          <w:szCs w:val="24"/>
        </w:rPr>
      </w:pPr>
    </w:p>
    <w:p>
      <w:pPr>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The size of interest-rate swaps declined.</w:t>
      </w:r>
      <w:r>
        <w:rPr>
          <w:rFonts w:ascii="Times New Roman" w:hAnsi="Times New Roman" w:cs="Times New Roman"/>
          <w:sz w:val="24"/>
          <w:szCs w:val="24"/>
        </w:rPr>
        <w:t xml:space="preserve"> In H1 of 2019, 114,000 deals were reached on the RMB interest-rate swap market, up 24.1 percent year on year, with the volume of the notional principal totaling RMB 8.28 trillion, a decrease of 25.9 percent year on year. In terms of the maturity structure, contracts with maturities of up to one year traded most briskly and the volume of the notional principal posted RMB 4.81 trillion, accounting for 58 percent of the total. In terms of the reference rates, the 7-day fixed repo rate and the Shibor served as the reference rates for the floating leg of RMB interest-rate swap transactions, accounting for 74.7 percent and 23.6 percent respectively of the total notional principal of interest-rate swaps.</w:t>
      </w:r>
    </w:p>
    <w:p>
      <w:pPr>
        <w:autoSpaceDE w:val="0"/>
        <w:autoSpaceDN w:val="0"/>
        <w:adjustRightInd w:val="0"/>
        <w:rPr>
          <w:rFonts w:ascii="Times New Roman" w:hAnsi="Times New Roman" w:cs="Times New Roman"/>
          <w:sz w:val="24"/>
          <w:szCs w:val="24"/>
        </w:rPr>
      </w:pPr>
    </w:p>
    <w:p>
      <w:pPr>
        <w:pStyle w:val="5"/>
        <w:jc w:val="center"/>
      </w:pPr>
      <w:bookmarkStart w:id="126" w:name="_Toc524442948"/>
      <w:bookmarkStart w:id="127" w:name="_Toc477878114"/>
      <w:bookmarkStart w:id="128" w:name="_Toc17809070"/>
      <w:r>
        <w:rPr>
          <w:rFonts w:ascii="Times New Roman" w:hAnsi="Times New Roman" w:cs="Times New Roman"/>
          <w:b/>
          <w:bCs/>
          <w:sz w:val="24"/>
          <w:szCs w:val="24"/>
        </w:rPr>
        <w:t xml:space="preserve">Table </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SEQ Table \* ARABIC </w:instrText>
      </w:r>
      <w:r>
        <w:rPr>
          <w:rFonts w:ascii="Times New Roman" w:hAnsi="Times New Roman" w:cs="Times New Roman"/>
          <w:b/>
          <w:bCs/>
          <w:sz w:val="24"/>
          <w:szCs w:val="24"/>
        </w:rPr>
        <w:fldChar w:fldCharType="separate"/>
      </w:r>
      <w:r>
        <w:rPr>
          <w:rFonts w:ascii="Times New Roman" w:hAnsi="Times New Roman" w:cs="Times New Roman"/>
          <w:b/>
          <w:bCs/>
          <w:sz w:val="24"/>
          <w:szCs w:val="24"/>
        </w:rPr>
        <w:t>9</w:t>
      </w:r>
      <w:r>
        <w:rPr>
          <w:rFonts w:ascii="Times New Roman" w:hAnsi="Times New Roman" w:cs="Times New Roman"/>
          <w:b/>
          <w:bCs/>
          <w:sz w:val="24"/>
          <w:szCs w:val="24"/>
        </w:rPr>
        <w:fldChar w:fldCharType="end"/>
      </w:r>
      <w:r>
        <w:rPr>
          <w:rFonts w:hint="eastAsia" w:ascii="Times New Roman" w:hAnsi="Times New Roman" w:cs="Times New Roman"/>
          <w:b/>
          <w:bCs/>
          <w:sz w:val="24"/>
          <w:szCs w:val="24"/>
        </w:rPr>
        <w:t xml:space="preserve"> </w:t>
      </w:r>
      <w:r>
        <w:rPr>
          <w:rFonts w:ascii="Times New Roman" w:hAnsi="Times New Roman" w:cs="Times New Roman"/>
          <w:b/>
          <w:bCs/>
          <w:sz w:val="24"/>
          <w:szCs w:val="24"/>
        </w:rPr>
        <w:t>Transactions of Interest-Rate Swaps, H1 201</w:t>
      </w:r>
      <w:bookmarkEnd w:id="126"/>
      <w:bookmarkEnd w:id="127"/>
      <w:r>
        <w:rPr>
          <w:rFonts w:ascii="Times New Roman" w:hAnsi="Times New Roman" w:cs="Times New Roman"/>
          <w:b/>
          <w:bCs/>
          <w:sz w:val="24"/>
          <w:szCs w:val="24"/>
        </w:rPr>
        <w:t>9</w:t>
      </w:r>
      <w:bookmarkEnd w:id="128"/>
    </w:p>
    <w:tbl>
      <w:tblPr>
        <w:tblStyle w:val="14"/>
        <w:tblW w:w="8332" w:type="dxa"/>
        <w:jc w:val="center"/>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47"/>
        <w:gridCol w:w="2410"/>
        <w:gridCol w:w="4775"/>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340" w:hRule="atLeast"/>
          <w:jc w:val="center"/>
        </w:trPr>
        <w:tc>
          <w:tcPr>
            <w:tcW w:w="1147" w:type="dxa"/>
            <w:tcBorders>
              <w:top w:val="single" w:color="339966" w:sz="12" w:space="0"/>
              <w:left w:val="nil"/>
              <w:bottom w:val="single" w:color="339966" w:sz="4" w:space="0"/>
              <w:right w:val="single" w:color="339966" w:sz="4" w:space="0"/>
            </w:tcBorders>
            <w:shd w:val="clear" w:color="auto" w:fill="CCFFCC"/>
            <w:vAlign w:val="center"/>
          </w:tcPr>
          <w:p>
            <w:pPr>
              <w:keepNext/>
              <w:keepLines/>
              <w:spacing w:beforeLines="200" w:afterLines="100"/>
              <w:jc w:val="center"/>
              <w:outlineLvl w:val="0"/>
              <w:rPr>
                <w:rFonts w:ascii="Times New Roman" w:hAnsi="Times New Roman" w:cs="Times New Roman"/>
                <w:sz w:val="24"/>
                <w:szCs w:val="24"/>
              </w:rPr>
            </w:pPr>
          </w:p>
        </w:tc>
        <w:tc>
          <w:tcPr>
            <w:tcW w:w="2410" w:type="dxa"/>
            <w:tcBorders>
              <w:top w:val="single" w:color="339966" w:sz="6" w:space="0"/>
              <w:left w:val="single" w:color="339966" w:sz="4" w:space="0"/>
              <w:bottom w:val="single" w:color="339966" w:sz="4" w:space="0"/>
              <w:right w:val="single" w:color="339966" w:sz="4" w:space="0"/>
            </w:tcBorders>
            <w:shd w:val="clear" w:color="auto" w:fill="CCFFCC"/>
            <w:tcMar>
              <w:top w:w="13" w:type="dxa"/>
              <w:left w:w="13" w:type="dxa"/>
              <w:bottom w:w="0" w:type="dxa"/>
              <w:right w:w="13" w:type="dxa"/>
            </w:tcMar>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Transactions (lots)</w:t>
            </w:r>
          </w:p>
        </w:tc>
        <w:tc>
          <w:tcPr>
            <w:tcW w:w="4775" w:type="dxa"/>
            <w:tcBorders>
              <w:top w:val="single" w:color="339966" w:sz="6" w:space="0"/>
              <w:left w:val="single" w:color="339966" w:sz="4" w:space="0"/>
              <w:bottom w:val="single" w:color="339966" w:sz="4" w:space="0"/>
              <w:right w:val="single" w:color="339966" w:sz="4" w:space="0"/>
            </w:tcBorders>
            <w:shd w:val="clear" w:color="auto" w:fill="CCFFCC"/>
            <w:tcMar>
              <w:top w:w="13" w:type="dxa"/>
              <w:left w:w="13" w:type="dxa"/>
              <w:bottom w:w="0" w:type="dxa"/>
              <w:right w:w="13" w:type="dxa"/>
            </w:tcMar>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Amount of the notional principal (RMB 100 million)</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1147" w:type="dxa"/>
            <w:tcBorders>
              <w:top w:val="single" w:color="339966" w:sz="4" w:space="0"/>
              <w:left w:val="nil"/>
              <w:bottom w:val="single" w:color="339966" w:sz="4" w:space="0"/>
              <w:right w:val="single" w:color="339966" w:sz="4" w:space="0"/>
            </w:tcBorders>
            <w:tcMar>
              <w:top w:w="13" w:type="dxa"/>
              <w:left w:w="13" w:type="dxa"/>
              <w:bottom w:w="0" w:type="dxa"/>
              <w:right w:w="13" w:type="dxa"/>
            </w:tcMar>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H1 2019</w:t>
            </w:r>
          </w:p>
        </w:tc>
        <w:tc>
          <w:tcPr>
            <w:tcW w:w="2410" w:type="dxa"/>
            <w:tcBorders>
              <w:top w:val="single" w:color="339966" w:sz="4" w:space="0"/>
              <w:left w:val="single" w:color="339966" w:sz="4" w:space="0"/>
              <w:bottom w:val="single" w:color="339966" w:sz="4" w:space="0"/>
              <w:right w:val="single" w:color="339966" w:sz="4" w:space="0"/>
            </w:tcBorders>
            <w:tcMar>
              <w:top w:w="13" w:type="dxa"/>
              <w:left w:w="13" w:type="dxa"/>
              <w:bottom w:w="0" w:type="dxa"/>
              <w:right w:w="13" w:type="dxa"/>
            </w:tcMar>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114,257</w:t>
            </w:r>
          </w:p>
        </w:tc>
        <w:tc>
          <w:tcPr>
            <w:tcW w:w="4775" w:type="dxa"/>
            <w:tcBorders>
              <w:top w:val="single" w:color="339966" w:sz="4" w:space="0"/>
              <w:left w:val="single" w:color="339966" w:sz="4" w:space="0"/>
              <w:bottom w:val="single" w:color="339966" w:sz="4" w:space="0"/>
              <w:right w:val="single" w:color="339966" w:sz="4" w:space="0"/>
            </w:tcBorders>
            <w:tcMar>
              <w:top w:w="13" w:type="dxa"/>
              <w:left w:w="13" w:type="dxa"/>
              <w:bottom w:w="0" w:type="dxa"/>
              <w:right w:w="13" w:type="dxa"/>
            </w:tcMar>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82,820.14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1147" w:type="dxa"/>
            <w:tcBorders>
              <w:top w:val="single" w:color="339966" w:sz="4" w:space="0"/>
              <w:left w:val="nil"/>
              <w:bottom w:val="single" w:color="339966" w:sz="12" w:space="0"/>
              <w:right w:val="single" w:color="339966" w:sz="4" w:space="0"/>
            </w:tcBorders>
            <w:shd w:val="clear" w:color="auto" w:fill="CCFFCC"/>
            <w:tcMar>
              <w:top w:w="13" w:type="dxa"/>
              <w:left w:w="13" w:type="dxa"/>
              <w:bottom w:w="0" w:type="dxa"/>
              <w:right w:w="13" w:type="dxa"/>
            </w:tcMar>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H1 2018</w:t>
            </w:r>
          </w:p>
        </w:tc>
        <w:tc>
          <w:tcPr>
            <w:tcW w:w="2410" w:type="dxa"/>
            <w:tcBorders>
              <w:top w:val="single" w:color="339966" w:sz="4" w:space="0"/>
              <w:left w:val="single" w:color="339966" w:sz="4" w:space="0"/>
              <w:bottom w:val="single" w:color="339966" w:sz="12" w:space="0"/>
              <w:right w:val="single" w:color="339966" w:sz="4" w:space="0"/>
            </w:tcBorders>
            <w:shd w:val="clear" w:color="auto" w:fill="CCFFCC"/>
            <w:tcMar>
              <w:top w:w="13" w:type="dxa"/>
              <w:left w:w="13" w:type="dxa"/>
              <w:bottom w:w="0" w:type="dxa"/>
              <w:right w:w="13" w:type="dxa"/>
            </w:tcMar>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92,040</w:t>
            </w:r>
          </w:p>
        </w:tc>
        <w:tc>
          <w:tcPr>
            <w:tcW w:w="4775" w:type="dxa"/>
            <w:tcBorders>
              <w:top w:val="single" w:color="339966" w:sz="4" w:space="0"/>
              <w:left w:val="single" w:color="339966" w:sz="4" w:space="0"/>
              <w:bottom w:val="single" w:color="339966" w:sz="12" w:space="0"/>
              <w:right w:val="single" w:color="339966" w:sz="4" w:space="0"/>
            </w:tcBorders>
            <w:shd w:val="clear" w:color="auto" w:fill="CCFFCC"/>
            <w:tcMar>
              <w:top w:w="13" w:type="dxa"/>
              <w:left w:w="13" w:type="dxa"/>
              <w:bottom w:w="0" w:type="dxa"/>
              <w:right w:w="13" w:type="dxa"/>
            </w:tcMar>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111,829.78</w:t>
            </w:r>
          </w:p>
        </w:tc>
      </w:tr>
    </w:tbl>
    <w:p>
      <w:pPr>
        <w:autoSpaceDE w:val="0"/>
        <w:autoSpaceDN w:val="0"/>
        <w:adjustRightInd w:val="0"/>
        <w:snapToGrid w:val="0"/>
        <w:rPr>
          <w:rFonts w:ascii="Times New Roman" w:hAnsi="Times New Roman" w:cs="Times New Roman"/>
          <w:sz w:val="24"/>
          <w:szCs w:val="24"/>
        </w:rPr>
      </w:pPr>
      <w:r>
        <w:rPr>
          <w:rFonts w:ascii="Times New Roman" w:hAnsi="Times New Roman" w:cs="Times New Roman"/>
          <w:sz w:val="24"/>
          <w:szCs w:val="24"/>
        </w:rPr>
        <w:t xml:space="preserve">Source: China Foreign Exchange Trade System. </w:t>
      </w:r>
    </w:p>
    <w:p>
      <w:pPr>
        <w:rPr>
          <w:rFonts w:ascii="Times New Roman" w:hAnsi="Times New Roman" w:cs="Times New Roman"/>
          <w:sz w:val="24"/>
          <w:szCs w:val="24"/>
        </w:rPr>
      </w:pPr>
    </w:p>
    <w:p>
      <w:pPr>
        <w:autoSpaceDE w:val="0"/>
        <w:autoSpaceDN w:val="0"/>
        <w:adjustRightInd w:val="0"/>
        <w:rPr>
          <w:rFonts w:ascii="Times New Roman" w:hAnsi="Times New Roman" w:eastAsia="黑体" w:cs="Times New Roman"/>
          <w:b/>
          <w:bCs/>
          <w:sz w:val="24"/>
          <w:szCs w:val="24"/>
        </w:rPr>
      </w:pPr>
      <w:r>
        <w:rPr>
          <w:rFonts w:ascii="Times New Roman" w:hAnsi="Times New Roman" w:eastAsia="黑体" w:cs="Times New Roman"/>
          <w:b/>
          <w:bCs/>
          <w:sz w:val="24"/>
          <w:szCs w:val="24"/>
        </w:rPr>
        <w:t>2. The coupon rate of corporate debenture bonds declined, and transactions and issuances of spot bonds expanded</w:t>
      </w:r>
    </w:p>
    <w:p>
      <w:pPr>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The government bond yield curve moved upward.</w:t>
      </w:r>
      <w:r>
        <w:rPr>
          <w:rFonts w:ascii="Times New Roman" w:hAnsi="Times New Roman" w:cs="Times New Roman"/>
          <w:sz w:val="24"/>
          <w:szCs w:val="24"/>
        </w:rPr>
        <w:t xml:space="preserve"> In Q2 of 2019, government bond yields of all maturities generally increased. At end-June, the yield of 1-year, 3-year, 5-year, 7-year, and 10-year government bonds posted 2.64 percent, 2.94 percent, 3.06 percent, 3.26 percent, and 3.23 percent respectively, up 21 basis points, 23 basis points, 10 basis points, 15 basis points, and 16 basis points respectively from end-March. The spread between 1-year and 10-year government bonds was 58 basis points, with a decrease of 5 basis points from end-March. The China Bond Composite Index (net price) and the China Bond Composite Index (full price) declined moderately from 102.14 points and 119.36 points at end-March to 101.81 points and 119.08 points at end-June respectively, recording a decrease of 0.3 percent and 0.2 percent. The Shanghai Securities Exchange T-Bond Index rose from 172.02 points at end-March to 173.31 points at end-June, registering an increase of 0.7 percent.</w:t>
      </w:r>
    </w:p>
    <w:p>
      <w:pPr>
        <w:ind w:firstLine="480" w:firstLineChars="200"/>
        <w:jc w:val="center"/>
        <w:rPr>
          <w:rFonts w:ascii="Times New Roman" w:hAnsi="Times New Roman" w:cs="Times New Roman"/>
          <w:sz w:val="24"/>
          <w:szCs w:val="24"/>
        </w:rPr>
      </w:pPr>
    </w:p>
    <w:p>
      <w:pPr>
        <w:pStyle w:val="5"/>
        <w:jc w:val="center"/>
      </w:pPr>
      <w:bookmarkStart w:id="129" w:name="_Toc17812263"/>
      <w:bookmarkStart w:id="130" w:name="_Toc524442955"/>
      <w:r>
        <w:rPr>
          <w:rFonts w:ascii="Times New Roman" w:hAnsi="Times New Roman" w:cs="Times New Roman"/>
          <w:b/>
          <w:bCs/>
          <w:sz w:val="24"/>
          <w:szCs w:val="24"/>
        </w:rPr>
        <w:t xml:space="preserve">Figure </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SEQ Figure \* ARABIC </w:instrText>
      </w:r>
      <w:r>
        <w:rPr>
          <w:rFonts w:ascii="Times New Roman" w:hAnsi="Times New Roman" w:cs="Times New Roman"/>
          <w:b/>
          <w:bCs/>
          <w:sz w:val="24"/>
          <w:szCs w:val="24"/>
        </w:rPr>
        <w:fldChar w:fldCharType="separate"/>
      </w:r>
      <w:r>
        <w:rPr>
          <w:rFonts w:ascii="Times New Roman" w:hAnsi="Times New Roman" w:cs="Times New Roman"/>
          <w:b/>
          <w:bCs/>
          <w:sz w:val="24"/>
          <w:szCs w:val="24"/>
        </w:rPr>
        <w:t>3</w:t>
      </w:r>
      <w:r>
        <w:rPr>
          <w:rFonts w:ascii="Times New Roman" w:hAnsi="Times New Roman" w:cs="Times New Roman"/>
          <w:b/>
          <w:bCs/>
          <w:sz w:val="24"/>
          <w:szCs w:val="24"/>
        </w:rPr>
        <w:fldChar w:fldCharType="end"/>
      </w:r>
      <w:r>
        <w:rPr>
          <w:rFonts w:hint="eastAsia" w:ascii="Times New Roman" w:hAnsi="Times New Roman" w:cs="Times New Roman"/>
          <w:b/>
          <w:bCs/>
          <w:sz w:val="24"/>
          <w:szCs w:val="24"/>
        </w:rPr>
        <w:t xml:space="preserve"> </w:t>
      </w:r>
      <w:r>
        <w:rPr>
          <w:rFonts w:ascii="Times New Roman" w:hAnsi="Times New Roman" w:cs="Times New Roman"/>
          <w:b/>
          <w:bCs/>
          <w:sz w:val="24"/>
          <w:szCs w:val="24"/>
        </w:rPr>
        <w:t>Yield Curves of Government Securities on the Interbank Market</w:t>
      </w:r>
      <w:bookmarkEnd w:id="129"/>
      <w:bookmarkEnd w:id="130"/>
    </w:p>
    <w:p>
      <w:pPr>
        <w:autoSpaceDE w:val="0"/>
        <w:autoSpaceDN w:val="0"/>
        <w:adjustRightInd w:val="0"/>
        <w:snapToGrid w:val="0"/>
        <w:rPr>
          <w:rFonts w:ascii="Times New Roman" w:hAnsi="Times New Roman" w:cs="Times New Roman"/>
          <w:sz w:val="24"/>
          <w:szCs w:val="24"/>
        </w:rPr>
      </w:pPr>
      <w:r>
        <w:rPr>
          <w:rFonts w:ascii="Times New Roman" w:hAnsi="Times New Roman" w:cs="Times New Roman"/>
          <w:sz w:val="24"/>
          <w:szCs w:val="24"/>
        </w:rPr>
        <w:drawing>
          <wp:inline distT="0" distB="0" distL="0" distR="0">
            <wp:extent cx="4924425" cy="2543175"/>
            <wp:effectExtent l="19050" t="0" r="9525" b="0"/>
            <wp:docPr id="2"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框 1025"/>
                    <pic:cNvPicPr>
                      <a:picLocks noChangeAspect="1" noChangeArrowheads="1"/>
                    </pic:cNvPicPr>
                  </pic:nvPicPr>
                  <pic:blipFill>
                    <a:blip r:embed="rId12"/>
                    <a:srcRect/>
                    <a:stretch>
                      <a:fillRect/>
                    </a:stretch>
                  </pic:blipFill>
                  <pic:spPr>
                    <a:xfrm>
                      <a:off x="0" y="0"/>
                      <a:ext cx="4924425" cy="2543175"/>
                    </a:xfrm>
                    <a:prstGeom prst="rect">
                      <a:avLst/>
                    </a:prstGeom>
                    <a:noFill/>
                    <a:ln w="9525">
                      <a:noFill/>
                      <a:miter lim="800000"/>
                      <a:headEnd/>
                      <a:tailEnd/>
                    </a:ln>
                  </pic:spPr>
                </pic:pic>
              </a:graphicData>
            </a:graphic>
          </wp:inline>
        </w:drawing>
      </w:r>
    </w:p>
    <w:p>
      <w:pPr>
        <w:autoSpaceDE w:val="0"/>
        <w:autoSpaceDN w:val="0"/>
        <w:adjustRightInd w:val="0"/>
        <w:snapToGrid w:val="0"/>
        <w:rPr>
          <w:rFonts w:ascii="Times New Roman" w:hAnsi="Times New Roman" w:cs="Times New Roman"/>
          <w:sz w:val="24"/>
          <w:szCs w:val="24"/>
        </w:rPr>
      </w:pPr>
      <w:r>
        <w:rPr>
          <w:rFonts w:ascii="Times New Roman" w:hAnsi="Times New Roman" w:cs="Times New Roman"/>
          <w:sz w:val="24"/>
          <w:szCs w:val="24"/>
        </w:rPr>
        <w:t>Source: China Central Depository &amp; Clearing Co., Ltd.</w:t>
      </w:r>
    </w:p>
    <w:p>
      <w:pPr>
        <w:rPr>
          <w:rFonts w:ascii="Times New Roman" w:hAnsi="Times New Roman" w:cs="Times New Roman"/>
          <w:b/>
          <w:bCs/>
          <w:sz w:val="24"/>
          <w:szCs w:val="24"/>
        </w:rPr>
      </w:pPr>
    </w:p>
    <w:p>
      <w:pPr>
        <w:autoSpaceDE w:val="0"/>
        <w:autoSpaceDN w:val="0"/>
        <w:adjustRightInd w:val="0"/>
        <w:rPr>
          <w:rFonts w:ascii="Times New Roman" w:hAnsi="Times New Roman" w:cs="Times New Roman"/>
          <w:sz w:val="24"/>
          <w:szCs w:val="24"/>
        </w:rPr>
      </w:pPr>
      <w:bookmarkStart w:id="131" w:name="_Toc498108835"/>
      <w:bookmarkStart w:id="132" w:name="_Toc458009417"/>
      <w:r>
        <w:rPr>
          <w:rFonts w:ascii="Times New Roman" w:hAnsi="Times New Roman" w:cs="Times New Roman"/>
          <w:b/>
          <w:bCs/>
          <w:sz w:val="24"/>
          <w:szCs w:val="24"/>
        </w:rPr>
        <w:t xml:space="preserve">In general, the coupon rates of government bonds remained stable and the coupon rates of corporate debenture bonds fell. </w:t>
      </w:r>
      <w:r>
        <w:rPr>
          <w:rFonts w:ascii="Times New Roman" w:hAnsi="Times New Roman" w:cs="Times New Roman"/>
          <w:sz w:val="24"/>
          <w:szCs w:val="24"/>
        </w:rPr>
        <w:t xml:space="preserve">The coupon rate of 10-year government bonds issued in June was 3.29 percent, 4 basis points higher than those of the same maturity issued in December 2018. The coupon rate of 10-year financial bonds issued by the China Development Bank was 3.59 percent, unchanged from financial bonds of the same maturity issued in December 2018. The average rate of 1-year short-term financing bills (rated A-1) issued by AAA-rated enterprises was 3.72 percent, 30 basis points lower than those of the same maturity issued in December 2018. The average coupon rate of 5-year medium-term notes was 4.62 percent, down 49 basis points from December 2018. </w:t>
      </w:r>
      <w:r>
        <w:rPr>
          <w:rFonts w:ascii="Times New Roman" w:hAnsi="Times New Roman" w:cs="Times New Roman"/>
          <w:b/>
          <w:bCs/>
          <w:sz w:val="24"/>
          <w:szCs w:val="24"/>
        </w:rPr>
        <w:t>The Shibor continued to serve as an important benchmark rate for bond pricing</w:t>
      </w:r>
      <w:r>
        <w:rPr>
          <w:rFonts w:ascii="Times New Roman" w:hAnsi="Times New Roman" w:cs="Times New Roman"/>
          <w:sz w:val="24"/>
          <w:szCs w:val="24"/>
        </w:rPr>
        <w:t>. In H1, a total of 10 floating-rate bonds and interbank certificates of deposit were issued based on the Shibor, with a gross issuance volume of RMB 8.55 billion. A total of 194 fixed-rate enterprise bonds was issued, with a gross issuance volume of RMB 158.469 billion, all based on the Shibor. A total of RMB 118.4 billion of fixed-rate short-term financing bills was issued based on the Shibor, accounting for 49.6 percent of all fixed-rate short-term financing bills.</w:t>
      </w:r>
    </w:p>
    <w:p>
      <w:pPr>
        <w:rPr>
          <w:rFonts w:ascii="Times New Roman" w:hAnsi="Times New Roman" w:cs="Times New Roman"/>
          <w:sz w:val="24"/>
          <w:szCs w:val="24"/>
        </w:rPr>
      </w:pPr>
    </w:p>
    <w:p>
      <w:pPr>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The volume of spot bond transactions increased rapidly.</w:t>
      </w:r>
      <w:r>
        <w:rPr>
          <w:rFonts w:ascii="Times New Roman" w:hAnsi="Times New Roman" w:cs="Times New Roman"/>
          <w:sz w:val="24"/>
          <w:szCs w:val="24"/>
        </w:rPr>
        <w:t xml:space="preserve"> In H1, the cumulative volume of spot bond trading posted RMB 95 trillion, representing an average daily turnover of RMB 778.8 billion and an increase of 68.5 percent year on year. In terms of the trading participants, Chinese-funded small- and medium-sized banks and securities institutions were net bond sellers, with net sales totaling RMB 4.5 trillion, while other financial institutions and vehicles were net bond buyers, with net purchases totaling RMB 4.2 trillion. Insurance companies shifted from net sellers in Q1 of 2019 to net buyers, with net purchases totaling RMB 78.9 billion. In terms of the products, a total of RMB 16.1 trillion of spot government bonds was traded, accounting for 16.9 percent of the total spot transactions on the interbank market. The volume of spot trading of financial bonds and corporate debenture bonds was RMB 68.4 trillion and RMB 10.6 trillion respectively, accounting for 71.9 percent and 11.1 percent respectively. The volume of spot bond transactions on the stock exchanges totaled RMB 3.9 trillion, registering an increase of 32.3 percent year on year.</w:t>
      </w:r>
    </w:p>
    <w:p>
      <w:pPr>
        <w:adjustRightInd w:val="0"/>
        <w:snapToGrid w:val="0"/>
        <w:spacing w:afterLines="50"/>
        <w:rPr>
          <w:rFonts w:ascii="Times New Roman" w:hAnsi="Times New Roman" w:cs="Times New Roman"/>
          <w:sz w:val="24"/>
          <w:szCs w:val="24"/>
        </w:rPr>
      </w:pPr>
      <w:bookmarkStart w:id="133" w:name="_Toc521607179"/>
    </w:p>
    <w:p>
      <w:pPr>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Year-on-year growth in the volume of bond issuances accelerated.</w:t>
      </w:r>
      <w:r>
        <w:rPr>
          <w:rFonts w:ascii="Times New Roman" w:hAnsi="Times New Roman" w:cs="Times New Roman"/>
          <w:sz w:val="24"/>
          <w:szCs w:val="24"/>
        </w:rPr>
        <w:t xml:space="preserve"> In H1, a total of RMB 21.4 trillion of bonds was issued with a year-on-year increase of RMB 1.2 trillion. This was mainly due to the significant increase in the issuance of local government debts and corporate debenture bonds. At end-June, the total volume of outstanding bonds posted RMB 91.8 trillion, with an increase of 16.1 percent year on year.</w:t>
      </w:r>
      <w:bookmarkEnd w:id="131"/>
      <w:bookmarkEnd w:id="132"/>
      <w:bookmarkEnd w:id="133"/>
      <w:bookmarkStart w:id="134" w:name="_Toc477878115"/>
    </w:p>
    <w:bookmarkEnd w:id="134"/>
    <w:p>
      <w:pPr>
        <w:pStyle w:val="5"/>
        <w:jc w:val="center"/>
      </w:pPr>
      <w:bookmarkStart w:id="135" w:name="_Toc524442949"/>
      <w:bookmarkStart w:id="136" w:name="_Toc17809071"/>
      <w:r>
        <w:rPr>
          <w:rFonts w:ascii="Times New Roman" w:hAnsi="Times New Roman" w:cs="Times New Roman"/>
          <w:b/>
          <w:bCs/>
          <w:sz w:val="24"/>
          <w:szCs w:val="24"/>
        </w:rPr>
        <w:t xml:space="preserve">Table </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SEQ Table \* ARABIC </w:instrText>
      </w:r>
      <w:r>
        <w:rPr>
          <w:rFonts w:ascii="Times New Roman" w:hAnsi="Times New Roman" w:cs="Times New Roman"/>
          <w:b/>
          <w:bCs/>
          <w:sz w:val="24"/>
          <w:szCs w:val="24"/>
        </w:rPr>
        <w:fldChar w:fldCharType="separate"/>
      </w:r>
      <w:r>
        <w:rPr>
          <w:rFonts w:ascii="Times New Roman" w:hAnsi="Times New Roman" w:cs="Times New Roman"/>
          <w:b/>
          <w:bCs/>
          <w:sz w:val="24"/>
          <w:szCs w:val="24"/>
        </w:rPr>
        <w:t>10</w:t>
      </w:r>
      <w:r>
        <w:rPr>
          <w:rFonts w:ascii="Times New Roman" w:hAnsi="Times New Roman" w:cs="Times New Roman"/>
          <w:b/>
          <w:bCs/>
          <w:sz w:val="24"/>
          <w:szCs w:val="24"/>
        </w:rPr>
        <w:fldChar w:fldCharType="end"/>
      </w:r>
      <w:r>
        <w:rPr>
          <w:rFonts w:ascii="Times New Roman" w:hAnsi="Times New Roman" w:cs="Times New Roman"/>
          <w:b/>
          <w:bCs/>
          <w:sz w:val="24"/>
          <w:szCs w:val="24"/>
        </w:rPr>
        <w:t xml:space="preserve"> Bond Issuances, H1 201</w:t>
      </w:r>
      <w:bookmarkEnd w:id="135"/>
      <w:r>
        <w:rPr>
          <w:rFonts w:ascii="Times New Roman" w:hAnsi="Times New Roman" w:cs="Times New Roman"/>
          <w:b/>
          <w:bCs/>
          <w:sz w:val="24"/>
          <w:szCs w:val="24"/>
        </w:rPr>
        <w:t>9</w:t>
      </w:r>
      <w:bookmarkEnd w:id="136"/>
    </w:p>
    <w:p>
      <w:pPr>
        <w:keepNext/>
        <w:jc w:val="center"/>
        <w:rPr>
          <w:rFonts w:ascii="Times New Roman" w:hAnsi="Times New Roman" w:cs="Times New Roman"/>
          <w:sz w:val="24"/>
          <w:szCs w:val="24"/>
        </w:rPr>
      </w:pPr>
      <w:r>
        <w:rPr>
          <w:rFonts w:ascii="Times New Roman" w:hAnsi="Times New Roman" w:cs="Times New Roman"/>
          <w:sz w:val="24"/>
          <w:szCs w:val="24"/>
        </w:rPr>
        <w:t xml:space="preserve">                                             Unit: RMB 100 million</w:t>
      </w:r>
    </w:p>
    <w:tbl>
      <w:tblPr>
        <w:tblStyle w:val="14"/>
        <w:tblW w:w="8280" w:type="dxa"/>
        <w:tblInd w:w="2" w:type="dxa"/>
        <w:tblLayout w:type="fixed"/>
        <w:tblCellMar>
          <w:top w:w="0" w:type="dxa"/>
          <w:left w:w="0" w:type="dxa"/>
          <w:bottom w:w="0" w:type="dxa"/>
          <w:right w:w="0" w:type="dxa"/>
        </w:tblCellMar>
      </w:tblPr>
      <w:tblGrid>
        <w:gridCol w:w="4140"/>
        <w:gridCol w:w="1800"/>
        <w:gridCol w:w="2340"/>
      </w:tblGrid>
      <w:tr>
        <w:tblPrEx>
          <w:tblLayout w:type="fixed"/>
          <w:tblCellMar>
            <w:top w:w="0" w:type="dxa"/>
            <w:left w:w="0" w:type="dxa"/>
            <w:bottom w:w="0" w:type="dxa"/>
            <w:right w:w="0" w:type="dxa"/>
          </w:tblCellMar>
        </w:tblPrEx>
        <w:trPr>
          <w:trHeight w:val="315" w:hRule="atLeast"/>
        </w:trPr>
        <w:tc>
          <w:tcPr>
            <w:tcW w:w="4140" w:type="dxa"/>
            <w:tcBorders>
              <w:top w:val="single" w:color="008000" w:sz="12" w:space="0"/>
              <w:left w:val="nil"/>
              <w:bottom w:val="single" w:color="008000" w:sz="6" w:space="0"/>
              <w:right w:val="single" w:color="008000" w:sz="8" w:space="0"/>
            </w:tcBorders>
            <w:vAlign w:val="center"/>
          </w:tcPr>
          <w:p>
            <w:pPr>
              <w:jc w:val="center"/>
              <w:rPr>
                <w:rFonts w:ascii="Times New Roman" w:hAnsi="Times New Roman" w:cs="Times New Roman"/>
                <w:sz w:val="24"/>
                <w:szCs w:val="24"/>
              </w:rPr>
            </w:pPr>
            <w:r>
              <w:rPr>
                <w:rFonts w:ascii="Times New Roman" w:hAnsi="Times New Roman" w:cs="Times New Roman"/>
                <w:sz w:val="24"/>
                <w:szCs w:val="24"/>
              </w:rPr>
              <w:t>Type of bond</w:t>
            </w:r>
          </w:p>
        </w:tc>
        <w:tc>
          <w:tcPr>
            <w:tcW w:w="1800" w:type="dxa"/>
            <w:tcBorders>
              <w:top w:val="single" w:color="008000" w:sz="12" w:space="0"/>
              <w:left w:val="nil"/>
              <w:bottom w:val="single" w:color="008000" w:sz="6" w:space="0"/>
              <w:right w:val="single" w:color="008000" w:sz="8" w:space="0"/>
            </w:tcBorders>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 xml:space="preserve">Issuances </w:t>
            </w:r>
          </w:p>
        </w:tc>
        <w:tc>
          <w:tcPr>
            <w:tcW w:w="2340" w:type="dxa"/>
            <w:tcBorders>
              <w:top w:val="single" w:color="008000" w:sz="12" w:space="0"/>
              <w:left w:val="nil"/>
              <w:bottom w:val="single" w:color="008000" w:sz="6" w:space="0"/>
              <w:right w:val="nil"/>
            </w:tcBorders>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 xml:space="preserve">Year-on-year change </w:t>
            </w:r>
          </w:p>
        </w:tc>
      </w:tr>
      <w:tr>
        <w:tblPrEx>
          <w:tblLayout w:type="fixed"/>
          <w:tblCellMar>
            <w:top w:w="0" w:type="dxa"/>
            <w:left w:w="0" w:type="dxa"/>
            <w:bottom w:w="0" w:type="dxa"/>
            <w:right w:w="0" w:type="dxa"/>
          </w:tblCellMar>
        </w:tblPrEx>
        <w:trPr>
          <w:trHeight w:val="345" w:hRule="atLeast"/>
        </w:trPr>
        <w:tc>
          <w:tcPr>
            <w:tcW w:w="4140" w:type="dxa"/>
            <w:tcBorders>
              <w:top w:val="single" w:color="008000" w:sz="6" w:space="0"/>
              <w:left w:val="nil"/>
              <w:bottom w:val="nil"/>
              <w:right w:val="single" w:color="008000" w:sz="8" w:space="0"/>
            </w:tcBorders>
            <w:shd w:val="clear" w:color="auto" w:fill="CCFFCC"/>
            <w:vAlign w:val="center"/>
          </w:tcPr>
          <w:p>
            <w:pPr>
              <w:rPr>
                <w:rFonts w:ascii="Times New Roman" w:hAnsi="Times New Roman" w:cs="Times New Roman"/>
                <w:sz w:val="24"/>
                <w:szCs w:val="24"/>
              </w:rPr>
            </w:pPr>
            <w:r>
              <w:rPr>
                <w:rFonts w:ascii="Times New Roman" w:hAnsi="Times New Roman" w:cs="Times New Roman"/>
                <w:sz w:val="24"/>
                <w:szCs w:val="24"/>
              </w:rPr>
              <w:t>Government securities</w:t>
            </w:r>
          </w:p>
        </w:tc>
        <w:tc>
          <w:tcPr>
            <w:tcW w:w="1800" w:type="dxa"/>
            <w:tcBorders>
              <w:top w:val="single" w:color="008000" w:sz="6" w:space="0"/>
              <w:left w:val="nil"/>
              <w:bottom w:val="nil"/>
              <w:right w:val="single" w:color="008000" w:sz="2" w:space="0"/>
            </w:tcBorders>
            <w:shd w:val="clear" w:color="auto" w:fill="CCFFCC"/>
            <w:vAlign w:val="center"/>
          </w:tcPr>
          <w:p>
            <w:pPr>
              <w:adjustRightInd w:val="0"/>
              <w:snapToGrid w:val="0"/>
              <w:jc w:val="right"/>
              <w:rPr>
                <w:rFonts w:ascii="Times New Roman" w:hAnsi="Times New Roman" w:cs="Times New Roman"/>
                <w:sz w:val="24"/>
                <w:szCs w:val="24"/>
              </w:rPr>
            </w:pPr>
            <w:r>
              <w:rPr>
                <w:rFonts w:ascii="Times New Roman" w:hAnsi="Times New Roman" w:cs="Times New Roman"/>
                <w:sz w:val="24"/>
                <w:szCs w:val="24"/>
              </w:rPr>
              <w:t>17,978</w:t>
            </w:r>
          </w:p>
        </w:tc>
        <w:tc>
          <w:tcPr>
            <w:tcW w:w="2340" w:type="dxa"/>
            <w:tcBorders>
              <w:top w:val="single" w:color="008000" w:sz="6" w:space="0"/>
              <w:left w:val="single" w:color="008000" w:sz="2" w:space="0"/>
              <w:bottom w:val="nil"/>
              <w:right w:val="nil"/>
            </w:tcBorders>
            <w:shd w:val="clear" w:color="auto" w:fill="CCFFCC"/>
            <w:vAlign w:val="center"/>
          </w:tcPr>
          <w:p>
            <w:pPr>
              <w:adjustRightInd w:val="0"/>
              <w:snapToGrid w:val="0"/>
              <w:jc w:val="right"/>
              <w:rPr>
                <w:rFonts w:ascii="Times New Roman" w:hAnsi="Times New Roman" w:cs="Times New Roman"/>
                <w:sz w:val="24"/>
                <w:szCs w:val="24"/>
              </w:rPr>
            </w:pPr>
            <w:r>
              <w:rPr>
                <w:rFonts w:ascii="Times New Roman" w:hAnsi="Times New Roman" w:cs="Times New Roman"/>
                <w:sz w:val="24"/>
                <w:szCs w:val="24"/>
              </w:rPr>
              <w:t>2,234</w:t>
            </w:r>
          </w:p>
        </w:tc>
      </w:tr>
      <w:tr>
        <w:tblPrEx>
          <w:tblLayout w:type="fixed"/>
          <w:tblCellMar>
            <w:top w:w="0" w:type="dxa"/>
            <w:left w:w="0" w:type="dxa"/>
            <w:bottom w:w="0" w:type="dxa"/>
            <w:right w:w="0" w:type="dxa"/>
          </w:tblCellMar>
        </w:tblPrEx>
        <w:trPr>
          <w:trHeight w:val="345" w:hRule="atLeast"/>
        </w:trPr>
        <w:tc>
          <w:tcPr>
            <w:tcW w:w="4140" w:type="dxa"/>
            <w:tcBorders>
              <w:top w:val="single" w:color="008000" w:sz="6" w:space="0"/>
              <w:left w:val="nil"/>
              <w:bottom w:val="nil"/>
              <w:right w:val="single" w:color="008000" w:sz="8" w:space="0"/>
            </w:tcBorders>
            <w:shd w:val="clear" w:color="auto" w:fill="CCFFCC"/>
            <w:vAlign w:val="center"/>
          </w:tcPr>
          <w:p>
            <w:pPr>
              <w:rPr>
                <w:rFonts w:ascii="Times New Roman" w:hAnsi="Times New Roman" w:cs="Times New Roman"/>
                <w:sz w:val="24"/>
                <w:szCs w:val="24"/>
              </w:rPr>
            </w:pPr>
            <w:r>
              <w:rPr>
                <w:rFonts w:ascii="Times New Roman" w:hAnsi="Times New Roman" w:cs="Times New Roman"/>
                <w:sz w:val="24"/>
                <w:szCs w:val="24"/>
              </w:rPr>
              <w:t>Local government bonds</w:t>
            </w:r>
          </w:p>
        </w:tc>
        <w:tc>
          <w:tcPr>
            <w:tcW w:w="1800" w:type="dxa"/>
            <w:tcBorders>
              <w:top w:val="single" w:color="008000" w:sz="6" w:space="0"/>
              <w:left w:val="nil"/>
              <w:bottom w:val="nil"/>
              <w:right w:val="single" w:color="008000" w:sz="2" w:space="0"/>
            </w:tcBorders>
            <w:shd w:val="clear" w:color="auto" w:fill="CCFFCC"/>
            <w:vAlign w:val="center"/>
          </w:tcPr>
          <w:p>
            <w:pPr>
              <w:adjustRightInd w:val="0"/>
              <w:snapToGrid w:val="0"/>
              <w:jc w:val="right"/>
              <w:rPr>
                <w:rFonts w:ascii="Times New Roman" w:hAnsi="Times New Roman" w:cs="Times New Roman"/>
                <w:sz w:val="24"/>
                <w:szCs w:val="24"/>
              </w:rPr>
            </w:pPr>
            <w:r>
              <w:rPr>
                <w:rFonts w:ascii="Times New Roman" w:hAnsi="Times New Roman" w:cs="Times New Roman"/>
                <w:sz w:val="24"/>
                <w:szCs w:val="24"/>
              </w:rPr>
              <w:t>28,372</w:t>
            </w:r>
          </w:p>
        </w:tc>
        <w:tc>
          <w:tcPr>
            <w:tcW w:w="2340" w:type="dxa"/>
            <w:tcBorders>
              <w:top w:val="single" w:color="008000" w:sz="6" w:space="0"/>
              <w:left w:val="single" w:color="008000" w:sz="2" w:space="0"/>
              <w:bottom w:val="nil"/>
              <w:right w:val="nil"/>
            </w:tcBorders>
            <w:shd w:val="clear" w:color="auto" w:fill="CCFFCC"/>
            <w:vAlign w:val="center"/>
          </w:tcPr>
          <w:p>
            <w:pPr>
              <w:adjustRightInd w:val="0"/>
              <w:snapToGrid w:val="0"/>
              <w:jc w:val="right"/>
              <w:rPr>
                <w:rFonts w:ascii="Times New Roman" w:hAnsi="Times New Roman" w:cs="Times New Roman"/>
                <w:sz w:val="24"/>
                <w:szCs w:val="24"/>
              </w:rPr>
            </w:pPr>
            <w:r>
              <w:rPr>
                <w:rFonts w:ascii="Times New Roman" w:hAnsi="Times New Roman" w:cs="Times New Roman"/>
                <w:sz w:val="24"/>
                <w:szCs w:val="24"/>
              </w:rPr>
              <w:t>14,263</w:t>
            </w:r>
          </w:p>
        </w:tc>
      </w:tr>
      <w:tr>
        <w:tblPrEx>
          <w:tblLayout w:type="fixed"/>
          <w:tblCellMar>
            <w:top w:w="0" w:type="dxa"/>
            <w:left w:w="0" w:type="dxa"/>
            <w:bottom w:w="0" w:type="dxa"/>
            <w:right w:w="0" w:type="dxa"/>
          </w:tblCellMar>
        </w:tblPrEx>
        <w:trPr>
          <w:trHeight w:val="345" w:hRule="atLeast"/>
        </w:trPr>
        <w:tc>
          <w:tcPr>
            <w:tcW w:w="4140" w:type="dxa"/>
            <w:tcBorders>
              <w:top w:val="nil"/>
              <w:left w:val="nil"/>
              <w:bottom w:val="nil"/>
              <w:right w:val="single" w:color="008000" w:sz="8" w:space="0"/>
            </w:tcBorders>
            <w:vAlign w:val="center"/>
          </w:tcPr>
          <w:p>
            <w:pPr>
              <w:rPr>
                <w:rFonts w:ascii="Times New Roman" w:hAnsi="Times New Roman" w:cs="Times New Roman"/>
                <w:sz w:val="24"/>
                <w:szCs w:val="24"/>
              </w:rPr>
            </w:pPr>
            <w:r>
              <w:rPr>
                <w:rFonts w:ascii="Times New Roman" w:hAnsi="Times New Roman" w:cs="Times New Roman"/>
                <w:sz w:val="24"/>
                <w:szCs w:val="24"/>
              </w:rPr>
              <w:t xml:space="preserve">Central-bank bills </w:t>
            </w:r>
          </w:p>
        </w:tc>
        <w:tc>
          <w:tcPr>
            <w:tcW w:w="1800" w:type="dxa"/>
            <w:tcBorders>
              <w:top w:val="nil"/>
              <w:left w:val="nil"/>
              <w:bottom w:val="nil"/>
              <w:right w:val="single" w:color="008000" w:sz="2" w:space="0"/>
            </w:tcBorders>
            <w:vAlign w:val="center"/>
          </w:tcPr>
          <w:p>
            <w:pPr>
              <w:tabs>
                <w:tab w:val="center" w:pos="4320"/>
                <w:tab w:val="right" w:pos="8640"/>
              </w:tabs>
              <w:adjustRightInd w:val="0"/>
              <w:snapToGrid w:val="0"/>
              <w:jc w:val="right"/>
              <w:rPr>
                <w:rFonts w:ascii="Times New Roman" w:hAnsi="Times New Roman" w:cs="Times New Roman"/>
                <w:sz w:val="24"/>
                <w:szCs w:val="24"/>
              </w:rPr>
            </w:pPr>
            <w:r>
              <w:rPr>
                <w:rFonts w:ascii="Times New Roman" w:hAnsi="Times New Roman" w:cs="Times New Roman"/>
                <w:sz w:val="24"/>
                <w:szCs w:val="24"/>
              </w:rPr>
              <w:t xml:space="preserve">0 </w:t>
            </w:r>
          </w:p>
        </w:tc>
        <w:tc>
          <w:tcPr>
            <w:tcW w:w="2340" w:type="dxa"/>
            <w:tcBorders>
              <w:top w:val="nil"/>
              <w:left w:val="single" w:color="008000" w:sz="2" w:space="0"/>
              <w:bottom w:val="nil"/>
              <w:right w:val="nil"/>
            </w:tcBorders>
            <w:vAlign w:val="center"/>
          </w:tcPr>
          <w:p>
            <w:pPr>
              <w:tabs>
                <w:tab w:val="center" w:pos="4320"/>
                <w:tab w:val="right" w:pos="8640"/>
              </w:tabs>
              <w:adjustRightInd w:val="0"/>
              <w:snapToGrid w:val="0"/>
              <w:jc w:val="right"/>
              <w:rPr>
                <w:rFonts w:ascii="Times New Roman" w:hAnsi="Times New Roman" w:cs="Times New Roman"/>
                <w:sz w:val="24"/>
                <w:szCs w:val="24"/>
              </w:rPr>
            </w:pPr>
            <w:r>
              <w:rPr>
                <w:rFonts w:ascii="Times New Roman" w:hAnsi="Times New Roman" w:cs="Times New Roman"/>
                <w:sz w:val="24"/>
                <w:szCs w:val="24"/>
              </w:rPr>
              <w:t>0</w:t>
            </w:r>
          </w:p>
        </w:tc>
      </w:tr>
      <w:tr>
        <w:tblPrEx>
          <w:tblLayout w:type="fixed"/>
          <w:tblCellMar>
            <w:top w:w="0" w:type="dxa"/>
            <w:left w:w="0" w:type="dxa"/>
            <w:bottom w:w="0" w:type="dxa"/>
            <w:right w:w="0" w:type="dxa"/>
          </w:tblCellMar>
        </w:tblPrEx>
        <w:trPr>
          <w:trHeight w:val="330" w:hRule="atLeast"/>
        </w:trPr>
        <w:tc>
          <w:tcPr>
            <w:tcW w:w="4140" w:type="dxa"/>
            <w:tcBorders>
              <w:top w:val="nil"/>
              <w:left w:val="nil"/>
              <w:bottom w:val="nil"/>
              <w:right w:val="single" w:color="008000" w:sz="8" w:space="0"/>
            </w:tcBorders>
            <w:shd w:val="clear" w:color="auto" w:fill="CCFFCC"/>
            <w:vAlign w:val="center"/>
          </w:tcPr>
          <w:p>
            <w:pPr>
              <w:tabs>
                <w:tab w:val="center" w:pos="4320"/>
                <w:tab w:val="right" w:pos="8640"/>
              </w:tabs>
              <w:rPr>
                <w:rFonts w:ascii="Times New Roman" w:hAnsi="Times New Roman" w:cs="Times New Roman"/>
                <w:sz w:val="24"/>
                <w:szCs w:val="24"/>
              </w:rPr>
            </w:pPr>
            <w:r>
              <w:rPr>
                <w:rFonts w:ascii="Times New Roman" w:hAnsi="Times New Roman" w:cs="Times New Roman"/>
                <w:sz w:val="24"/>
                <w:szCs w:val="24"/>
              </w:rPr>
              <w:t>Financial bonds</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 1 \* GB3 </w:instrText>
            </w:r>
            <w:r>
              <w:rPr>
                <w:rFonts w:ascii="Times New Roman" w:hAnsi="Times New Roman" w:cs="Times New Roman"/>
                <w:sz w:val="24"/>
                <w:szCs w:val="24"/>
              </w:rPr>
              <w:fldChar w:fldCharType="separate"/>
            </w:r>
            <w:r>
              <w:rPr>
                <w:rFonts w:cs="Times New Roman"/>
                <w:sz w:val="24"/>
                <w:szCs w:val="24"/>
              </w:rPr>
              <w:t>①</w:t>
            </w:r>
            <w:r>
              <w:rPr>
                <w:rFonts w:ascii="Times New Roman" w:hAnsi="Times New Roman" w:cs="Times New Roman"/>
                <w:sz w:val="24"/>
                <w:szCs w:val="24"/>
              </w:rPr>
              <w:fldChar w:fldCharType="end"/>
            </w:r>
          </w:p>
        </w:tc>
        <w:tc>
          <w:tcPr>
            <w:tcW w:w="1800" w:type="dxa"/>
            <w:tcBorders>
              <w:top w:val="nil"/>
              <w:left w:val="single" w:color="008000" w:sz="8" w:space="0"/>
              <w:bottom w:val="nil"/>
              <w:right w:val="single" w:color="008000" w:sz="2" w:space="0"/>
            </w:tcBorders>
            <w:shd w:val="clear" w:color="auto" w:fill="CCFFCC"/>
            <w:vAlign w:val="center"/>
          </w:tcPr>
          <w:p>
            <w:pPr>
              <w:adjustRightInd w:val="0"/>
              <w:snapToGrid w:val="0"/>
              <w:jc w:val="right"/>
              <w:rPr>
                <w:rFonts w:ascii="Times New Roman" w:hAnsi="Times New Roman" w:cs="Times New Roman"/>
                <w:sz w:val="24"/>
                <w:szCs w:val="24"/>
              </w:rPr>
            </w:pPr>
            <w:r>
              <w:rPr>
                <w:rFonts w:ascii="Times New Roman" w:hAnsi="Times New Roman" w:cs="Times New Roman"/>
                <w:sz w:val="24"/>
                <w:szCs w:val="24"/>
              </w:rPr>
              <w:t>122,971</w:t>
            </w:r>
          </w:p>
        </w:tc>
        <w:tc>
          <w:tcPr>
            <w:tcW w:w="2340" w:type="dxa"/>
            <w:tcBorders>
              <w:top w:val="nil"/>
              <w:left w:val="single" w:color="008000" w:sz="2" w:space="0"/>
              <w:bottom w:val="nil"/>
              <w:right w:val="nil"/>
            </w:tcBorders>
            <w:shd w:val="clear" w:color="auto" w:fill="CCFFCC"/>
            <w:vAlign w:val="center"/>
          </w:tcPr>
          <w:p>
            <w:pPr>
              <w:adjustRightInd w:val="0"/>
              <w:snapToGrid w:val="0"/>
              <w:jc w:val="right"/>
              <w:rPr>
                <w:rFonts w:ascii="Times New Roman" w:hAnsi="Times New Roman" w:cs="Times New Roman"/>
                <w:sz w:val="24"/>
                <w:szCs w:val="24"/>
              </w:rPr>
            </w:pPr>
            <w:r>
              <w:rPr>
                <w:rFonts w:ascii="Times New Roman" w:hAnsi="Times New Roman" w:cs="Times New Roman"/>
                <w:sz w:val="24"/>
                <w:szCs w:val="24"/>
              </w:rPr>
              <w:t>–15,003</w:t>
            </w:r>
          </w:p>
        </w:tc>
      </w:tr>
      <w:tr>
        <w:tblPrEx>
          <w:tblLayout w:type="fixed"/>
          <w:tblCellMar>
            <w:top w:w="0" w:type="dxa"/>
            <w:left w:w="0" w:type="dxa"/>
            <w:bottom w:w="0" w:type="dxa"/>
            <w:right w:w="0" w:type="dxa"/>
          </w:tblCellMar>
        </w:tblPrEx>
        <w:trPr>
          <w:trHeight w:val="330" w:hRule="atLeast"/>
        </w:trPr>
        <w:tc>
          <w:tcPr>
            <w:tcW w:w="4140" w:type="dxa"/>
            <w:tcBorders>
              <w:top w:val="nil"/>
              <w:left w:val="nil"/>
              <w:bottom w:val="nil"/>
              <w:right w:val="single" w:color="008000" w:sz="8" w:space="0"/>
            </w:tcBorders>
            <w:vAlign w:val="center"/>
          </w:tcPr>
          <w:p>
            <w:pPr>
              <w:rPr>
                <w:rFonts w:ascii="Times New Roman" w:hAnsi="Times New Roman" w:cs="Times New Roman"/>
                <w:sz w:val="24"/>
                <w:szCs w:val="24"/>
              </w:rPr>
            </w:pPr>
            <w:r>
              <w:rPr>
                <w:rFonts w:ascii="Times New Roman" w:hAnsi="Times New Roman" w:cs="Times New Roman"/>
                <w:sz w:val="24"/>
                <w:szCs w:val="24"/>
              </w:rPr>
              <w:t xml:space="preserve">Of which: Financial bonds issued by the China Development Bank and policy financial bonds </w:t>
            </w:r>
          </w:p>
          <w:p>
            <w:pPr>
              <w:rPr>
                <w:rFonts w:ascii="Times New Roman" w:hAnsi="Times New Roman" w:cs="Times New Roman"/>
                <w:sz w:val="24"/>
                <w:szCs w:val="24"/>
              </w:rPr>
            </w:pPr>
            <w:r>
              <w:rPr>
                <w:rFonts w:ascii="Times New Roman" w:hAnsi="Times New Roman" w:cs="Times New Roman"/>
                <w:sz w:val="24"/>
                <w:szCs w:val="24"/>
              </w:rPr>
              <w:t>Interbank certificates of deposits</w:t>
            </w:r>
          </w:p>
        </w:tc>
        <w:tc>
          <w:tcPr>
            <w:tcW w:w="1800" w:type="dxa"/>
            <w:tcBorders>
              <w:top w:val="nil"/>
              <w:left w:val="single" w:color="008000" w:sz="8" w:space="0"/>
              <w:bottom w:val="nil"/>
              <w:right w:val="single" w:color="008000" w:sz="2" w:space="0"/>
            </w:tcBorders>
            <w:vAlign w:val="center"/>
          </w:tcPr>
          <w:p>
            <w:pPr>
              <w:adjustRightInd w:val="0"/>
              <w:snapToGrid w:val="0"/>
              <w:jc w:val="right"/>
              <w:rPr>
                <w:rFonts w:ascii="Times New Roman" w:hAnsi="Times New Roman" w:cs="Times New Roman"/>
                <w:sz w:val="24"/>
                <w:szCs w:val="24"/>
              </w:rPr>
            </w:pPr>
            <w:r>
              <w:rPr>
                <w:rFonts w:ascii="Times New Roman" w:hAnsi="Times New Roman" w:cs="Times New Roman"/>
                <w:sz w:val="24"/>
                <w:szCs w:val="24"/>
              </w:rPr>
              <w:t>20,037</w:t>
            </w:r>
          </w:p>
          <w:p>
            <w:pPr>
              <w:keepNext/>
              <w:keepLines/>
              <w:adjustRightInd w:val="0"/>
              <w:snapToGrid w:val="0"/>
              <w:spacing w:before="20" w:after="20"/>
              <w:jc w:val="right"/>
              <w:outlineLvl w:val="1"/>
              <w:rPr>
                <w:rFonts w:ascii="Times New Roman" w:hAnsi="Times New Roman" w:cs="Times New Roman"/>
                <w:sz w:val="24"/>
                <w:szCs w:val="24"/>
              </w:rPr>
            </w:pPr>
          </w:p>
          <w:p>
            <w:pPr>
              <w:adjustRightInd w:val="0"/>
              <w:snapToGrid w:val="0"/>
              <w:jc w:val="right"/>
              <w:rPr>
                <w:rFonts w:ascii="Times New Roman" w:hAnsi="Times New Roman" w:cs="Times New Roman"/>
                <w:sz w:val="24"/>
                <w:szCs w:val="24"/>
              </w:rPr>
            </w:pPr>
            <w:r>
              <w:rPr>
                <w:rFonts w:ascii="Times New Roman" w:hAnsi="Times New Roman" w:cs="Times New Roman"/>
                <w:sz w:val="24"/>
                <w:szCs w:val="24"/>
              </w:rPr>
              <w:t>83,560</w:t>
            </w:r>
          </w:p>
        </w:tc>
        <w:tc>
          <w:tcPr>
            <w:tcW w:w="2340" w:type="dxa"/>
            <w:tcBorders>
              <w:top w:val="nil"/>
              <w:left w:val="single" w:color="008000" w:sz="2" w:space="0"/>
              <w:bottom w:val="nil"/>
              <w:right w:val="nil"/>
            </w:tcBorders>
            <w:vAlign w:val="center"/>
          </w:tcPr>
          <w:p>
            <w:pPr>
              <w:keepNext/>
              <w:keepLines/>
              <w:adjustRightInd w:val="0"/>
              <w:snapToGrid w:val="0"/>
              <w:spacing w:before="20" w:after="20"/>
              <w:jc w:val="right"/>
              <w:outlineLvl w:val="1"/>
              <w:rPr>
                <w:rFonts w:ascii="Times New Roman" w:hAnsi="Times New Roman" w:cs="Times New Roman"/>
                <w:sz w:val="24"/>
                <w:szCs w:val="24"/>
              </w:rPr>
            </w:pPr>
            <w:bookmarkStart w:id="137" w:name="_Toc17793491"/>
            <w:bookmarkStart w:id="138" w:name="_Toc17798271"/>
            <w:bookmarkStart w:id="139" w:name="_Toc17808040"/>
            <w:bookmarkStart w:id="140" w:name="_Toc17808082"/>
            <w:r>
              <w:rPr>
                <w:rFonts w:ascii="Times New Roman" w:hAnsi="Times New Roman" w:cs="Times New Roman"/>
                <w:sz w:val="24"/>
                <w:szCs w:val="24"/>
              </w:rPr>
              <w:t>764</w:t>
            </w:r>
            <w:bookmarkEnd w:id="137"/>
            <w:bookmarkEnd w:id="138"/>
            <w:bookmarkEnd w:id="139"/>
            <w:bookmarkEnd w:id="140"/>
          </w:p>
          <w:p>
            <w:pPr>
              <w:adjustRightInd w:val="0"/>
              <w:snapToGrid w:val="0"/>
              <w:jc w:val="right"/>
              <w:rPr>
                <w:rFonts w:ascii="Times New Roman" w:hAnsi="Times New Roman" w:cs="Times New Roman"/>
                <w:sz w:val="24"/>
                <w:szCs w:val="24"/>
              </w:rPr>
            </w:pPr>
          </w:p>
          <w:p>
            <w:pPr>
              <w:adjustRightInd w:val="0"/>
              <w:snapToGrid w:val="0"/>
              <w:jc w:val="right"/>
              <w:rPr>
                <w:rFonts w:ascii="Times New Roman" w:hAnsi="Times New Roman" w:cs="Times New Roman"/>
                <w:sz w:val="24"/>
                <w:szCs w:val="24"/>
              </w:rPr>
            </w:pPr>
            <w:r>
              <w:rPr>
                <w:rFonts w:ascii="Times New Roman" w:hAnsi="Times New Roman" w:cs="Times New Roman"/>
                <w:sz w:val="24"/>
                <w:szCs w:val="24"/>
              </w:rPr>
              <w:t>–25,032</w:t>
            </w:r>
          </w:p>
        </w:tc>
      </w:tr>
      <w:tr>
        <w:tblPrEx>
          <w:tblLayout w:type="fixed"/>
          <w:tblCellMar>
            <w:top w:w="0" w:type="dxa"/>
            <w:left w:w="0" w:type="dxa"/>
            <w:bottom w:w="0" w:type="dxa"/>
            <w:right w:w="0" w:type="dxa"/>
          </w:tblCellMar>
        </w:tblPrEx>
        <w:trPr>
          <w:trHeight w:val="330" w:hRule="atLeast"/>
        </w:trPr>
        <w:tc>
          <w:tcPr>
            <w:tcW w:w="4140" w:type="dxa"/>
            <w:tcBorders>
              <w:top w:val="nil"/>
              <w:left w:val="nil"/>
              <w:bottom w:val="nil"/>
              <w:right w:val="single" w:color="008000" w:sz="8" w:space="0"/>
            </w:tcBorders>
            <w:shd w:val="clear" w:color="auto" w:fill="CCFFCC"/>
            <w:vAlign w:val="center"/>
          </w:tcPr>
          <w:p>
            <w:pPr>
              <w:rPr>
                <w:rFonts w:ascii="Times New Roman" w:hAnsi="Times New Roman" w:cs="Times New Roman"/>
                <w:sz w:val="24"/>
                <w:szCs w:val="24"/>
              </w:rPr>
            </w:pPr>
            <w:r>
              <w:rPr>
                <w:rFonts w:ascii="Times New Roman" w:hAnsi="Times New Roman" w:cs="Times New Roman"/>
                <w:sz w:val="24"/>
                <w:szCs w:val="24"/>
              </w:rPr>
              <w:t>Corporate debenture bonds</w:t>
            </w:r>
            <w:r>
              <w:rPr>
                <w:rFonts w:cs="Times New Roman"/>
                <w:sz w:val="24"/>
                <w:szCs w:val="24"/>
              </w:rPr>
              <w:t>②</w:t>
            </w:r>
          </w:p>
        </w:tc>
        <w:tc>
          <w:tcPr>
            <w:tcW w:w="1800" w:type="dxa"/>
            <w:tcBorders>
              <w:top w:val="nil"/>
              <w:left w:val="single" w:color="008000" w:sz="8" w:space="0"/>
              <w:bottom w:val="nil"/>
              <w:right w:val="single" w:color="008000" w:sz="2" w:space="0"/>
            </w:tcBorders>
            <w:shd w:val="clear" w:color="auto" w:fill="CCFFCC"/>
            <w:vAlign w:val="center"/>
          </w:tcPr>
          <w:p>
            <w:pPr>
              <w:adjustRightInd w:val="0"/>
              <w:snapToGrid w:val="0"/>
              <w:jc w:val="right"/>
              <w:rPr>
                <w:rFonts w:ascii="Times New Roman" w:hAnsi="Times New Roman" w:cs="Times New Roman"/>
                <w:sz w:val="24"/>
                <w:szCs w:val="24"/>
              </w:rPr>
            </w:pPr>
            <w:r>
              <w:rPr>
                <w:rFonts w:ascii="Times New Roman" w:hAnsi="Times New Roman" w:cs="Times New Roman"/>
                <w:sz w:val="24"/>
                <w:szCs w:val="24"/>
              </w:rPr>
              <w:t>44,993</w:t>
            </w:r>
          </w:p>
        </w:tc>
        <w:tc>
          <w:tcPr>
            <w:tcW w:w="2340" w:type="dxa"/>
            <w:tcBorders>
              <w:top w:val="nil"/>
              <w:left w:val="single" w:color="008000" w:sz="2" w:space="0"/>
              <w:bottom w:val="nil"/>
              <w:right w:val="nil"/>
            </w:tcBorders>
            <w:shd w:val="clear" w:color="auto" w:fill="CCFFCC"/>
            <w:vAlign w:val="center"/>
          </w:tcPr>
          <w:p>
            <w:pPr>
              <w:adjustRightInd w:val="0"/>
              <w:snapToGrid w:val="0"/>
              <w:jc w:val="right"/>
              <w:rPr>
                <w:rFonts w:ascii="Times New Roman" w:hAnsi="Times New Roman" w:cs="Times New Roman"/>
                <w:sz w:val="24"/>
                <w:szCs w:val="24"/>
              </w:rPr>
            </w:pPr>
            <w:r>
              <w:rPr>
                <w:rFonts w:ascii="Times New Roman" w:hAnsi="Times New Roman" w:cs="Times New Roman"/>
                <w:sz w:val="24"/>
                <w:szCs w:val="24"/>
              </w:rPr>
              <w:t>10,860</w:t>
            </w:r>
          </w:p>
        </w:tc>
      </w:tr>
      <w:tr>
        <w:tblPrEx>
          <w:tblLayout w:type="fixed"/>
          <w:tblCellMar>
            <w:top w:w="0" w:type="dxa"/>
            <w:left w:w="0" w:type="dxa"/>
            <w:bottom w:w="0" w:type="dxa"/>
            <w:right w:w="0" w:type="dxa"/>
          </w:tblCellMar>
        </w:tblPrEx>
        <w:trPr>
          <w:trHeight w:val="300" w:hRule="atLeast"/>
        </w:trPr>
        <w:tc>
          <w:tcPr>
            <w:tcW w:w="4140" w:type="dxa"/>
            <w:tcBorders>
              <w:top w:val="nil"/>
              <w:left w:val="nil"/>
              <w:bottom w:val="nil"/>
              <w:right w:val="single" w:color="008000" w:sz="8" w:space="0"/>
            </w:tcBorders>
            <w:vAlign w:val="center"/>
          </w:tcPr>
          <w:p>
            <w:pPr>
              <w:ind w:left="1200" w:hanging="1200" w:hangingChars="500"/>
              <w:rPr>
                <w:rFonts w:ascii="Times New Roman" w:hAnsi="Times New Roman" w:cs="Times New Roman"/>
                <w:sz w:val="24"/>
                <w:szCs w:val="24"/>
              </w:rPr>
            </w:pPr>
            <w:r>
              <w:rPr>
                <w:rFonts w:ascii="Times New Roman" w:hAnsi="Times New Roman" w:cs="Times New Roman"/>
                <w:sz w:val="24"/>
                <w:szCs w:val="24"/>
              </w:rPr>
              <w:t xml:space="preserve">   Of which: Debt-financing instruments of non-financial enterprises </w:t>
            </w:r>
          </w:p>
        </w:tc>
        <w:tc>
          <w:tcPr>
            <w:tcW w:w="1800" w:type="dxa"/>
            <w:tcBorders>
              <w:top w:val="nil"/>
              <w:left w:val="single" w:color="008000" w:sz="8" w:space="0"/>
              <w:bottom w:val="nil"/>
              <w:right w:val="single" w:color="008000" w:sz="2" w:space="0"/>
            </w:tcBorders>
            <w:vAlign w:val="center"/>
          </w:tcPr>
          <w:p>
            <w:pPr>
              <w:adjustRightInd w:val="0"/>
              <w:snapToGrid w:val="0"/>
              <w:jc w:val="right"/>
              <w:rPr>
                <w:rFonts w:ascii="Times New Roman" w:hAnsi="Times New Roman" w:cs="Times New Roman"/>
                <w:sz w:val="24"/>
                <w:szCs w:val="24"/>
              </w:rPr>
            </w:pPr>
            <w:r>
              <w:rPr>
                <w:rFonts w:ascii="Times New Roman" w:hAnsi="Times New Roman" w:cs="Times New Roman"/>
                <w:sz w:val="24"/>
                <w:szCs w:val="24"/>
              </w:rPr>
              <w:t>32,889</w:t>
            </w:r>
          </w:p>
        </w:tc>
        <w:tc>
          <w:tcPr>
            <w:tcW w:w="2340" w:type="dxa"/>
            <w:tcBorders>
              <w:top w:val="nil"/>
              <w:left w:val="single" w:color="008000" w:sz="2" w:space="0"/>
              <w:bottom w:val="nil"/>
              <w:right w:val="nil"/>
            </w:tcBorders>
            <w:vAlign w:val="center"/>
          </w:tcPr>
          <w:p>
            <w:pPr>
              <w:adjustRightInd w:val="0"/>
              <w:snapToGrid w:val="0"/>
              <w:jc w:val="right"/>
              <w:rPr>
                <w:rFonts w:ascii="Times New Roman" w:hAnsi="Times New Roman" w:cs="Times New Roman"/>
                <w:sz w:val="24"/>
                <w:szCs w:val="24"/>
              </w:rPr>
            </w:pPr>
            <w:r>
              <w:rPr>
                <w:rFonts w:ascii="Times New Roman" w:hAnsi="Times New Roman" w:cs="Times New Roman"/>
                <w:sz w:val="24"/>
                <w:szCs w:val="24"/>
              </w:rPr>
              <w:t>6,695</w:t>
            </w:r>
          </w:p>
        </w:tc>
      </w:tr>
      <w:tr>
        <w:tblPrEx>
          <w:tblLayout w:type="fixed"/>
          <w:tblCellMar>
            <w:top w:w="0" w:type="dxa"/>
            <w:left w:w="0" w:type="dxa"/>
            <w:bottom w:w="0" w:type="dxa"/>
            <w:right w:w="0" w:type="dxa"/>
          </w:tblCellMar>
        </w:tblPrEx>
        <w:trPr>
          <w:trHeight w:val="330" w:hRule="atLeast"/>
        </w:trPr>
        <w:tc>
          <w:tcPr>
            <w:tcW w:w="4140" w:type="dxa"/>
            <w:tcBorders>
              <w:top w:val="nil"/>
              <w:left w:val="nil"/>
              <w:bottom w:val="nil"/>
              <w:right w:val="single" w:color="008000" w:sz="8" w:space="0"/>
            </w:tcBorders>
            <w:shd w:val="clear" w:color="auto" w:fill="CCFFCC"/>
            <w:vAlign w:val="center"/>
          </w:tcPr>
          <w:p>
            <w:pPr>
              <w:rPr>
                <w:rFonts w:ascii="Times New Roman" w:hAnsi="Times New Roman" w:cs="Times New Roman"/>
                <w:sz w:val="24"/>
                <w:szCs w:val="24"/>
              </w:rPr>
            </w:pPr>
            <w:r>
              <w:rPr>
                <w:rFonts w:ascii="Times New Roman" w:hAnsi="Times New Roman" w:cs="Times New Roman"/>
                <w:sz w:val="24"/>
                <w:szCs w:val="24"/>
              </w:rPr>
              <w:t xml:space="preserve">          Enterprise bonds</w:t>
            </w:r>
          </w:p>
        </w:tc>
        <w:tc>
          <w:tcPr>
            <w:tcW w:w="1800" w:type="dxa"/>
            <w:tcBorders>
              <w:top w:val="nil"/>
              <w:left w:val="single" w:color="008000" w:sz="8" w:space="0"/>
              <w:bottom w:val="nil"/>
              <w:right w:val="single" w:color="008000" w:sz="2" w:space="0"/>
            </w:tcBorders>
            <w:shd w:val="clear" w:color="auto" w:fill="CCFFCC"/>
            <w:vAlign w:val="center"/>
          </w:tcPr>
          <w:p>
            <w:pPr>
              <w:adjustRightInd w:val="0"/>
              <w:snapToGrid w:val="0"/>
              <w:jc w:val="right"/>
              <w:rPr>
                <w:rFonts w:ascii="Times New Roman" w:hAnsi="Times New Roman" w:cs="Times New Roman"/>
                <w:sz w:val="24"/>
                <w:szCs w:val="24"/>
              </w:rPr>
            </w:pPr>
            <w:r>
              <w:rPr>
                <w:rFonts w:ascii="Times New Roman" w:hAnsi="Times New Roman" w:cs="Times New Roman"/>
                <w:sz w:val="24"/>
                <w:szCs w:val="24"/>
              </w:rPr>
              <w:t>1,558</w:t>
            </w:r>
          </w:p>
        </w:tc>
        <w:tc>
          <w:tcPr>
            <w:tcW w:w="2340" w:type="dxa"/>
            <w:tcBorders>
              <w:top w:val="nil"/>
              <w:left w:val="single" w:color="008000" w:sz="2" w:space="0"/>
              <w:bottom w:val="nil"/>
              <w:right w:val="nil"/>
            </w:tcBorders>
            <w:shd w:val="clear" w:color="auto" w:fill="CCFFCC"/>
            <w:vAlign w:val="center"/>
          </w:tcPr>
          <w:p>
            <w:pPr>
              <w:adjustRightInd w:val="0"/>
              <w:snapToGrid w:val="0"/>
              <w:jc w:val="right"/>
              <w:rPr>
                <w:rFonts w:ascii="Times New Roman" w:hAnsi="Times New Roman" w:cs="Times New Roman"/>
                <w:sz w:val="24"/>
                <w:szCs w:val="24"/>
              </w:rPr>
            </w:pPr>
            <w:r>
              <w:rPr>
                <w:rFonts w:ascii="Times New Roman" w:hAnsi="Times New Roman" w:cs="Times New Roman"/>
                <w:sz w:val="24"/>
                <w:szCs w:val="24"/>
              </w:rPr>
              <w:t>–1,138</w:t>
            </w:r>
          </w:p>
        </w:tc>
      </w:tr>
      <w:tr>
        <w:tblPrEx>
          <w:tblLayout w:type="fixed"/>
          <w:tblCellMar>
            <w:top w:w="0" w:type="dxa"/>
            <w:left w:w="0" w:type="dxa"/>
            <w:bottom w:w="0" w:type="dxa"/>
            <w:right w:w="0" w:type="dxa"/>
          </w:tblCellMar>
        </w:tblPrEx>
        <w:trPr>
          <w:trHeight w:val="300" w:hRule="atLeast"/>
        </w:trPr>
        <w:tc>
          <w:tcPr>
            <w:tcW w:w="4140" w:type="dxa"/>
            <w:tcBorders>
              <w:top w:val="nil"/>
              <w:left w:val="nil"/>
              <w:bottom w:val="nil"/>
              <w:right w:val="single" w:color="008000" w:sz="8" w:space="0"/>
            </w:tcBorders>
            <w:vAlign w:val="center"/>
          </w:tcPr>
          <w:p>
            <w:pPr>
              <w:ind w:firstLine="1200" w:firstLineChars="500"/>
              <w:rPr>
                <w:rFonts w:ascii="Times New Roman" w:hAnsi="Times New Roman" w:cs="Times New Roman"/>
                <w:sz w:val="24"/>
                <w:szCs w:val="24"/>
              </w:rPr>
            </w:pPr>
            <w:r>
              <w:rPr>
                <w:rFonts w:ascii="Times New Roman" w:hAnsi="Times New Roman" w:cs="Times New Roman"/>
                <w:sz w:val="24"/>
                <w:szCs w:val="24"/>
              </w:rPr>
              <w:t>Corporate bonds</w:t>
            </w:r>
          </w:p>
        </w:tc>
        <w:tc>
          <w:tcPr>
            <w:tcW w:w="1800" w:type="dxa"/>
            <w:tcBorders>
              <w:top w:val="nil"/>
              <w:left w:val="single" w:color="008000" w:sz="8" w:space="0"/>
              <w:bottom w:val="nil"/>
              <w:right w:val="single" w:color="008000" w:sz="2" w:space="0"/>
            </w:tcBorders>
            <w:vAlign w:val="center"/>
          </w:tcPr>
          <w:p>
            <w:pPr>
              <w:adjustRightInd w:val="0"/>
              <w:snapToGrid w:val="0"/>
              <w:jc w:val="right"/>
              <w:rPr>
                <w:rFonts w:ascii="Times New Roman" w:hAnsi="Times New Roman" w:cs="Times New Roman"/>
                <w:sz w:val="24"/>
                <w:szCs w:val="24"/>
              </w:rPr>
            </w:pPr>
            <w:r>
              <w:rPr>
                <w:rFonts w:ascii="Times New Roman" w:hAnsi="Times New Roman" w:cs="Times New Roman"/>
                <w:sz w:val="24"/>
                <w:szCs w:val="24"/>
              </w:rPr>
              <w:t>9,764</w:t>
            </w:r>
          </w:p>
        </w:tc>
        <w:tc>
          <w:tcPr>
            <w:tcW w:w="2340" w:type="dxa"/>
            <w:tcBorders>
              <w:top w:val="nil"/>
              <w:left w:val="single" w:color="008000" w:sz="2" w:space="0"/>
              <w:bottom w:val="nil"/>
              <w:right w:val="nil"/>
            </w:tcBorders>
            <w:vAlign w:val="center"/>
          </w:tcPr>
          <w:p>
            <w:pPr>
              <w:adjustRightInd w:val="0"/>
              <w:snapToGrid w:val="0"/>
              <w:jc w:val="right"/>
              <w:rPr>
                <w:rFonts w:ascii="Times New Roman" w:hAnsi="Times New Roman" w:cs="Times New Roman"/>
                <w:sz w:val="24"/>
                <w:szCs w:val="24"/>
              </w:rPr>
            </w:pPr>
            <w:r>
              <w:rPr>
                <w:rFonts w:ascii="Times New Roman" w:hAnsi="Times New Roman" w:cs="Times New Roman"/>
                <w:sz w:val="24"/>
                <w:szCs w:val="24"/>
              </w:rPr>
              <w:t>4,720</w:t>
            </w:r>
          </w:p>
        </w:tc>
      </w:tr>
      <w:tr>
        <w:tblPrEx>
          <w:tblLayout w:type="fixed"/>
          <w:tblCellMar>
            <w:top w:w="0" w:type="dxa"/>
            <w:left w:w="0" w:type="dxa"/>
            <w:bottom w:w="0" w:type="dxa"/>
            <w:right w:w="0" w:type="dxa"/>
          </w:tblCellMar>
        </w:tblPrEx>
        <w:trPr>
          <w:trHeight w:val="300" w:hRule="atLeast"/>
        </w:trPr>
        <w:tc>
          <w:tcPr>
            <w:tcW w:w="4140" w:type="dxa"/>
            <w:tcBorders>
              <w:top w:val="nil"/>
              <w:left w:val="nil"/>
              <w:bottom w:val="nil"/>
              <w:right w:val="single" w:color="008000" w:sz="8" w:space="0"/>
            </w:tcBorders>
            <w:vAlign w:val="center"/>
          </w:tcPr>
          <w:p>
            <w:pPr>
              <w:rPr>
                <w:rFonts w:ascii="Times New Roman" w:hAnsi="Times New Roman" w:cs="Times New Roman"/>
                <w:sz w:val="24"/>
                <w:szCs w:val="24"/>
              </w:rPr>
            </w:pPr>
            <w:r>
              <w:rPr>
                <w:rFonts w:ascii="Times New Roman" w:hAnsi="Times New Roman" w:cs="Times New Roman"/>
                <w:sz w:val="24"/>
                <w:szCs w:val="24"/>
              </w:rPr>
              <w:t>Bonds issued by international institutions</w:t>
            </w:r>
          </w:p>
        </w:tc>
        <w:tc>
          <w:tcPr>
            <w:tcW w:w="1800" w:type="dxa"/>
            <w:tcBorders>
              <w:top w:val="nil"/>
              <w:left w:val="single" w:color="008000" w:sz="8" w:space="0"/>
              <w:bottom w:val="nil"/>
              <w:right w:val="single" w:color="008000" w:sz="2" w:space="0"/>
            </w:tcBorders>
            <w:vAlign w:val="center"/>
          </w:tcPr>
          <w:p>
            <w:pPr>
              <w:adjustRightInd w:val="0"/>
              <w:snapToGrid w:val="0"/>
              <w:jc w:val="right"/>
              <w:rPr>
                <w:rFonts w:ascii="Times New Roman" w:hAnsi="Times New Roman" w:cs="Times New Roman"/>
                <w:sz w:val="24"/>
                <w:szCs w:val="24"/>
              </w:rPr>
            </w:pPr>
            <w:r>
              <w:rPr>
                <w:rFonts w:ascii="Times New Roman" w:hAnsi="Times New Roman" w:cs="Times New Roman"/>
                <w:sz w:val="24"/>
                <w:szCs w:val="24"/>
              </w:rPr>
              <w:t xml:space="preserve">       180</w:t>
            </w:r>
          </w:p>
        </w:tc>
        <w:tc>
          <w:tcPr>
            <w:tcW w:w="2340" w:type="dxa"/>
            <w:tcBorders>
              <w:top w:val="nil"/>
              <w:left w:val="single" w:color="008000" w:sz="2" w:space="0"/>
              <w:bottom w:val="nil"/>
              <w:right w:val="nil"/>
            </w:tcBorders>
            <w:vAlign w:val="center"/>
          </w:tcPr>
          <w:p>
            <w:pPr>
              <w:adjustRightInd w:val="0"/>
              <w:snapToGrid w:val="0"/>
              <w:jc w:val="right"/>
              <w:rPr>
                <w:rFonts w:ascii="Times New Roman" w:hAnsi="Times New Roman" w:cs="Times New Roman"/>
                <w:sz w:val="24"/>
                <w:szCs w:val="24"/>
              </w:rPr>
            </w:pPr>
            <w:r>
              <w:rPr>
                <w:rFonts w:ascii="Times New Roman" w:hAnsi="Times New Roman" w:cs="Times New Roman"/>
                <w:sz w:val="24"/>
                <w:szCs w:val="24"/>
              </w:rPr>
              <w:t>–205</w:t>
            </w:r>
          </w:p>
        </w:tc>
      </w:tr>
      <w:tr>
        <w:tblPrEx>
          <w:tblLayout w:type="fixed"/>
          <w:tblCellMar>
            <w:top w:w="0" w:type="dxa"/>
            <w:left w:w="0" w:type="dxa"/>
            <w:bottom w:w="0" w:type="dxa"/>
            <w:right w:w="0" w:type="dxa"/>
          </w:tblCellMar>
        </w:tblPrEx>
        <w:trPr>
          <w:trHeight w:val="300" w:hRule="atLeast"/>
        </w:trPr>
        <w:tc>
          <w:tcPr>
            <w:tcW w:w="4140" w:type="dxa"/>
            <w:tcBorders>
              <w:top w:val="nil"/>
              <w:left w:val="nil"/>
              <w:bottom w:val="single" w:color="008000" w:sz="12" w:space="0"/>
              <w:right w:val="single" w:color="008000" w:sz="8" w:space="0"/>
            </w:tcBorders>
            <w:shd w:val="clear" w:color="auto" w:fill="CCFFCC"/>
            <w:vAlign w:val="center"/>
          </w:tcPr>
          <w:p>
            <w:pPr>
              <w:rPr>
                <w:rFonts w:ascii="Times New Roman" w:hAnsi="Times New Roman" w:cs="Times New Roman"/>
                <w:sz w:val="24"/>
                <w:szCs w:val="24"/>
              </w:rPr>
            </w:pPr>
            <w:r>
              <w:rPr>
                <w:rFonts w:ascii="Times New Roman" w:hAnsi="Times New Roman" w:cs="Times New Roman"/>
                <w:sz w:val="24"/>
                <w:szCs w:val="24"/>
              </w:rPr>
              <w:t xml:space="preserve">Total </w:t>
            </w:r>
          </w:p>
        </w:tc>
        <w:tc>
          <w:tcPr>
            <w:tcW w:w="1800" w:type="dxa"/>
            <w:tcBorders>
              <w:top w:val="nil"/>
              <w:left w:val="nil"/>
              <w:bottom w:val="single" w:color="008000" w:sz="12" w:space="0"/>
              <w:right w:val="single" w:color="008000" w:sz="2" w:space="0"/>
            </w:tcBorders>
            <w:shd w:val="clear" w:color="auto" w:fill="CCFFCC"/>
            <w:vAlign w:val="center"/>
          </w:tcPr>
          <w:p>
            <w:pPr>
              <w:adjustRightInd w:val="0"/>
              <w:snapToGrid w:val="0"/>
              <w:jc w:val="right"/>
              <w:rPr>
                <w:rFonts w:ascii="Times New Roman" w:hAnsi="Times New Roman" w:cs="Times New Roman"/>
                <w:sz w:val="24"/>
                <w:szCs w:val="24"/>
              </w:rPr>
            </w:pPr>
            <w:r>
              <w:rPr>
                <w:rFonts w:ascii="Times New Roman" w:hAnsi="Times New Roman" w:cs="Times New Roman"/>
                <w:sz w:val="24"/>
                <w:szCs w:val="24"/>
              </w:rPr>
              <w:t>214,494</w:t>
            </w:r>
          </w:p>
        </w:tc>
        <w:tc>
          <w:tcPr>
            <w:tcW w:w="2340" w:type="dxa"/>
            <w:tcBorders>
              <w:top w:val="nil"/>
              <w:left w:val="single" w:color="008000" w:sz="2" w:space="0"/>
              <w:bottom w:val="single" w:color="008000" w:sz="12" w:space="0"/>
              <w:right w:val="nil"/>
            </w:tcBorders>
            <w:shd w:val="clear" w:color="auto" w:fill="CCFFCC"/>
            <w:vAlign w:val="center"/>
          </w:tcPr>
          <w:p>
            <w:pPr>
              <w:adjustRightInd w:val="0"/>
              <w:snapToGrid w:val="0"/>
              <w:jc w:val="right"/>
              <w:rPr>
                <w:rFonts w:ascii="Times New Roman" w:hAnsi="Times New Roman" w:cs="Times New Roman"/>
                <w:sz w:val="24"/>
                <w:szCs w:val="24"/>
              </w:rPr>
            </w:pPr>
            <w:r>
              <w:rPr>
                <w:rFonts w:ascii="Times New Roman" w:hAnsi="Times New Roman" w:cs="Times New Roman"/>
                <w:sz w:val="24"/>
                <w:szCs w:val="24"/>
              </w:rPr>
              <w:t>12,149</w:t>
            </w:r>
          </w:p>
        </w:tc>
      </w:tr>
    </w:tbl>
    <w:p>
      <w:pPr>
        <w:adjustRightInd w:val="0"/>
        <w:snapToGrid w:val="0"/>
        <w:rPr>
          <w:rFonts w:ascii="Times New Roman" w:hAnsi="Times New Roman" w:cs="Times New Roman"/>
          <w:sz w:val="24"/>
          <w:szCs w:val="24"/>
        </w:rPr>
      </w:pPr>
      <w:r>
        <w:rPr>
          <w:rFonts w:ascii="Times New Roman" w:hAnsi="Times New Roman" w:cs="Times New Roman"/>
          <w:sz w:val="24"/>
          <w:szCs w:val="24"/>
        </w:rPr>
        <w:t xml:space="preserve">Notes: </w:t>
      </w:r>
      <w:r>
        <w:rPr>
          <w:rFonts w:cs="Times New Roman"/>
          <w:sz w:val="24"/>
          <w:szCs w:val="24"/>
        </w:rPr>
        <w:t>①</w:t>
      </w:r>
      <w:r>
        <w:rPr>
          <w:rFonts w:ascii="Times New Roman" w:hAnsi="Times New Roman" w:cs="Times New Roman"/>
          <w:sz w:val="24"/>
          <w:szCs w:val="24"/>
        </w:rPr>
        <w:t xml:space="preserve"> Including financial bonds issued by the China Development Bank, policy financial bonds, bonds issued by commercial banks (including ordinary bonds, subordinated bonds, and hybrid bonds), bonds issued by securities firms, interbank certificates of deposits, and so forth. </w:t>
      </w:r>
    </w:p>
    <w:p>
      <w:pPr>
        <w:adjustRightInd w:val="0"/>
        <w:snapToGrid w:val="0"/>
        <w:rPr>
          <w:rFonts w:ascii="Times New Roman" w:hAnsi="Times New Roman" w:cs="Times New Roman"/>
          <w:sz w:val="24"/>
          <w:szCs w:val="24"/>
        </w:rPr>
      </w:pPr>
      <w:r>
        <w:rPr>
          <w:rFonts w:cs="Times New Roman"/>
          <w:sz w:val="24"/>
          <w:szCs w:val="24"/>
        </w:rPr>
        <w:t>②</w:t>
      </w:r>
      <w:r>
        <w:rPr>
          <w:rFonts w:ascii="Times New Roman" w:hAnsi="Times New Roman" w:cs="Times New Roman"/>
          <w:sz w:val="24"/>
          <w:szCs w:val="24"/>
        </w:rPr>
        <w:t xml:space="preserve"> Including debt-financing instruments issued by non-financial enterprises, enterprise bonds, corporate bonds, convertible bonds, bonds with detachable warrants, privately placed SME bonds, and so forth. </w:t>
      </w:r>
    </w:p>
    <w:p>
      <w:pPr>
        <w:autoSpaceDE w:val="0"/>
        <w:autoSpaceDN w:val="0"/>
        <w:adjustRightInd w:val="0"/>
        <w:snapToGrid w:val="0"/>
        <w:rPr>
          <w:rFonts w:ascii="Times New Roman" w:hAnsi="Times New Roman" w:cs="Times New Roman"/>
          <w:sz w:val="24"/>
          <w:szCs w:val="24"/>
        </w:rPr>
      </w:pPr>
      <w:r>
        <w:rPr>
          <w:rFonts w:ascii="Times New Roman" w:hAnsi="Times New Roman" w:cs="Times New Roman"/>
          <w:sz w:val="24"/>
          <w:szCs w:val="24"/>
        </w:rPr>
        <w:t>Sources: People’s Bank of China, China Securities Regulatory Commission, and China Central Depository &amp; Clearing Co., Ltd.</w:t>
      </w:r>
    </w:p>
    <w:p>
      <w:pPr>
        <w:tabs>
          <w:tab w:val="left" w:pos="5580"/>
        </w:tabs>
        <w:autoSpaceDN w:val="0"/>
        <w:rPr>
          <w:rFonts w:ascii="Times New Roman" w:hAnsi="Times New Roman" w:cs="Times New Roman"/>
          <w:sz w:val="24"/>
          <w:szCs w:val="24"/>
        </w:rPr>
      </w:pPr>
    </w:p>
    <w:p>
      <w:pPr>
        <w:rPr>
          <w:rFonts w:ascii="Times New Roman" w:hAnsi="Times New Roman" w:cs="Times New Roman"/>
          <w:b/>
          <w:bCs/>
          <w:sz w:val="24"/>
          <w:szCs w:val="24"/>
        </w:rPr>
      </w:pPr>
      <w:bookmarkStart w:id="141" w:name="_Toc484424777"/>
      <w:bookmarkStart w:id="142" w:name="_Toc484425032"/>
      <w:bookmarkStart w:id="143" w:name="_Toc198548793"/>
      <w:bookmarkStart w:id="144" w:name="_Toc458009418"/>
      <w:bookmarkStart w:id="145" w:name="_Toc191457273"/>
      <w:bookmarkStart w:id="146" w:name="_Toc197337766"/>
      <w:bookmarkStart w:id="147" w:name="_Toc498108836"/>
      <w:bookmarkStart w:id="148" w:name="_Toc426729158"/>
      <w:r>
        <w:rPr>
          <w:rFonts w:ascii="Times New Roman" w:hAnsi="Times New Roman" w:cs="Times New Roman"/>
          <w:b/>
          <w:bCs/>
          <w:sz w:val="24"/>
          <w:szCs w:val="24"/>
        </w:rPr>
        <w:t>3. Bill financing rose rapidly and interest rates fluctuated within a narrow range.</w:t>
      </w:r>
    </w:p>
    <w:p>
      <w:pPr>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The bill acceptance business witnessed rapid growth.</w:t>
      </w:r>
      <w:r>
        <w:rPr>
          <w:rFonts w:ascii="Times New Roman" w:hAnsi="Times New Roman" w:cs="Times New Roman"/>
          <w:sz w:val="24"/>
          <w:szCs w:val="24"/>
        </w:rPr>
        <w:t xml:space="preserve"> In H1 of 2019, commercial bills issued by enterprises totaled RMB 9.2 trillion, rising 19.8 percent year on year. At end-June, outstanding commercial bills stood at RMB 11.8 trillion, up 37.7 percent year on year. Outstanding bill acceptances continued to expand rapidly by RMB 2.3587 trillion from the beginning of the year and by RMB 1.1187 trillion from end-March. In terms of the sectoral structure, outstanding bankers' acceptances were concentrated in the manufacturing, wholesale, and retail sectors. In terms of issuers, two-thirds of the outstanding bankers' acceptances were issued by medium and small enterprises.</w:t>
      </w:r>
    </w:p>
    <w:p>
      <w:pPr>
        <w:autoSpaceDE w:val="0"/>
        <w:autoSpaceDN w:val="0"/>
        <w:adjustRightInd w:val="0"/>
        <w:rPr>
          <w:rFonts w:ascii="Times New Roman" w:hAnsi="Times New Roman" w:cs="Times New Roman"/>
          <w:sz w:val="24"/>
          <w:szCs w:val="24"/>
        </w:rPr>
      </w:pPr>
    </w:p>
    <w:p>
      <w:pPr>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 xml:space="preserve">Bill financing expanded rapidly, while interest rates on the bill market remained stable. </w:t>
      </w:r>
      <w:r>
        <w:rPr>
          <w:rFonts w:ascii="Times New Roman" w:hAnsi="Times New Roman" w:cs="Times New Roman"/>
          <w:sz w:val="24"/>
          <w:szCs w:val="24"/>
        </w:rPr>
        <w:t xml:space="preserve">In H1 of 2019, total discounts by financial institutions amounted to RMB 19.4 trillion, growing 40.4 percent year on year. At end-June, the balance of bill discounts was RMB 7.0 trillion, up 62.9 percent year on year. The balance of bill financing continued its upward trend, which slowed down in Q2 with a slower growth rate than that in Q1. The balance of bill financing increased by RMB 1.1807 trillion during H1 of 2019 and by RMB 397.4 billion during Q2. The balance accounted for 4.8 percent of total outstanding loans, 1.5 percentage points higher than the percentage during the same period of the previous year. In Q2 of 2019, liquidity in the banking system was reasonable and adequate. As supply and demand in the bill market was balanced, bill interest rates remained stable. </w:t>
      </w:r>
    </w:p>
    <w:p>
      <w:pPr>
        <w:autoSpaceDE w:val="0"/>
        <w:autoSpaceDN w:val="0"/>
        <w:adjustRightInd w:val="0"/>
        <w:rPr>
          <w:rFonts w:ascii="Times New Roman" w:hAnsi="Times New Roman" w:cs="Times New Roman"/>
          <w:sz w:val="24"/>
          <w:szCs w:val="24"/>
        </w:rPr>
      </w:pPr>
    </w:p>
    <w:bookmarkEnd w:id="141"/>
    <w:bookmarkEnd w:id="142"/>
    <w:p>
      <w:pPr>
        <w:autoSpaceDE w:val="0"/>
        <w:autoSpaceDN w:val="0"/>
        <w:adjustRightInd w:val="0"/>
        <w:spacing w:after="160"/>
        <w:rPr>
          <w:rFonts w:ascii="Times New Roman" w:hAnsi="Times New Roman" w:cs="Times New Roman"/>
          <w:b/>
          <w:bCs/>
          <w:sz w:val="24"/>
          <w:szCs w:val="24"/>
        </w:rPr>
      </w:pPr>
      <w:r>
        <w:rPr>
          <w:rFonts w:ascii="Times New Roman" w:hAnsi="Times New Roman" w:cs="Times New Roman"/>
          <w:b/>
          <w:bCs/>
          <w:sz w:val="24"/>
          <w:szCs w:val="24"/>
        </w:rPr>
        <w:t>4. Stock indices rebounded gradually and the volume of trading and the size of  financing increased year on year</w:t>
      </w:r>
    </w:p>
    <w:p>
      <w:pPr>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Stock indices rebounded gradually.</w:t>
      </w:r>
      <w:r>
        <w:rPr>
          <w:rFonts w:ascii="Times New Roman" w:hAnsi="Times New Roman" w:cs="Times New Roman"/>
          <w:sz w:val="24"/>
          <w:szCs w:val="24"/>
        </w:rPr>
        <w:t xml:space="preserve"> At end-June, the Shanghai Stock Exchange Composite Index closed at 2,979 points, up 19.4 percent from end-2018. The Shenzhen Stock Exchange Component Index closed at 9,178 points, up 26.8 percent from end-2018. The Growth Enterprise Board (GEM Board) Index closed at 1,512 points, up 20.8 percent from end-2018. At end-June, the weighted average P/E ratio of A-shares on the Shanghai Stock Exchange rose from 12.5 times at end-2018 to 13.8 times, and that on the Shenzhen Stock Exchange rose from 20.2 times at end-2018 to 23.5 times. </w:t>
      </w:r>
    </w:p>
    <w:p>
      <w:pPr>
        <w:autoSpaceDE w:val="0"/>
        <w:autoSpaceDN w:val="0"/>
        <w:ind w:firstLine="480" w:firstLineChars="200"/>
        <w:rPr>
          <w:rFonts w:ascii="Times New Roman" w:hAnsi="Times New Roman" w:cs="Times New Roman"/>
          <w:sz w:val="24"/>
          <w:szCs w:val="24"/>
        </w:rPr>
      </w:pPr>
    </w:p>
    <w:p>
      <w:pPr>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 xml:space="preserve">Turnover on the stock markets increased significantly. </w:t>
      </w:r>
      <w:r>
        <w:rPr>
          <w:rFonts w:ascii="Times New Roman" w:hAnsi="Times New Roman" w:cs="Times New Roman"/>
          <w:sz w:val="24"/>
          <w:szCs w:val="24"/>
        </w:rPr>
        <w:t xml:space="preserve">In H1, the combined turnover of the Shanghai and Shenzhen stock exchanges reached RMB 69.5 trillion and the average daily turnover was RMB 589.3 billion, with an increase of 33.7 percent year on year. Turnover on the GEM Board totaled RMB 11.3 trillion, with an increase of 24.5 percent year on year. At end-June, the combined market capitalization of the Shanghai and Shenzhen exchanges posted RMB 44.3 trillion, with an increase of 10.2 percent year on year. The market capitalization of tradable shares on the GEM Board posted RMB 3.3 trillion, an increase of 11.7 percent year on year. </w:t>
      </w:r>
    </w:p>
    <w:p>
      <w:pPr>
        <w:autoSpaceDE w:val="0"/>
        <w:autoSpaceDN w:val="0"/>
        <w:adjustRightInd w:val="0"/>
        <w:rPr>
          <w:rFonts w:ascii="Times New Roman" w:hAnsi="Times New Roman" w:cs="Times New Roman"/>
          <w:sz w:val="24"/>
          <w:szCs w:val="24"/>
        </w:rPr>
      </w:pPr>
    </w:p>
    <w:p>
      <w:pPr>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The size of financing grew year on year.</w:t>
      </w:r>
      <w:r>
        <w:rPr>
          <w:rFonts w:ascii="Times New Roman" w:hAnsi="Times New Roman" w:cs="Times New Roman"/>
          <w:sz w:val="24"/>
          <w:szCs w:val="24"/>
        </w:rPr>
        <w:t xml:space="preserve"> In H1, domestic enterprises and financial institutions raised a total of RMB 365.9 billion by way of IPOs, additional offerings, rights issues, and warrant exercises on the domestic and overseas stock markets, registering an increase of 7.1 percent year on year. Among this total, RMB 331.9 billion was raised on the A-share market, up 6.7 percent year on year.</w:t>
      </w:r>
    </w:p>
    <w:p>
      <w:pPr>
        <w:autoSpaceDE w:val="0"/>
        <w:autoSpaceDN w:val="0"/>
        <w:adjustRightInd w:val="0"/>
        <w:rPr>
          <w:rFonts w:ascii="Times New Roman" w:hAnsi="Times New Roman" w:cs="Times New Roman"/>
          <w:sz w:val="24"/>
          <w:szCs w:val="24"/>
        </w:rPr>
      </w:pPr>
    </w:p>
    <w:p>
      <w:pPr>
        <w:autoSpaceDE w:val="0"/>
        <w:autoSpaceDN w:val="0"/>
        <w:adjustRightInd w:val="0"/>
        <w:spacing w:after="160"/>
        <w:rPr>
          <w:rFonts w:ascii="Times New Roman" w:hAnsi="Times New Roman" w:cs="Times New Roman"/>
          <w:b/>
          <w:bCs/>
          <w:sz w:val="24"/>
          <w:szCs w:val="24"/>
        </w:rPr>
      </w:pPr>
      <w:r>
        <w:rPr>
          <w:rFonts w:ascii="Times New Roman" w:hAnsi="Times New Roman" w:cs="Times New Roman"/>
          <w:b/>
          <w:bCs/>
          <w:sz w:val="24"/>
          <w:szCs w:val="24"/>
        </w:rPr>
        <w:t>5. Growth of premium income in the insurance sector picked up</w:t>
      </w:r>
    </w:p>
    <w:p>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In H1, total premium income in the insurance sector amounted to RMB 2.6 trillion, with a year-on-year increase of 14.2 percent, 15.7 percentage points higher than the growth rate in 2018. Claim and benefit payments totaled RMB 623.2 billion, with a year-on-year increase of 4.1 percent. Specifically, total property-insurance claim and benefit payments increased 11 percent year on year, while total life-insurance claim and benefit payments fell 1.3 percent year on year.</w:t>
      </w:r>
    </w:p>
    <w:p>
      <w:pPr>
        <w:autoSpaceDE w:val="0"/>
        <w:autoSpaceDN w:val="0"/>
        <w:adjustRightInd w:val="0"/>
        <w:rPr>
          <w:rFonts w:ascii="Times New Roman" w:hAnsi="Times New Roman" w:cs="Times New Roman"/>
          <w:sz w:val="24"/>
          <w:szCs w:val="24"/>
        </w:rPr>
      </w:pPr>
    </w:p>
    <w:p>
      <w:pPr>
        <w:pStyle w:val="5"/>
        <w:jc w:val="center"/>
      </w:pPr>
      <w:bookmarkStart w:id="149" w:name="_Toc524442950"/>
      <w:bookmarkStart w:id="150" w:name="_Toc17809072"/>
      <w:r>
        <w:rPr>
          <w:rFonts w:ascii="Times New Roman" w:hAnsi="Times New Roman" w:cs="Times New Roman"/>
          <w:b/>
          <w:bCs/>
          <w:sz w:val="24"/>
          <w:szCs w:val="24"/>
        </w:rPr>
        <w:t xml:space="preserve">Table </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SEQ Table \* ARABIC </w:instrText>
      </w:r>
      <w:r>
        <w:rPr>
          <w:rFonts w:ascii="Times New Roman" w:hAnsi="Times New Roman" w:cs="Times New Roman"/>
          <w:b/>
          <w:bCs/>
          <w:sz w:val="24"/>
          <w:szCs w:val="24"/>
        </w:rPr>
        <w:fldChar w:fldCharType="separate"/>
      </w:r>
      <w:r>
        <w:rPr>
          <w:rFonts w:ascii="Times New Roman" w:hAnsi="Times New Roman" w:cs="Times New Roman"/>
          <w:b/>
          <w:bCs/>
          <w:sz w:val="24"/>
          <w:szCs w:val="24"/>
        </w:rPr>
        <w:t>11</w:t>
      </w:r>
      <w:r>
        <w:rPr>
          <w:rFonts w:ascii="Times New Roman" w:hAnsi="Times New Roman" w:cs="Times New Roman"/>
          <w:b/>
          <w:bCs/>
          <w:sz w:val="24"/>
          <w:szCs w:val="24"/>
        </w:rPr>
        <w:fldChar w:fldCharType="end"/>
      </w:r>
      <w:r>
        <w:rPr>
          <w:rFonts w:hint="eastAsia" w:ascii="Times New Roman" w:hAnsi="Times New Roman" w:cs="Times New Roman"/>
          <w:b/>
          <w:bCs/>
          <w:sz w:val="24"/>
          <w:szCs w:val="24"/>
        </w:rPr>
        <w:t xml:space="preserve"> </w:t>
      </w:r>
      <w:r>
        <w:rPr>
          <w:rFonts w:ascii="Times New Roman" w:hAnsi="Times New Roman" w:cs="Times New Roman"/>
          <w:b/>
          <w:bCs/>
          <w:sz w:val="24"/>
          <w:szCs w:val="24"/>
        </w:rPr>
        <w:t>Asset Allocations in the Insurance Sector at End-June 201</w:t>
      </w:r>
      <w:bookmarkEnd w:id="149"/>
      <w:r>
        <w:rPr>
          <w:rFonts w:ascii="Times New Roman" w:hAnsi="Times New Roman" w:cs="Times New Roman"/>
          <w:b/>
          <w:bCs/>
          <w:sz w:val="24"/>
          <w:szCs w:val="24"/>
        </w:rPr>
        <w:t>9</w:t>
      </w:r>
      <w:bookmarkEnd w:id="150"/>
    </w:p>
    <w:p>
      <w:pPr>
        <w:keepNext/>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 xml:space="preserve"> Unit: RMB100 million, %</w:t>
      </w:r>
    </w:p>
    <w:tbl>
      <w:tblPr>
        <w:tblStyle w:val="14"/>
        <w:tblW w:w="8583" w:type="dxa"/>
        <w:jc w:val="center"/>
        <w:tblInd w:w="0" w:type="dxa"/>
        <w:tblLayout w:type="fixed"/>
        <w:tblCellMar>
          <w:top w:w="0" w:type="dxa"/>
          <w:left w:w="0" w:type="dxa"/>
          <w:bottom w:w="0" w:type="dxa"/>
          <w:right w:w="0" w:type="dxa"/>
        </w:tblCellMar>
      </w:tblPr>
      <w:tblGrid>
        <w:gridCol w:w="2372"/>
        <w:gridCol w:w="1682"/>
        <w:gridCol w:w="1490"/>
        <w:gridCol w:w="1535"/>
        <w:gridCol w:w="1504"/>
      </w:tblGrid>
      <w:tr>
        <w:tblPrEx>
          <w:tblLayout w:type="fixed"/>
          <w:tblCellMar>
            <w:top w:w="0" w:type="dxa"/>
            <w:left w:w="0" w:type="dxa"/>
            <w:bottom w:w="0" w:type="dxa"/>
            <w:right w:w="0" w:type="dxa"/>
          </w:tblCellMar>
        </w:tblPrEx>
        <w:trPr>
          <w:trHeight w:val="402" w:hRule="atLeast"/>
          <w:jc w:val="center"/>
        </w:trPr>
        <w:tc>
          <w:tcPr>
            <w:tcW w:w="2372" w:type="dxa"/>
            <w:tcBorders>
              <w:top w:val="single" w:color="339966" w:sz="12" w:space="0"/>
              <w:left w:val="nil"/>
              <w:bottom w:val="nil"/>
              <w:right w:val="single" w:color="339966" w:sz="4" w:space="0"/>
            </w:tcBorders>
            <w:shd w:val="clear" w:color="auto" w:fill="CCFFCC"/>
            <w:vAlign w:val="center"/>
          </w:tcPr>
          <w:p>
            <w:pPr>
              <w:rPr>
                <w:rFonts w:ascii="Times New Roman" w:hAnsi="Times New Roman" w:cs="Times New Roman"/>
                <w:sz w:val="24"/>
                <w:szCs w:val="24"/>
              </w:rPr>
            </w:pPr>
          </w:p>
        </w:tc>
        <w:tc>
          <w:tcPr>
            <w:tcW w:w="3172" w:type="dxa"/>
            <w:gridSpan w:val="2"/>
            <w:tcBorders>
              <w:top w:val="single" w:color="008000" w:sz="12" w:space="0"/>
              <w:left w:val="nil"/>
              <w:bottom w:val="single" w:color="008000" w:sz="4" w:space="0"/>
              <w:right w:val="single" w:color="008000" w:sz="4" w:space="0"/>
            </w:tcBorders>
            <w:shd w:val="clear" w:color="auto" w:fill="CCFFCC"/>
            <w:vAlign w:val="center"/>
          </w:tcPr>
          <w:p>
            <w:pPr>
              <w:jc w:val="center"/>
              <w:rPr>
                <w:rFonts w:ascii="Times New Roman" w:hAnsi="Times New Roman" w:cs="Times New Roman"/>
                <w:sz w:val="24"/>
                <w:szCs w:val="24"/>
              </w:rPr>
            </w:pPr>
            <w:r>
              <w:rPr>
                <w:rFonts w:ascii="Times New Roman" w:hAnsi="Times New Roman" w:cs="Times New Roman"/>
                <w:sz w:val="24"/>
                <w:szCs w:val="24"/>
              </w:rPr>
              <w:t>Balance</w:t>
            </w:r>
          </w:p>
        </w:tc>
        <w:tc>
          <w:tcPr>
            <w:tcW w:w="3039" w:type="dxa"/>
            <w:gridSpan w:val="2"/>
            <w:tcBorders>
              <w:top w:val="single" w:color="008000" w:sz="12" w:space="0"/>
              <w:left w:val="nil"/>
              <w:bottom w:val="single" w:color="008000" w:sz="4" w:space="0"/>
              <w:right w:val="nil"/>
            </w:tcBorders>
            <w:shd w:val="clear" w:color="auto" w:fill="CCFFCC"/>
            <w:vAlign w:val="center"/>
          </w:tcPr>
          <w:p>
            <w:pPr>
              <w:jc w:val="center"/>
              <w:rPr>
                <w:rFonts w:ascii="Times New Roman" w:hAnsi="Times New Roman" w:cs="Times New Roman"/>
                <w:sz w:val="24"/>
                <w:szCs w:val="24"/>
              </w:rPr>
            </w:pPr>
            <w:r>
              <w:rPr>
                <w:rFonts w:ascii="Times New Roman" w:hAnsi="Times New Roman" w:cs="Times New Roman"/>
                <w:sz w:val="24"/>
                <w:szCs w:val="24"/>
              </w:rPr>
              <w:t xml:space="preserve">As a share of total assets </w:t>
            </w:r>
          </w:p>
        </w:tc>
      </w:tr>
      <w:tr>
        <w:tblPrEx>
          <w:tblLayout w:type="fixed"/>
          <w:tblCellMar>
            <w:top w:w="0" w:type="dxa"/>
            <w:left w:w="0" w:type="dxa"/>
            <w:bottom w:w="0" w:type="dxa"/>
            <w:right w:w="0" w:type="dxa"/>
          </w:tblCellMar>
        </w:tblPrEx>
        <w:trPr>
          <w:trHeight w:val="258" w:hRule="atLeast"/>
          <w:jc w:val="center"/>
        </w:trPr>
        <w:tc>
          <w:tcPr>
            <w:tcW w:w="2372" w:type="dxa"/>
            <w:tcBorders>
              <w:top w:val="nil"/>
              <w:left w:val="nil"/>
              <w:bottom w:val="single" w:color="339966" w:sz="6" w:space="0"/>
              <w:right w:val="single" w:color="339966" w:sz="4" w:space="0"/>
            </w:tcBorders>
            <w:vAlign w:val="center"/>
          </w:tcPr>
          <w:p>
            <w:pPr>
              <w:keepNext/>
              <w:keepLines/>
              <w:spacing w:beforeLines="200" w:afterLines="100"/>
              <w:outlineLvl w:val="0"/>
              <w:rPr>
                <w:rFonts w:ascii="Times New Roman" w:hAnsi="Times New Roman" w:cs="Times New Roman"/>
                <w:sz w:val="24"/>
                <w:szCs w:val="24"/>
              </w:rPr>
            </w:pPr>
          </w:p>
        </w:tc>
        <w:tc>
          <w:tcPr>
            <w:tcW w:w="1682" w:type="dxa"/>
            <w:tcBorders>
              <w:top w:val="single" w:color="008000" w:sz="4" w:space="0"/>
              <w:left w:val="nil"/>
              <w:bottom w:val="single" w:color="339966" w:sz="6" w:space="0"/>
              <w:right w:val="single" w:color="008000" w:sz="4" w:space="0"/>
            </w:tcBorders>
            <w:vAlign w:val="center"/>
          </w:tcPr>
          <w:p>
            <w:pPr>
              <w:jc w:val="center"/>
              <w:rPr>
                <w:rFonts w:ascii="Times New Roman" w:hAnsi="Times New Roman" w:cs="Times New Roman"/>
                <w:sz w:val="24"/>
                <w:szCs w:val="24"/>
              </w:rPr>
            </w:pPr>
            <w:r>
              <w:rPr>
                <w:rFonts w:ascii="Times New Roman" w:hAnsi="Times New Roman" w:cs="Times New Roman"/>
                <w:sz w:val="24"/>
                <w:szCs w:val="24"/>
              </w:rPr>
              <w:t>End-June</w:t>
            </w:r>
          </w:p>
          <w:p>
            <w:pPr>
              <w:jc w:val="center"/>
              <w:rPr>
                <w:rFonts w:ascii="Times New Roman" w:hAnsi="Times New Roman" w:cs="Times New Roman"/>
                <w:sz w:val="24"/>
                <w:szCs w:val="24"/>
              </w:rPr>
            </w:pPr>
            <w:r>
              <w:rPr>
                <w:rFonts w:ascii="Times New Roman" w:hAnsi="Times New Roman" w:cs="Times New Roman"/>
                <w:sz w:val="24"/>
                <w:szCs w:val="24"/>
              </w:rPr>
              <w:t>2019</w:t>
            </w:r>
          </w:p>
        </w:tc>
        <w:tc>
          <w:tcPr>
            <w:tcW w:w="1490" w:type="dxa"/>
            <w:tcBorders>
              <w:top w:val="single" w:color="008000" w:sz="4" w:space="0"/>
              <w:left w:val="nil"/>
              <w:bottom w:val="single" w:color="339966" w:sz="6" w:space="0"/>
              <w:right w:val="single" w:color="008000" w:sz="4" w:space="0"/>
            </w:tcBorders>
            <w:vAlign w:val="center"/>
          </w:tcPr>
          <w:p>
            <w:pPr>
              <w:jc w:val="center"/>
              <w:rPr>
                <w:rFonts w:ascii="Times New Roman" w:hAnsi="Times New Roman" w:cs="Times New Roman"/>
                <w:sz w:val="24"/>
                <w:szCs w:val="24"/>
              </w:rPr>
            </w:pPr>
            <w:r>
              <w:rPr>
                <w:rFonts w:ascii="Times New Roman" w:hAnsi="Times New Roman" w:cs="Times New Roman"/>
                <w:sz w:val="24"/>
                <w:szCs w:val="24"/>
              </w:rPr>
              <w:t>End-June</w:t>
            </w:r>
          </w:p>
          <w:p>
            <w:pPr>
              <w:jc w:val="center"/>
              <w:rPr>
                <w:rFonts w:ascii="Times New Roman" w:hAnsi="Times New Roman" w:cs="Times New Roman"/>
                <w:sz w:val="24"/>
                <w:szCs w:val="24"/>
              </w:rPr>
            </w:pPr>
            <w:r>
              <w:rPr>
                <w:rFonts w:ascii="Times New Roman" w:hAnsi="Times New Roman" w:cs="Times New Roman"/>
                <w:sz w:val="24"/>
                <w:szCs w:val="24"/>
              </w:rPr>
              <w:t>2018</w:t>
            </w:r>
          </w:p>
        </w:tc>
        <w:tc>
          <w:tcPr>
            <w:tcW w:w="1535" w:type="dxa"/>
            <w:tcBorders>
              <w:top w:val="single" w:color="008000" w:sz="4" w:space="0"/>
              <w:left w:val="nil"/>
              <w:bottom w:val="single" w:color="339966" w:sz="6" w:space="0"/>
              <w:right w:val="single" w:color="008000" w:sz="4" w:space="0"/>
            </w:tcBorders>
            <w:vAlign w:val="center"/>
          </w:tcPr>
          <w:p>
            <w:pPr>
              <w:jc w:val="center"/>
              <w:rPr>
                <w:rFonts w:ascii="Times New Roman" w:hAnsi="Times New Roman" w:cs="Times New Roman"/>
                <w:sz w:val="24"/>
                <w:szCs w:val="24"/>
              </w:rPr>
            </w:pPr>
            <w:r>
              <w:rPr>
                <w:rFonts w:ascii="Times New Roman" w:hAnsi="Times New Roman" w:cs="Times New Roman"/>
                <w:sz w:val="24"/>
                <w:szCs w:val="24"/>
              </w:rPr>
              <w:t>End-June</w:t>
            </w:r>
          </w:p>
          <w:p>
            <w:pPr>
              <w:jc w:val="center"/>
              <w:rPr>
                <w:rFonts w:ascii="Times New Roman" w:hAnsi="Times New Roman" w:cs="Times New Roman"/>
                <w:sz w:val="24"/>
                <w:szCs w:val="24"/>
              </w:rPr>
            </w:pPr>
            <w:r>
              <w:rPr>
                <w:rFonts w:ascii="Times New Roman" w:hAnsi="Times New Roman" w:cs="Times New Roman"/>
                <w:sz w:val="24"/>
                <w:szCs w:val="24"/>
              </w:rPr>
              <w:t xml:space="preserve"> 2019</w:t>
            </w:r>
          </w:p>
        </w:tc>
        <w:tc>
          <w:tcPr>
            <w:tcW w:w="1504" w:type="dxa"/>
            <w:tcBorders>
              <w:top w:val="single" w:color="008000" w:sz="4" w:space="0"/>
              <w:left w:val="nil"/>
              <w:bottom w:val="single" w:color="339966" w:sz="6" w:space="0"/>
              <w:right w:val="nil"/>
            </w:tcBorders>
            <w:vAlign w:val="center"/>
          </w:tcPr>
          <w:p>
            <w:pPr>
              <w:jc w:val="center"/>
              <w:rPr>
                <w:rFonts w:ascii="Times New Roman" w:hAnsi="Times New Roman" w:cs="Times New Roman"/>
                <w:sz w:val="24"/>
                <w:szCs w:val="24"/>
              </w:rPr>
            </w:pPr>
            <w:r>
              <w:rPr>
                <w:rFonts w:ascii="Times New Roman" w:hAnsi="Times New Roman" w:cs="Times New Roman"/>
                <w:sz w:val="24"/>
                <w:szCs w:val="24"/>
              </w:rPr>
              <w:t>End-June</w:t>
            </w:r>
          </w:p>
          <w:p>
            <w:pPr>
              <w:jc w:val="center"/>
              <w:rPr>
                <w:rFonts w:ascii="Times New Roman" w:hAnsi="Times New Roman" w:cs="Times New Roman"/>
                <w:sz w:val="24"/>
                <w:szCs w:val="24"/>
              </w:rPr>
            </w:pPr>
            <w:r>
              <w:rPr>
                <w:rFonts w:ascii="Times New Roman" w:hAnsi="Times New Roman" w:cs="Times New Roman"/>
                <w:sz w:val="24"/>
                <w:szCs w:val="24"/>
              </w:rPr>
              <w:t xml:space="preserve"> 2018</w:t>
            </w:r>
          </w:p>
        </w:tc>
      </w:tr>
      <w:tr>
        <w:tblPrEx>
          <w:tblLayout w:type="fixed"/>
          <w:tblCellMar>
            <w:top w:w="0" w:type="dxa"/>
            <w:left w:w="0" w:type="dxa"/>
            <w:bottom w:w="0" w:type="dxa"/>
            <w:right w:w="0" w:type="dxa"/>
          </w:tblCellMar>
        </w:tblPrEx>
        <w:trPr>
          <w:trHeight w:val="402" w:hRule="atLeast"/>
          <w:jc w:val="center"/>
        </w:trPr>
        <w:tc>
          <w:tcPr>
            <w:tcW w:w="2372" w:type="dxa"/>
            <w:tcBorders>
              <w:top w:val="single" w:color="339966" w:sz="6" w:space="0"/>
              <w:left w:val="nil"/>
              <w:bottom w:val="nil"/>
              <w:right w:val="single" w:color="339966" w:sz="4" w:space="0"/>
            </w:tcBorders>
            <w:shd w:val="clear" w:color="auto" w:fill="CCFFCC"/>
            <w:vAlign w:val="center"/>
          </w:tcPr>
          <w:p>
            <w:pPr>
              <w:rPr>
                <w:rFonts w:ascii="Times New Roman" w:hAnsi="Times New Roman" w:cs="Times New Roman"/>
                <w:sz w:val="24"/>
                <w:szCs w:val="24"/>
              </w:rPr>
            </w:pPr>
            <w:r>
              <w:rPr>
                <w:rFonts w:ascii="Times New Roman" w:hAnsi="Times New Roman" w:cs="Times New Roman"/>
                <w:sz w:val="24"/>
                <w:szCs w:val="24"/>
              </w:rPr>
              <w:t xml:space="preserve">Total assets </w:t>
            </w:r>
          </w:p>
        </w:tc>
        <w:tc>
          <w:tcPr>
            <w:tcW w:w="1682" w:type="dxa"/>
            <w:tcBorders>
              <w:top w:val="single" w:color="339966" w:sz="6" w:space="0"/>
              <w:left w:val="nil"/>
              <w:bottom w:val="nil"/>
              <w:right w:val="single" w:color="008000" w:sz="4" w:space="0"/>
            </w:tcBorders>
            <w:shd w:val="clear" w:color="auto" w:fill="CCFFCC"/>
            <w:vAlign w:val="center"/>
          </w:tcPr>
          <w:p>
            <w:pPr>
              <w:ind w:left="-42" w:leftChars="-20" w:right="273" w:rightChars="130"/>
              <w:jc w:val="center"/>
              <w:rPr>
                <w:rFonts w:ascii="Times New Roman" w:hAnsi="Times New Roman" w:cs="Times New Roman"/>
                <w:sz w:val="24"/>
                <w:szCs w:val="24"/>
              </w:rPr>
            </w:pPr>
            <w:r>
              <w:rPr>
                <w:rFonts w:ascii="Times New Roman" w:hAnsi="Times New Roman" w:cs="Times New Roman"/>
                <w:sz w:val="24"/>
                <w:szCs w:val="24"/>
              </w:rPr>
              <w:t xml:space="preserve">   195,026</w:t>
            </w:r>
          </w:p>
        </w:tc>
        <w:tc>
          <w:tcPr>
            <w:tcW w:w="1490" w:type="dxa"/>
            <w:tcBorders>
              <w:top w:val="single" w:color="339966" w:sz="6" w:space="0"/>
              <w:left w:val="single" w:color="008000" w:sz="4" w:space="0"/>
              <w:bottom w:val="nil"/>
              <w:right w:val="single" w:color="008000" w:sz="4" w:space="0"/>
            </w:tcBorders>
            <w:shd w:val="clear" w:color="auto" w:fill="CCFFCC"/>
            <w:vAlign w:val="center"/>
          </w:tcPr>
          <w:p>
            <w:pPr>
              <w:ind w:left="-42" w:leftChars="-20" w:right="273" w:rightChars="130"/>
              <w:jc w:val="center"/>
              <w:rPr>
                <w:rFonts w:ascii="Times New Roman" w:hAnsi="Times New Roman" w:cs="Times New Roman"/>
                <w:sz w:val="24"/>
                <w:szCs w:val="24"/>
              </w:rPr>
            </w:pPr>
            <w:r>
              <w:rPr>
                <w:rFonts w:ascii="Times New Roman" w:hAnsi="Times New Roman" w:cs="Times New Roman"/>
                <w:sz w:val="24"/>
                <w:szCs w:val="24"/>
              </w:rPr>
              <w:t xml:space="preserve">   176,442</w:t>
            </w:r>
          </w:p>
        </w:tc>
        <w:tc>
          <w:tcPr>
            <w:tcW w:w="1535" w:type="dxa"/>
            <w:tcBorders>
              <w:top w:val="single" w:color="339966" w:sz="6" w:space="0"/>
              <w:left w:val="single" w:color="008000" w:sz="4" w:space="0"/>
              <w:bottom w:val="nil"/>
              <w:right w:val="single" w:color="008000" w:sz="4" w:space="0"/>
            </w:tcBorders>
            <w:shd w:val="clear" w:color="auto" w:fill="CCFFCC"/>
            <w:vAlign w:val="center"/>
          </w:tcPr>
          <w:p>
            <w:pPr>
              <w:ind w:left="-42" w:leftChars="-20" w:right="273" w:rightChars="130"/>
              <w:jc w:val="center"/>
              <w:rPr>
                <w:rFonts w:ascii="Times New Roman" w:hAnsi="Times New Roman" w:cs="Times New Roman"/>
                <w:sz w:val="24"/>
                <w:szCs w:val="24"/>
              </w:rPr>
            </w:pPr>
            <w:r>
              <w:rPr>
                <w:rFonts w:ascii="Times New Roman" w:hAnsi="Times New Roman" w:cs="Times New Roman"/>
                <w:sz w:val="24"/>
                <w:szCs w:val="24"/>
              </w:rPr>
              <w:t xml:space="preserve">  100.0</w:t>
            </w:r>
          </w:p>
        </w:tc>
        <w:tc>
          <w:tcPr>
            <w:tcW w:w="1504" w:type="dxa"/>
            <w:tcBorders>
              <w:top w:val="single" w:color="339966" w:sz="6" w:space="0"/>
              <w:left w:val="single" w:color="008000" w:sz="4" w:space="0"/>
              <w:bottom w:val="nil"/>
              <w:right w:val="nil"/>
            </w:tcBorders>
            <w:shd w:val="clear" w:color="auto" w:fill="CCFFCC"/>
            <w:vAlign w:val="center"/>
          </w:tcPr>
          <w:p>
            <w:pPr>
              <w:ind w:left="-42" w:leftChars="-20" w:right="273" w:rightChars="130"/>
              <w:jc w:val="center"/>
              <w:rPr>
                <w:rFonts w:ascii="Times New Roman" w:hAnsi="Times New Roman" w:cs="Times New Roman"/>
                <w:sz w:val="24"/>
                <w:szCs w:val="24"/>
              </w:rPr>
            </w:pPr>
            <w:r>
              <w:rPr>
                <w:rFonts w:ascii="Times New Roman" w:hAnsi="Times New Roman" w:cs="Times New Roman"/>
                <w:sz w:val="24"/>
                <w:szCs w:val="24"/>
              </w:rPr>
              <w:t xml:space="preserve">  100.0</w:t>
            </w:r>
          </w:p>
        </w:tc>
      </w:tr>
      <w:tr>
        <w:tblPrEx>
          <w:tblLayout w:type="fixed"/>
          <w:tblCellMar>
            <w:top w:w="0" w:type="dxa"/>
            <w:left w:w="0" w:type="dxa"/>
            <w:bottom w:w="0" w:type="dxa"/>
            <w:right w:w="0" w:type="dxa"/>
          </w:tblCellMar>
        </w:tblPrEx>
        <w:trPr>
          <w:trHeight w:val="402" w:hRule="atLeast"/>
          <w:jc w:val="center"/>
        </w:trPr>
        <w:tc>
          <w:tcPr>
            <w:tcW w:w="2372" w:type="dxa"/>
            <w:tcBorders>
              <w:top w:val="nil"/>
              <w:left w:val="nil"/>
              <w:bottom w:val="nil"/>
              <w:right w:val="single" w:color="339966" w:sz="4" w:space="0"/>
            </w:tcBorders>
            <w:vAlign w:val="center"/>
          </w:tcPr>
          <w:p>
            <w:pPr>
              <w:ind w:firstLine="120" w:firstLineChars="50"/>
              <w:rPr>
                <w:rFonts w:ascii="Times New Roman" w:hAnsi="Times New Roman" w:cs="Times New Roman"/>
                <w:sz w:val="24"/>
                <w:szCs w:val="24"/>
              </w:rPr>
            </w:pPr>
            <w:r>
              <w:rPr>
                <w:rFonts w:ascii="Times New Roman" w:hAnsi="Times New Roman" w:cs="Times New Roman"/>
                <w:sz w:val="24"/>
                <w:szCs w:val="24"/>
              </w:rPr>
              <w:t>Of which: Bank deposits</w:t>
            </w:r>
          </w:p>
        </w:tc>
        <w:tc>
          <w:tcPr>
            <w:tcW w:w="1682" w:type="dxa"/>
            <w:tcBorders>
              <w:top w:val="nil"/>
              <w:left w:val="nil"/>
              <w:bottom w:val="nil"/>
              <w:right w:val="single" w:color="008000" w:sz="4" w:space="0"/>
            </w:tcBorders>
            <w:vAlign w:val="center"/>
          </w:tcPr>
          <w:p>
            <w:pPr>
              <w:ind w:left="-42" w:leftChars="-20" w:right="273" w:rightChars="130"/>
              <w:jc w:val="center"/>
              <w:rPr>
                <w:rFonts w:ascii="Times New Roman" w:hAnsi="Times New Roman" w:cs="Times New Roman"/>
                <w:sz w:val="24"/>
                <w:szCs w:val="24"/>
              </w:rPr>
            </w:pPr>
            <w:r>
              <w:rPr>
                <w:rFonts w:ascii="Times New Roman" w:hAnsi="Times New Roman" w:cs="Times New Roman"/>
                <w:sz w:val="24"/>
                <w:szCs w:val="24"/>
              </w:rPr>
              <w:t xml:space="preserve">   26,335</w:t>
            </w:r>
          </w:p>
        </w:tc>
        <w:tc>
          <w:tcPr>
            <w:tcW w:w="1490" w:type="dxa"/>
            <w:tcBorders>
              <w:top w:val="nil"/>
              <w:left w:val="single" w:color="008000" w:sz="4" w:space="0"/>
              <w:bottom w:val="nil"/>
              <w:right w:val="single" w:color="008000" w:sz="4" w:space="0"/>
            </w:tcBorders>
            <w:vAlign w:val="center"/>
          </w:tcPr>
          <w:p>
            <w:pPr>
              <w:ind w:left="-42" w:leftChars="-20" w:right="273" w:rightChars="130"/>
              <w:jc w:val="center"/>
              <w:rPr>
                <w:rFonts w:ascii="Times New Roman" w:hAnsi="Times New Roman" w:cs="Times New Roman"/>
                <w:sz w:val="24"/>
                <w:szCs w:val="24"/>
              </w:rPr>
            </w:pPr>
            <w:r>
              <w:rPr>
                <w:rFonts w:ascii="Times New Roman" w:hAnsi="Times New Roman" w:cs="Times New Roman"/>
                <w:sz w:val="24"/>
                <w:szCs w:val="24"/>
              </w:rPr>
              <w:t xml:space="preserve">   21,420</w:t>
            </w:r>
          </w:p>
        </w:tc>
        <w:tc>
          <w:tcPr>
            <w:tcW w:w="1535" w:type="dxa"/>
            <w:tcBorders>
              <w:top w:val="nil"/>
              <w:left w:val="single" w:color="008000" w:sz="4" w:space="0"/>
              <w:bottom w:val="nil"/>
              <w:right w:val="single" w:color="008000" w:sz="4" w:space="0"/>
            </w:tcBorders>
            <w:vAlign w:val="center"/>
          </w:tcPr>
          <w:p>
            <w:pPr>
              <w:ind w:left="-42" w:leftChars="-20" w:right="273" w:rightChars="130"/>
              <w:jc w:val="center"/>
              <w:rPr>
                <w:rFonts w:ascii="Times New Roman" w:hAnsi="Times New Roman" w:cs="Times New Roman"/>
                <w:sz w:val="24"/>
                <w:szCs w:val="24"/>
              </w:rPr>
            </w:pPr>
            <w:r>
              <w:rPr>
                <w:rFonts w:ascii="Times New Roman" w:hAnsi="Times New Roman" w:cs="Times New Roman"/>
                <w:sz w:val="24"/>
                <w:szCs w:val="24"/>
              </w:rPr>
              <w:t xml:space="preserve">  13.5</w:t>
            </w:r>
          </w:p>
        </w:tc>
        <w:tc>
          <w:tcPr>
            <w:tcW w:w="1504" w:type="dxa"/>
            <w:tcBorders>
              <w:top w:val="nil"/>
              <w:left w:val="single" w:color="008000" w:sz="4" w:space="0"/>
              <w:bottom w:val="nil"/>
              <w:right w:val="nil"/>
            </w:tcBorders>
            <w:vAlign w:val="center"/>
          </w:tcPr>
          <w:p>
            <w:pPr>
              <w:ind w:left="-42" w:leftChars="-20" w:right="273" w:rightChars="130"/>
              <w:jc w:val="center"/>
              <w:rPr>
                <w:rFonts w:ascii="Times New Roman" w:hAnsi="Times New Roman" w:cs="Times New Roman"/>
                <w:sz w:val="24"/>
                <w:szCs w:val="24"/>
              </w:rPr>
            </w:pPr>
            <w:r>
              <w:rPr>
                <w:rFonts w:ascii="Times New Roman" w:hAnsi="Times New Roman" w:cs="Times New Roman"/>
                <w:sz w:val="24"/>
                <w:szCs w:val="24"/>
              </w:rPr>
              <w:t xml:space="preserve">  12.1</w:t>
            </w:r>
          </w:p>
        </w:tc>
      </w:tr>
      <w:tr>
        <w:tblPrEx>
          <w:tblLayout w:type="fixed"/>
          <w:tblCellMar>
            <w:top w:w="0" w:type="dxa"/>
            <w:left w:w="0" w:type="dxa"/>
            <w:bottom w:w="0" w:type="dxa"/>
            <w:right w:w="0" w:type="dxa"/>
          </w:tblCellMar>
        </w:tblPrEx>
        <w:trPr>
          <w:trHeight w:val="374" w:hRule="exact"/>
          <w:jc w:val="center"/>
        </w:trPr>
        <w:tc>
          <w:tcPr>
            <w:tcW w:w="2372" w:type="dxa"/>
            <w:tcBorders>
              <w:top w:val="nil"/>
              <w:left w:val="nil"/>
              <w:bottom w:val="single" w:color="339966" w:sz="12" w:space="0"/>
              <w:right w:val="single" w:color="339966" w:sz="4" w:space="0"/>
            </w:tcBorders>
            <w:shd w:val="clear" w:color="auto" w:fill="CCFFCC"/>
            <w:vAlign w:val="center"/>
          </w:tcPr>
          <w:p>
            <w:pPr>
              <w:ind w:left="1650" w:leftChars="100" w:hanging="1440" w:hangingChars="600"/>
              <w:rPr>
                <w:rFonts w:ascii="Times New Roman" w:hAnsi="Times New Roman" w:cs="Times New Roman"/>
                <w:sz w:val="24"/>
                <w:szCs w:val="24"/>
              </w:rPr>
            </w:pPr>
            <w:r>
              <w:rPr>
                <w:rFonts w:ascii="Times New Roman" w:hAnsi="Times New Roman" w:cs="Times New Roman"/>
                <w:sz w:val="24"/>
                <w:szCs w:val="24"/>
              </w:rPr>
              <w:t xml:space="preserve">        Investments </w:t>
            </w:r>
          </w:p>
        </w:tc>
        <w:tc>
          <w:tcPr>
            <w:tcW w:w="1682" w:type="dxa"/>
            <w:tcBorders>
              <w:top w:val="nil"/>
              <w:left w:val="nil"/>
              <w:bottom w:val="single" w:color="339966" w:sz="12" w:space="0"/>
              <w:right w:val="single" w:color="008000" w:sz="4" w:space="0"/>
            </w:tcBorders>
            <w:shd w:val="clear" w:color="auto" w:fill="CCFFCC"/>
            <w:vAlign w:val="center"/>
          </w:tcPr>
          <w:p>
            <w:pPr>
              <w:ind w:left="-42" w:leftChars="-20" w:right="273" w:rightChars="130"/>
              <w:jc w:val="center"/>
              <w:rPr>
                <w:rFonts w:ascii="Times New Roman" w:hAnsi="Times New Roman" w:cs="Times New Roman"/>
                <w:sz w:val="24"/>
                <w:szCs w:val="24"/>
              </w:rPr>
            </w:pPr>
            <w:r>
              <w:rPr>
                <w:rFonts w:ascii="Times New Roman" w:hAnsi="Times New Roman" w:cs="Times New Roman"/>
                <w:sz w:val="24"/>
                <w:szCs w:val="24"/>
              </w:rPr>
              <w:t xml:space="preserve">   147,337</w:t>
            </w:r>
          </w:p>
        </w:tc>
        <w:tc>
          <w:tcPr>
            <w:tcW w:w="1490" w:type="dxa"/>
            <w:tcBorders>
              <w:top w:val="nil"/>
              <w:left w:val="single" w:color="008000" w:sz="4" w:space="0"/>
              <w:bottom w:val="single" w:color="339966" w:sz="12" w:space="0"/>
              <w:right w:val="single" w:color="008000" w:sz="4" w:space="0"/>
            </w:tcBorders>
            <w:shd w:val="clear" w:color="auto" w:fill="CCFFCC"/>
            <w:vAlign w:val="center"/>
          </w:tcPr>
          <w:p>
            <w:pPr>
              <w:ind w:left="-42" w:leftChars="-20" w:right="273" w:rightChars="130"/>
              <w:jc w:val="center"/>
              <w:rPr>
                <w:rFonts w:ascii="Times New Roman" w:hAnsi="Times New Roman" w:cs="Times New Roman"/>
                <w:sz w:val="24"/>
                <w:szCs w:val="24"/>
              </w:rPr>
            </w:pPr>
            <w:r>
              <w:rPr>
                <w:rFonts w:ascii="Times New Roman" w:hAnsi="Times New Roman" w:cs="Times New Roman"/>
                <w:sz w:val="24"/>
                <w:szCs w:val="24"/>
              </w:rPr>
              <w:t xml:space="preserve">   135,453</w:t>
            </w:r>
          </w:p>
        </w:tc>
        <w:tc>
          <w:tcPr>
            <w:tcW w:w="1535" w:type="dxa"/>
            <w:tcBorders>
              <w:top w:val="nil"/>
              <w:left w:val="single" w:color="008000" w:sz="4" w:space="0"/>
              <w:bottom w:val="single" w:color="339966" w:sz="12" w:space="0"/>
              <w:right w:val="single" w:color="008000" w:sz="4" w:space="0"/>
            </w:tcBorders>
            <w:shd w:val="clear" w:color="auto" w:fill="CCFFCC"/>
            <w:vAlign w:val="center"/>
          </w:tcPr>
          <w:p>
            <w:pPr>
              <w:ind w:left="-42" w:leftChars="-20" w:right="273" w:rightChars="130"/>
              <w:jc w:val="center"/>
              <w:rPr>
                <w:rFonts w:ascii="Times New Roman" w:hAnsi="Times New Roman" w:cs="Times New Roman"/>
                <w:sz w:val="24"/>
                <w:szCs w:val="24"/>
              </w:rPr>
            </w:pPr>
            <w:r>
              <w:rPr>
                <w:rFonts w:ascii="Times New Roman" w:hAnsi="Times New Roman" w:cs="Times New Roman"/>
                <w:sz w:val="24"/>
                <w:szCs w:val="24"/>
              </w:rPr>
              <w:t xml:space="preserve">  75.5</w:t>
            </w:r>
          </w:p>
        </w:tc>
        <w:tc>
          <w:tcPr>
            <w:tcW w:w="1504" w:type="dxa"/>
            <w:tcBorders>
              <w:top w:val="nil"/>
              <w:left w:val="single" w:color="008000" w:sz="4" w:space="0"/>
              <w:bottom w:val="single" w:color="339966" w:sz="12" w:space="0"/>
              <w:right w:val="nil"/>
            </w:tcBorders>
            <w:shd w:val="clear" w:color="auto" w:fill="CCFFCC"/>
            <w:vAlign w:val="center"/>
          </w:tcPr>
          <w:p>
            <w:pPr>
              <w:ind w:left="-42" w:leftChars="-20" w:right="273" w:rightChars="130"/>
              <w:jc w:val="center"/>
              <w:rPr>
                <w:rFonts w:ascii="Times New Roman" w:hAnsi="Times New Roman" w:cs="Times New Roman"/>
                <w:sz w:val="24"/>
                <w:szCs w:val="24"/>
              </w:rPr>
            </w:pPr>
            <w:r>
              <w:rPr>
                <w:rFonts w:ascii="Times New Roman" w:hAnsi="Times New Roman" w:cs="Times New Roman"/>
                <w:sz w:val="24"/>
                <w:szCs w:val="24"/>
              </w:rPr>
              <w:t xml:space="preserve">  76.8</w:t>
            </w:r>
          </w:p>
        </w:tc>
      </w:tr>
    </w:tbl>
    <w:p>
      <w:pPr>
        <w:rPr>
          <w:rFonts w:ascii="Times New Roman" w:hAnsi="Times New Roman" w:cs="Times New Roman"/>
          <w:sz w:val="24"/>
          <w:szCs w:val="24"/>
        </w:rPr>
      </w:pPr>
      <w:r>
        <w:rPr>
          <w:rFonts w:ascii="Times New Roman" w:hAnsi="Times New Roman" w:cs="Times New Roman"/>
          <w:sz w:val="24"/>
          <w:szCs w:val="24"/>
        </w:rPr>
        <w:t xml:space="preserve">Source: China Banking and Insurance Regulatory Commission. </w:t>
      </w:r>
    </w:p>
    <w:p>
      <w:pPr>
        <w:autoSpaceDE w:val="0"/>
        <w:autoSpaceDN w:val="0"/>
        <w:adjustRightInd w:val="0"/>
        <w:ind w:firstLine="480" w:firstLineChars="200"/>
        <w:rPr>
          <w:rFonts w:ascii="Times New Roman" w:hAnsi="Times New Roman" w:cs="Times New Roman"/>
          <w:sz w:val="24"/>
          <w:szCs w:val="24"/>
        </w:rPr>
      </w:pPr>
    </w:p>
    <w:p>
      <w:pPr>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Growth of insurance assets accelerated.</w:t>
      </w:r>
      <w:r>
        <w:rPr>
          <w:rFonts w:ascii="Times New Roman" w:hAnsi="Times New Roman" w:cs="Times New Roman"/>
          <w:sz w:val="24"/>
          <w:szCs w:val="24"/>
        </w:rPr>
        <w:t xml:space="preserve"> At end-June, total assets in the insurance industry posted RMB 19.5 trillion, up 10.5 percent year on year and an acceleration of 1.1 percentage points from end-2018. Among this total, outstanding bank deposits increased 22.9 percent year on year and investment-linked assets increased 8.8 percent year on year.</w:t>
      </w:r>
    </w:p>
    <w:p>
      <w:pPr>
        <w:autoSpaceDE w:val="0"/>
        <w:autoSpaceDN w:val="0"/>
        <w:adjustRightInd w:val="0"/>
        <w:ind w:firstLine="480" w:firstLineChars="200"/>
        <w:rPr>
          <w:rFonts w:ascii="Times New Roman" w:hAnsi="Times New Roman" w:cs="Times New Roman"/>
          <w:sz w:val="24"/>
          <w:szCs w:val="24"/>
        </w:rPr>
      </w:pPr>
    </w:p>
    <w:bookmarkEnd w:id="143"/>
    <w:bookmarkEnd w:id="144"/>
    <w:bookmarkEnd w:id="145"/>
    <w:bookmarkEnd w:id="146"/>
    <w:bookmarkEnd w:id="147"/>
    <w:bookmarkEnd w:id="148"/>
    <w:p>
      <w:pPr>
        <w:rPr>
          <w:rFonts w:ascii="Times New Roman" w:hAnsi="Times New Roman" w:cs="Times New Roman"/>
          <w:b/>
          <w:bCs/>
          <w:sz w:val="24"/>
          <w:szCs w:val="24"/>
        </w:rPr>
      </w:pPr>
      <w:r>
        <w:rPr>
          <w:rFonts w:ascii="Times New Roman" w:hAnsi="Times New Roman" w:cs="Times New Roman"/>
          <w:b/>
          <w:bCs/>
          <w:sz w:val="24"/>
          <w:szCs w:val="24"/>
        </w:rPr>
        <w:t xml:space="preserve">6. Swap transactions on the </w:t>
      </w:r>
      <w:bookmarkStart w:id="151" w:name="OLE_LINK14"/>
      <w:r>
        <w:rPr>
          <w:rFonts w:ascii="Times New Roman" w:hAnsi="Times New Roman" w:cs="Times New Roman"/>
          <w:b/>
          <w:bCs/>
          <w:sz w:val="24"/>
          <w:szCs w:val="24"/>
        </w:rPr>
        <w:t>foreign-exchange market</w:t>
      </w:r>
      <w:bookmarkEnd w:id="151"/>
      <w:r>
        <w:rPr>
          <w:rFonts w:ascii="Times New Roman" w:hAnsi="Times New Roman" w:cs="Times New Roman"/>
          <w:b/>
          <w:bCs/>
          <w:sz w:val="24"/>
          <w:szCs w:val="24"/>
        </w:rPr>
        <w:t xml:space="preserve"> saw rapid growth</w:t>
      </w:r>
    </w:p>
    <w:p>
      <w:pPr>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 xml:space="preserve">Trading on the foreign-exchange market was active. </w:t>
      </w:r>
      <w:r>
        <w:rPr>
          <w:rFonts w:ascii="Times New Roman" w:hAnsi="Times New Roman" w:cs="Times New Roman"/>
          <w:sz w:val="24"/>
          <w:szCs w:val="24"/>
        </w:rPr>
        <w:t>In H1, turnover of spot RMB/foreign-exchange transactions totaled USD 4 trillion, an increase of 23 percent year on year. Turnover of RMB/foreign-exchange swap transactions totaled USD 8.9 trillion, an increase of 17.9 percent year on year. Specifically, overnight RMB/USD swap transactions posted USD 5.1 trillion, accounting for 57.8 percent of the total swap turnovers. Turnovers on the RMB/foreign-exchange forward market totaled USD 42.8 billion, up 11.3 percent year on year. Turnovers of foreign-currency pair transactions totaled USD 229.5 billion, up 152.8 percent year on year. In particular, the EUR/USD pair registered the largest trading volume, accounting for 59.6 percent of the total.</w:t>
      </w:r>
    </w:p>
    <w:p>
      <w:pPr>
        <w:autoSpaceDE w:val="0"/>
        <w:autoSpaceDN w:val="0"/>
        <w:adjustRightInd w:val="0"/>
        <w:rPr>
          <w:rFonts w:ascii="Times New Roman" w:hAnsi="Times New Roman" w:cs="Times New Roman"/>
          <w:sz w:val="24"/>
          <w:szCs w:val="24"/>
        </w:rPr>
      </w:pPr>
    </w:p>
    <w:p>
      <w:pPr>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Participants on the foreign-exchange market expanded further.</w:t>
      </w:r>
      <w:r>
        <w:rPr>
          <w:rFonts w:ascii="Times New Roman" w:hAnsi="Times New Roman" w:cs="Times New Roman"/>
          <w:sz w:val="24"/>
          <w:szCs w:val="24"/>
        </w:rPr>
        <w:t xml:space="preserve"> At end-June, there were 691 members on the foreign-exchange spot market, 231 members on the foreign-exchange forward market, 227 members on the foreign-exchange swap market, 188 members on the currency-swap market, and 136 members on the foreign-exchange options market. There were 30 market-makers on the spot market and 27 market-makers on the forward and swap markets.</w:t>
      </w:r>
    </w:p>
    <w:p>
      <w:pPr>
        <w:rPr>
          <w:rFonts w:ascii="Times New Roman" w:hAnsi="Times New Roman" w:cs="Times New Roman"/>
          <w:sz w:val="24"/>
          <w:szCs w:val="24"/>
        </w:rPr>
      </w:pPr>
    </w:p>
    <w:p>
      <w:pPr>
        <w:rPr>
          <w:rFonts w:ascii="Times New Roman" w:hAnsi="Times New Roman" w:cs="Times New Roman"/>
          <w:b/>
          <w:bCs/>
          <w:sz w:val="24"/>
          <w:szCs w:val="24"/>
        </w:rPr>
      </w:pPr>
      <w:r>
        <w:rPr>
          <w:rFonts w:ascii="Times New Roman" w:hAnsi="Times New Roman" w:cs="Times New Roman"/>
          <w:b/>
          <w:bCs/>
          <w:sz w:val="24"/>
          <w:szCs w:val="24"/>
        </w:rPr>
        <w:t xml:space="preserve">7. Gold prices rose  </w:t>
      </w:r>
    </w:p>
    <w:p>
      <w:pPr>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Gold prices rose substantially after freezing in a flat trading range.</w:t>
      </w:r>
      <w:r>
        <w:rPr>
          <w:rFonts w:ascii="Times New Roman" w:hAnsi="Times New Roman" w:cs="Times New Roman"/>
          <w:sz w:val="24"/>
          <w:szCs w:val="24"/>
        </w:rPr>
        <w:t xml:space="preserve"> In H1, the daily fix on the London Gold Market peaked at USD 1,431.40 per ounce and hit a trough of USD 1,269.50 per ounce, closing at USD 1,409.00 per ounce at end-June, representing a gain of 9.94 percent from end-2018. The peak and trough prices of gold (AU9999) on the Shanghai Gold Exchange were RMB 322.00 per gram and RMB 277.50 per gram, respectively. At end-June, the AU9999 closed at RMB 314.43 per gram on the Shanghai Gold Exchange, up 10.48 percent from end-2018.</w:t>
      </w:r>
    </w:p>
    <w:p>
      <w:pPr>
        <w:ind w:firstLine="480" w:firstLineChars="200"/>
        <w:rPr>
          <w:rFonts w:ascii="Times New Roman" w:hAnsi="Times New Roman" w:cs="Times New Roman"/>
          <w:sz w:val="24"/>
          <w:szCs w:val="24"/>
        </w:rPr>
      </w:pPr>
    </w:p>
    <w:p>
      <w:pPr>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The trading volume fluctuated marginally.</w:t>
      </w:r>
      <w:r>
        <w:rPr>
          <w:rFonts w:ascii="Times New Roman" w:hAnsi="Times New Roman" w:cs="Times New Roman"/>
          <w:sz w:val="24"/>
          <w:szCs w:val="24"/>
        </w:rPr>
        <w:t xml:space="preserve"> In H1, the cumulative volume of gold trading on the Shanghai Gold Exchange was 29,900 tons, representing a fall of 1.36 percent year on year, and the turnover posted RMB 8.63 trillion, up 5.04 percent year on year. </w:t>
      </w:r>
      <w:bookmarkEnd w:id="107"/>
    </w:p>
    <w:p>
      <w:pPr>
        <w:autoSpaceDE w:val="0"/>
        <w:autoSpaceDN w:val="0"/>
        <w:adjustRightInd w:val="0"/>
        <w:rPr>
          <w:rFonts w:ascii="Times New Roman" w:hAnsi="Times New Roman" w:cs="Times New Roman"/>
          <w:sz w:val="24"/>
          <w:szCs w:val="24"/>
        </w:rPr>
      </w:pPr>
    </w:p>
    <w:p>
      <w:pPr>
        <w:pStyle w:val="3"/>
        <w:ind w:firstLine="0" w:firstLineChars="0"/>
        <w:rPr>
          <w:rFonts w:ascii="Times New Roman" w:hAnsi="Times New Roman" w:eastAsia="宋体"/>
          <w:szCs w:val="24"/>
        </w:rPr>
      </w:pPr>
      <w:bookmarkStart w:id="152" w:name="_Toc17798272"/>
      <w:bookmarkStart w:id="153" w:name="_Toc17808083"/>
      <w:bookmarkStart w:id="154" w:name="_Toc17808041"/>
      <w:bookmarkStart w:id="155" w:name="_Toc17807929"/>
      <w:r>
        <w:rPr>
          <w:rFonts w:ascii="Times New Roman" w:hAnsi="Times New Roman" w:eastAsia="宋体"/>
          <w:szCs w:val="24"/>
        </w:rPr>
        <w:t>II. Development of institutional arrangements in the financial markets</w:t>
      </w:r>
      <w:bookmarkEnd w:id="152"/>
      <w:bookmarkEnd w:id="153"/>
      <w:bookmarkEnd w:id="154"/>
      <w:bookmarkEnd w:id="155"/>
    </w:p>
    <w:p>
      <w:pPr>
        <w:rPr>
          <w:rFonts w:ascii="Times New Roman" w:hAnsi="Times New Roman" w:cs="Times New Roman"/>
          <w:b/>
          <w:sz w:val="24"/>
          <w:szCs w:val="24"/>
        </w:rPr>
      </w:pPr>
      <w:r>
        <w:rPr>
          <w:rFonts w:ascii="Times New Roman" w:hAnsi="Times New Roman" w:cs="Times New Roman"/>
          <w:b/>
          <w:sz w:val="24"/>
          <w:szCs w:val="24"/>
        </w:rPr>
        <w:t>1. Strengthening market arrangements for the securities and futures industries and promoting the two-way opening of the capital market</w:t>
      </w:r>
    </w:p>
    <w:p>
      <w:pPr>
        <w:rPr>
          <w:rFonts w:ascii="Times New Roman" w:hAnsi="Times New Roman" w:cs="Times New Roman"/>
          <w:sz w:val="24"/>
          <w:szCs w:val="24"/>
        </w:rPr>
      </w:pPr>
      <w:r>
        <w:rPr>
          <w:rFonts w:ascii="Times New Roman" w:hAnsi="Times New Roman" w:cs="Times New Roman"/>
          <w:b/>
          <w:sz w:val="24"/>
          <w:szCs w:val="24"/>
        </w:rPr>
        <w:t>Officially opening the Science and Technology Innovation Board and releasing the detailed rules and regulations.</w:t>
      </w:r>
      <w:r>
        <w:rPr>
          <w:rFonts w:ascii="Times New Roman" w:hAnsi="Times New Roman" w:cs="Times New Roman"/>
          <w:sz w:val="24"/>
          <w:szCs w:val="24"/>
        </w:rPr>
        <w:t xml:space="preserve"> The Science and Technology Innovation Board was officially launched on June 13. The Shanghai Stock Exchange (SSE) issued relevant rules to clarify the scope and sources of the underlying securities for the securities margin trading on the Science and Technology Innovation Board. The SSE allowed public funds, social security funds, strategic investors, and other institutions to participate in the security lending of the Board. For the first time, the SSE released to the market the supervisory standards governing abnormal trading behavior of stocks on the Science and Technology Innovation Board. </w:t>
      </w:r>
    </w:p>
    <w:p>
      <w:pPr>
        <w:rPr>
          <w:rFonts w:ascii="Times New Roman" w:hAnsi="Times New Roman" w:cs="Times New Roman"/>
          <w:b/>
          <w:sz w:val="24"/>
          <w:szCs w:val="24"/>
        </w:rPr>
      </w:pPr>
    </w:p>
    <w:p>
      <w:pPr>
        <w:rPr>
          <w:rFonts w:ascii="Times New Roman" w:hAnsi="Times New Roman" w:cs="Times New Roman"/>
          <w:sz w:val="24"/>
          <w:szCs w:val="24"/>
        </w:rPr>
      </w:pPr>
      <w:r>
        <w:rPr>
          <w:rFonts w:ascii="Times New Roman" w:hAnsi="Times New Roman" w:cs="Times New Roman"/>
          <w:b/>
          <w:sz w:val="24"/>
          <w:szCs w:val="24"/>
        </w:rPr>
        <w:t>Promoting the development of bond-index public funds.</w:t>
      </w:r>
      <w:r>
        <w:rPr>
          <w:rFonts w:ascii="Times New Roman" w:hAnsi="Times New Roman" w:cs="Times New Roman"/>
          <w:sz w:val="24"/>
          <w:szCs w:val="24"/>
        </w:rPr>
        <w:t xml:space="preserve"> On May 15, the PBC and the CSRC jointly issued the </w:t>
      </w:r>
      <w:r>
        <w:rPr>
          <w:rFonts w:ascii="Times New Roman" w:hAnsi="Times New Roman" w:cs="Times New Roman"/>
          <w:i/>
          <w:sz w:val="24"/>
          <w:szCs w:val="24"/>
        </w:rPr>
        <w:t>Notice on the Pilot Work of Open Bond-Index Securities Investment Funds (PBC [2019] No.128)</w:t>
      </w:r>
      <w:r>
        <w:rPr>
          <w:rFonts w:ascii="Times New Roman" w:hAnsi="Times New Roman" w:cs="Times New Roman"/>
          <w:sz w:val="24"/>
          <w:szCs w:val="24"/>
        </w:rPr>
        <w:t xml:space="preserve"> to promote the development of bond-index public funds in the interbank market and the exchange market. This pilot project will help to meet the needs of domestic and foreign investors to invest in bond-index products and will promote the long-term healthy development of the bond market.</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b/>
          <w:sz w:val="24"/>
          <w:szCs w:val="24"/>
        </w:rPr>
        <w:t>Regulatory rules for futures companies were further enhanced.</w:t>
      </w:r>
      <w:r>
        <w:rPr>
          <w:rFonts w:ascii="Times New Roman" w:hAnsi="Times New Roman" w:cs="Times New Roman"/>
          <w:sz w:val="24"/>
          <w:szCs w:val="24"/>
        </w:rPr>
        <w:t xml:space="preserve"> In June, the CSRC released the revised </w:t>
      </w:r>
      <w:r>
        <w:rPr>
          <w:rFonts w:ascii="Times New Roman" w:hAnsi="Times New Roman" w:cs="Times New Roman"/>
          <w:i/>
          <w:sz w:val="24"/>
          <w:szCs w:val="24"/>
        </w:rPr>
        <w:t>Regulations on the Supervision and Administration of Futures Companies</w:t>
      </w:r>
      <w:r>
        <w:rPr>
          <w:rFonts w:ascii="Times New Roman" w:hAnsi="Times New Roman" w:cs="Times New Roman"/>
          <w:sz w:val="24"/>
          <w:szCs w:val="24"/>
        </w:rPr>
        <w:t xml:space="preserve"> to enhance the qualification criteria and supervisory requirements for the major shareholders of futures companies. The Regulations stipulate that the net capital of the controlling shareholder or the largest shareholder shall not be less than RMB 500 million. The regulations also specify the conditions for overseas shareholders of futures companies and enhance the supervisory requirements for their subsidiaries and for information system management.</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b/>
          <w:sz w:val="24"/>
          <w:szCs w:val="24"/>
        </w:rPr>
        <w:t>Promoting the two-way opening of the capital market.</w:t>
      </w:r>
      <w:r>
        <w:rPr>
          <w:rFonts w:ascii="Times New Roman" w:hAnsi="Times New Roman" w:cs="Times New Roman"/>
          <w:sz w:val="24"/>
          <w:szCs w:val="24"/>
        </w:rPr>
        <w:t xml:space="preserve"> In April, Bloomberg incorporated Chinese bonds in the Bloomberg Barclays Index Aggregate. In May, the CSRC officially approved the application of four Chinese products under the Sino-Japan ETF Connectivity Scheme. The first four Chinese products were listed on the SSE on June 25. On June 17, the CSRC and the UK Financial Conduct Authority (FCA) issued a joint announcement, formally launching the Global Depository Receipt (GDR) business under the Shanghai-London Stock Connect Scheme. In the initial stage, the eastbound business and the westbound business reached RMB 250 billion and RMB 300 billion respectively. On the same day, the first depository receipt product under the Shanghai-London Connect Scheme was listed and traded on the London Stock Exchange (LSE).</w:t>
      </w:r>
    </w:p>
    <w:p>
      <w:pPr>
        <w:rPr>
          <w:rFonts w:ascii="Times New Roman" w:hAnsi="Times New Roman" w:cs="Times New Roman"/>
          <w:sz w:val="24"/>
          <w:szCs w:val="24"/>
        </w:rPr>
      </w:pPr>
    </w:p>
    <w:p>
      <w:pPr>
        <w:rPr>
          <w:rFonts w:ascii="Times New Roman" w:hAnsi="Times New Roman" w:cs="Times New Roman"/>
          <w:b/>
          <w:sz w:val="24"/>
          <w:szCs w:val="24"/>
        </w:rPr>
      </w:pPr>
      <w:r>
        <w:rPr>
          <w:rFonts w:ascii="Times New Roman" w:hAnsi="Times New Roman" w:cs="Times New Roman"/>
          <w:b/>
          <w:sz w:val="24"/>
          <w:szCs w:val="24"/>
        </w:rPr>
        <w:t>2. Improving institutional arrangements in the insurance market</w:t>
      </w:r>
    </w:p>
    <w:p>
      <w:pPr>
        <w:rPr>
          <w:rFonts w:ascii="Times New Roman" w:hAnsi="Times New Roman" w:cs="Times New Roman"/>
          <w:sz w:val="24"/>
          <w:szCs w:val="24"/>
        </w:rPr>
      </w:pPr>
      <w:r>
        <w:rPr>
          <w:rFonts w:ascii="Times New Roman" w:hAnsi="Times New Roman" w:cs="Times New Roman"/>
          <w:b/>
          <w:sz w:val="24"/>
          <w:szCs w:val="24"/>
        </w:rPr>
        <w:t>Allowing and regulating insurance funds to participate in the credit derivatives business.</w:t>
      </w:r>
      <w:r>
        <w:rPr>
          <w:rFonts w:ascii="Times New Roman" w:hAnsi="Times New Roman" w:cs="Times New Roman"/>
          <w:sz w:val="24"/>
          <w:szCs w:val="24"/>
        </w:rPr>
        <w:t xml:space="preserve"> On May 15, the CBIRC issued the </w:t>
      </w:r>
      <w:r>
        <w:rPr>
          <w:rFonts w:ascii="Times New Roman" w:hAnsi="Times New Roman" w:cs="Times New Roman"/>
          <w:i/>
          <w:sz w:val="24"/>
          <w:szCs w:val="24"/>
        </w:rPr>
        <w:t>Notice on Insurance Funds Participating in the Credit Risk Mitigation Tool and the Credit Protection Tool Business</w:t>
      </w:r>
      <w:r>
        <w:rPr>
          <w:rFonts w:ascii="Times New Roman" w:hAnsi="Times New Roman" w:cs="Times New Roman"/>
          <w:sz w:val="24"/>
          <w:szCs w:val="24"/>
        </w:rPr>
        <w:t>. The Notice states four major points: first, insurance funds participating in the credit derivative business should be limited to risk hedging and should not take any credit risks; second, only insurance institutions with the capacity to handle and manage risks in the derivative market can participate in the credit derivative business; third, the Notice stipulates that such businesses should abide by the dual regulatory principle of “supervision + business”; fourth, the Notice stresses strengthening risk management.</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b/>
          <w:sz w:val="24"/>
          <w:szCs w:val="24"/>
        </w:rPr>
        <w:t xml:space="preserve">Granting tax relief to insurance firms. </w:t>
      </w:r>
      <w:r>
        <w:rPr>
          <w:rFonts w:ascii="Times New Roman" w:hAnsi="Times New Roman" w:cs="Times New Roman"/>
          <w:sz w:val="24"/>
          <w:szCs w:val="24"/>
        </w:rPr>
        <w:t xml:space="preserve">On May 28, the Ministry of Finance (MOF) and the State Taxation Administration (STA) issued the </w:t>
      </w:r>
      <w:r>
        <w:rPr>
          <w:rFonts w:ascii="Times New Roman" w:hAnsi="Times New Roman" w:cs="Times New Roman"/>
          <w:i/>
          <w:sz w:val="24"/>
          <w:szCs w:val="24"/>
        </w:rPr>
        <w:t>Announcement on the Policy of Pre-tax Deductions of Service Fees and Commission Expenditures of Insurance Enterprises</w:t>
      </w:r>
      <w:r>
        <w:rPr>
          <w:rFonts w:ascii="Times New Roman" w:hAnsi="Times New Roman" w:cs="Times New Roman"/>
          <w:sz w:val="24"/>
          <w:szCs w:val="24"/>
        </w:rPr>
        <w:t>, which raise the pre-tax deduction ratio of the service fees and commission expenditures of both life-insurance enterprises and property-insurance firms to 18 percent (the previous ratios were 10 percent and 15 percent respectively). The Announcement also clearly states that “the excess part can be deducted annually after being carried over.”</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b/>
          <w:sz w:val="24"/>
          <w:szCs w:val="24"/>
        </w:rPr>
        <w:t>Facilitating capital settlements of insurance firms.</w:t>
      </w:r>
      <w:r>
        <w:rPr>
          <w:rFonts w:ascii="Times New Roman" w:hAnsi="Times New Roman" w:cs="Times New Roman"/>
          <w:sz w:val="24"/>
          <w:szCs w:val="24"/>
        </w:rPr>
        <w:t xml:space="preserve"> On June 5, the State Administration of Foreign Exchange (SAFE) promulgated the </w:t>
      </w:r>
      <w:r>
        <w:rPr>
          <w:rFonts w:ascii="Times New Roman" w:hAnsi="Times New Roman" w:cs="Times New Roman"/>
          <w:i/>
          <w:sz w:val="24"/>
          <w:szCs w:val="24"/>
        </w:rPr>
        <w:t>Notice on Further Promoting Facilitation of Capital Settlements of Insurance Companies</w:t>
      </w:r>
      <w:r>
        <w:rPr>
          <w:rFonts w:ascii="Times New Roman" w:hAnsi="Times New Roman" w:cs="Times New Roman"/>
          <w:sz w:val="24"/>
          <w:szCs w:val="24"/>
        </w:rPr>
        <w:t xml:space="preserve">, abolishing the approval mechanism for capital settlements of insurance firms and moving to a voluntary settlement system. The insurance intermediaries sell or purchase foreign exchange needed for the insurance premiums they collect or pay out as insurance agents, thus improving ongoing and later supervision of foreign-exchange insurance operations. </w:t>
      </w:r>
    </w:p>
    <w:p>
      <w:pPr>
        <w:pStyle w:val="2"/>
        <w:rPr>
          <w:rFonts w:ascii="Times New Roman" w:hAnsi="Times New Roman" w:cs="Times New Roman"/>
        </w:rPr>
      </w:pPr>
      <w:bookmarkStart w:id="156" w:name="_Toc17798273"/>
      <w:bookmarkStart w:id="157" w:name="_Toc17808042"/>
      <w:bookmarkStart w:id="158" w:name="_Toc17808084"/>
      <w:bookmarkStart w:id="159" w:name="_Toc17807930"/>
      <w:r>
        <w:rPr>
          <w:rFonts w:ascii="Times New Roman" w:hAnsi="Times New Roman" w:cs="Times New Roman"/>
        </w:rPr>
        <w:t>Part 4. Macroeconomic Overview</w:t>
      </w:r>
      <w:bookmarkEnd w:id="156"/>
      <w:bookmarkEnd w:id="157"/>
      <w:bookmarkEnd w:id="158"/>
      <w:bookmarkEnd w:id="159"/>
    </w:p>
    <w:p>
      <w:pPr>
        <w:pStyle w:val="3"/>
        <w:ind w:firstLine="0" w:firstLineChars="0"/>
        <w:rPr>
          <w:rFonts w:ascii="Times New Roman" w:hAnsi="Times New Roman" w:eastAsia="宋体"/>
          <w:szCs w:val="24"/>
        </w:rPr>
      </w:pPr>
      <w:bookmarkStart w:id="160" w:name="_Toc3909032"/>
      <w:bookmarkStart w:id="161" w:name="_Toc17798274"/>
      <w:bookmarkStart w:id="162" w:name="_Toc17808043"/>
      <w:bookmarkStart w:id="163" w:name="_Toc17807931"/>
      <w:bookmarkStart w:id="164" w:name="_Toc17808085"/>
      <w:r>
        <w:rPr>
          <w:rFonts w:ascii="Times New Roman" w:hAnsi="Times New Roman" w:eastAsia="宋体"/>
          <w:szCs w:val="24"/>
        </w:rPr>
        <w:t>I. Global economic and financial developments</w:t>
      </w:r>
      <w:bookmarkEnd w:id="160"/>
      <w:bookmarkEnd w:id="161"/>
      <w:bookmarkEnd w:id="162"/>
      <w:bookmarkEnd w:id="163"/>
      <w:bookmarkEnd w:id="164"/>
    </w:p>
    <w:p>
      <w:pPr>
        <w:rPr>
          <w:rFonts w:ascii="Times New Roman" w:hAnsi="Times New Roman" w:cs="Times New Roman"/>
          <w:sz w:val="24"/>
          <w:szCs w:val="24"/>
        </w:rPr>
      </w:pPr>
      <w:r>
        <w:rPr>
          <w:rFonts w:ascii="Times New Roman" w:hAnsi="Times New Roman" w:cs="Times New Roman"/>
          <w:sz w:val="24"/>
          <w:szCs w:val="24"/>
        </w:rPr>
        <w:t xml:space="preserve">Since 2019, the momentum for growth in the global economy weakened amid downside risks. </w:t>
      </w:r>
    </w:p>
    <w:p>
      <w:pPr>
        <w:rPr>
          <w:rFonts w:ascii="Times New Roman" w:hAnsi="Times New Roman" w:cs="Times New Roman"/>
          <w:b/>
          <w:bCs/>
          <w:sz w:val="24"/>
          <w:szCs w:val="24"/>
        </w:rPr>
      </w:pPr>
      <w:r>
        <w:rPr>
          <w:rFonts w:ascii="Times New Roman" w:hAnsi="Times New Roman" w:cs="Times New Roman"/>
          <w:b/>
          <w:bCs/>
          <w:sz w:val="24"/>
          <w:szCs w:val="24"/>
        </w:rPr>
        <w:t>1. Economic developments in the major economies</w:t>
      </w:r>
    </w:p>
    <w:p>
      <w:pPr>
        <w:rPr>
          <w:rFonts w:ascii="Times New Roman" w:hAnsi="Times New Roman" w:cs="Times New Roman"/>
          <w:sz w:val="24"/>
          <w:szCs w:val="24"/>
        </w:rPr>
      </w:pPr>
      <w:r>
        <w:rPr>
          <w:rFonts w:ascii="Times New Roman" w:hAnsi="Times New Roman" w:cs="Times New Roman"/>
          <w:b/>
          <w:bCs/>
          <w:sz w:val="24"/>
          <w:szCs w:val="24"/>
        </w:rPr>
        <w:t xml:space="preserve">Growth momentum in the major advanced economies weakened. The U.S. economy remained sound  but showed signs of a slowdown. </w:t>
      </w:r>
      <w:r>
        <w:rPr>
          <w:rFonts w:ascii="Times New Roman" w:hAnsi="Times New Roman" w:cs="Times New Roman"/>
          <w:sz w:val="24"/>
          <w:szCs w:val="24"/>
        </w:rPr>
        <w:t xml:space="preserve">In Q1 2019, on the back of improvements in net exports and increases in inventory, GDP growth rebounded to 3.1 percent, but thereafter growth momentum weakened somewhat . In Q2, GDP growth slowed to 2.1 percent. In June 2019, the manufacturing PMI of the </w:t>
      </w:r>
      <w:r>
        <w:rPr>
          <w:rFonts w:ascii="Times New Roman" w:hAnsi="Times New Roman" w:cs="Times New Roman"/>
          <w:color w:val="000000"/>
          <w:sz w:val="24"/>
          <w:szCs w:val="24"/>
        </w:rPr>
        <w:t>Institute</w:t>
      </w:r>
      <w:r>
        <w:rPr>
          <w:rFonts w:ascii="Times New Roman" w:hAnsi="Times New Roman" w:cs="Times New Roman"/>
          <w:color w:val="FF0000"/>
          <w:sz w:val="24"/>
          <w:szCs w:val="24"/>
        </w:rPr>
        <w:t xml:space="preserve"> </w:t>
      </w:r>
      <w:r>
        <w:rPr>
          <w:rFonts w:ascii="Times New Roman" w:hAnsi="Times New Roman" w:cs="Times New Roman"/>
          <w:sz w:val="24"/>
          <w:szCs w:val="24"/>
        </w:rPr>
        <w:t>for Supply Management was 51.7, falling for three consecutive months. The University of Michigan’s Consumer Sentiment Index fluctuated, posting 100 and 98.2 in May and June respectively. The Consumer Price Index (CPI) rose 1.8 percent and 1.6 percent year on year in May and June. The core CPI, which excludes highly volatile energy and food prices, rose mildly by 2.0 percent and 2.1 percent respectively in the corresponding period. The labor market continued to improve as the unemployment rate in May and June was 3.6 percent and 3.7 percent respectively.</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b/>
          <w:bCs/>
          <w:sz w:val="24"/>
          <w:szCs w:val="24"/>
        </w:rPr>
        <w:t xml:space="preserve">In the euro area, economic growth picked up but downside risks remain. </w:t>
      </w:r>
      <w:r>
        <w:rPr>
          <w:rFonts w:ascii="Times New Roman" w:hAnsi="Times New Roman" w:cs="Times New Roman"/>
          <w:sz w:val="24"/>
          <w:szCs w:val="24"/>
        </w:rPr>
        <w:t>In Q1 2019, the GDP grew 1.2 percent year on year and 0.4 percent quarter on quarter, a remarkable improvement compared with Q3 and Q4 of 2018. In Q2, the GDP growth rate posted 1.1 percent year on year and slowed to 0.2 percent quarter on quarter. Euro area survey indicators and consumer sentiment indicators were weak. In May and June of 2019, the Consumer Confidence Index posted –6.5 and –7.2 respectively. The manufacturing PMI continued to deteriorate, as it dropped below 50 for five straight months to 47.7 in May and 47.6 in June 2019. Overall, inflation in the euro area remained subdued, as the Harmonized Index of Consumer Prices (HICP) was 1.2 percent in May and 1.3 percent in June 2019, while the core CPI was lower, rising only 0.8 percent and 1.1 percent in the corresponding months. The unemployment rate remained low, posting 7.6 percent in May and 7.5 percent in June.</w:t>
      </w:r>
    </w:p>
    <w:p>
      <w:pPr>
        <w:rPr>
          <w:rFonts w:ascii="Times New Roman" w:hAnsi="Times New Roman" w:cs="Times New Roman"/>
          <w:b/>
          <w:bCs/>
          <w:sz w:val="24"/>
          <w:szCs w:val="24"/>
        </w:rPr>
      </w:pPr>
    </w:p>
    <w:p>
      <w:pPr>
        <w:rPr>
          <w:rFonts w:ascii="Times New Roman" w:hAnsi="Times New Roman" w:cs="Times New Roman"/>
          <w:sz w:val="24"/>
          <w:szCs w:val="24"/>
        </w:rPr>
      </w:pPr>
      <w:r>
        <w:rPr>
          <w:rFonts w:ascii="Times New Roman" w:hAnsi="Times New Roman" w:cs="Times New Roman"/>
          <w:b/>
          <w:bCs/>
          <w:sz w:val="24"/>
          <w:szCs w:val="24"/>
        </w:rPr>
        <w:t xml:space="preserve">Growth volatility in Japan increased. </w:t>
      </w:r>
      <w:r>
        <w:rPr>
          <w:rFonts w:ascii="Times New Roman" w:hAnsi="Times New Roman" w:cs="Times New Roman"/>
          <w:sz w:val="24"/>
          <w:szCs w:val="24"/>
        </w:rPr>
        <w:t>Due to natural disasters, GDP growth was only 0.8 percent in 2018, but it rebounded to 2.1 percent in Q1 2019. The labor market was close to full employment, with the jobless rate remaining at low levels, which reflected some structural factors, such as the aging population and the labor shortage. The CPI has hovered at low levels since 2018, rising 0.7 percent year on year in both May and June 2019.</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b/>
          <w:bCs/>
          <w:sz w:val="24"/>
          <w:szCs w:val="24"/>
        </w:rPr>
        <w:t xml:space="preserve">Brexit uncertainties continued to weigh on the UK economy. </w:t>
      </w:r>
      <w:r>
        <w:rPr>
          <w:rFonts w:ascii="Times New Roman" w:hAnsi="Times New Roman" w:cs="Times New Roman"/>
          <w:sz w:val="24"/>
          <w:szCs w:val="24"/>
        </w:rPr>
        <w:t>Real</w:t>
      </w:r>
      <w:r>
        <w:rPr>
          <w:rFonts w:ascii="Times New Roman" w:hAnsi="Times New Roman" w:cs="Times New Roman"/>
          <w:b/>
          <w:bCs/>
          <w:sz w:val="24"/>
          <w:szCs w:val="24"/>
        </w:rPr>
        <w:t xml:space="preserve"> </w:t>
      </w:r>
      <w:r>
        <w:rPr>
          <w:rFonts w:ascii="Times New Roman" w:hAnsi="Times New Roman" w:cs="Times New Roman"/>
          <w:sz w:val="24"/>
          <w:szCs w:val="24"/>
        </w:rPr>
        <w:t xml:space="preserve">GDP gained merely 1.4 percent in 2018 and 1.8 percent year on year in Q1 2019. The CPI remained subdued, rising 2.0 percent year on year in both May and June 2019.    </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b/>
          <w:bCs/>
          <w:sz w:val="24"/>
          <w:szCs w:val="24"/>
        </w:rPr>
        <w:t>Growth in the emerging market economies was relatively weak.</w:t>
      </w:r>
      <w:r>
        <w:rPr>
          <w:rFonts w:ascii="Times New Roman" w:hAnsi="Times New Roman" w:cs="Times New Roman"/>
          <w:sz w:val="24"/>
          <w:szCs w:val="24"/>
        </w:rPr>
        <w:t xml:space="preserve"> Growth in Brazil posted 1.1 percent in 2018 and 0.5 percent in Q1 2019. In Russia, the GDP added 2.3 percent in 2018 and 0.5 percent in Q1 2019. Inflation remained low. The Indian economy grew rapidly, as year-on-year growth reached 7.1 percent in 2018 but dropped to 5.8 percent in Q1 2019. Inflation remained generally low despite mounting inflationary pressures. Growth in South Africa picked up slightly in the second half of 2018, but year-on-year growth was only 0.04 percent in Q1 2019 and the unemployment rate remained stubbornly high. Due to financial market turbulence, growth in Q1 2019 was negative in Argentina and Turkey.</w:t>
      </w:r>
    </w:p>
    <w:p>
      <w:pPr>
        <w:pStyle w:val="5"/>
        <w:jc w:val="center"/>
        <w:rPr>
          <w:rFonts w:ascii="Times New Roman" w:hAnsi="Times New Roman" w:cs="Times New Roman"/>
          <w:b/>
          <w:bCs/>
          <w:sz w:val="24"/>
          <w:szCs w:val="24"/>
        </w:rPr>
      </w:pPr>
      <w:bookmarkStart w:id="165" w:name="_Toc3902875"/>
      <w:bookmarkStart w:id="166" w:name="_Toc17809073"/>
      <w:r>
        <w:rPr>
          <w:rFonts w:ascii="Times New Roman" w:hAnsi="Times New Roman" w:cs="Times New Roman"/>
          <w:b/>
          <w:bCs/>
          <w:sz w:val="24"/>
          <w:szCs w:val="24"/>
        </w:rPr>
        <w:t xml:space="preserve">Table </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SEQ Table \* ARABIC </w:instrText>
      </w:r>
      <w:r>
        <w:rPr>
          <w:rFonts w:ascii="Times New Roman" w:hAnsi="Times New Roman" w:cs="Times New Roman"/>
          <w:b/>
          <w:bCs/>
          <w:sz w:val="24"/>
          <w:szCs w:val="24"/>
        </w:rPr>
        <w:fldChar w:fldCharType="separate"/>
      </w:r>
      <w:r>
        <w:rPr>
          <w:rFonts w:ascii="Times New Roman" w:hAnsi="Times New Roman" w:cs="Times New Roman"/>
          <w:b/>
          <w:bCs/>
          <w:sz w:val="24"/>
          <w:szCs w:val="24"/>
        </w:rPr>
        <w:t>12</w:t>
      </w:r>
      <w:r>
        <w:rPr>
          <w:rFonts w:ascii="Times New Roman" w:hAnsi="Times New Roman" w:cs="Times New Roman"/>
          <w:b/>
          <w:bCs/>
          <w:sz w:val="24"/>
          <w:szCs w:val="24"/>
        </w:rPr>
        <w:fldChar w:fldCharType="end"/>
      </w:r>
      <w:r>
        <w:rPr>
          <w:rFonts w:ascii="Times New Roman" w:hAnsi="Times New Roman" w:cs="Times New Roman"/>
          <w:b/>
          <w:bCs/>
          <w:sz w:val="24"/>
          <w:szCs w:val="24"/>
        </w:rPr>
        <w:t xml:space="preserve"> Macroeconomic and Financial Indicators in the</w:t>
      </w:r>
      <w:bookmarkEnd w:id="165"/>
      <w:bookmarkEnd w:id="166"/>
      <w:r>
        <w:rPr>
          <w:rFonts w:ascii="Times New Roman" w:hAnsi="Times New Roman" w:cs="Times New Roman"/>
          <w:b/>
          <w:bCs/>
          <w:sz w:val="24"/>
          <w:szCs w:val="24"/>
        </w:rPr>
        <w:t xml:space="preserve"> </w:t>
      </w:r>
    </w:p>
    <w:p>
      <w:pPr>
        <w:keepNext/>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Major Advanced Economies</w:t>
      </w:r>
    </w:p>
    <w:tbl>
      <w:tblPr>
        <w:tblStyle w:val="14"/>
        <w:tblpPr w:leftFromText="180" w:rightFromText="180" w:vertAnchor="text" w:horzAnchor="page" w:tblpX="877" w:tblpY="99"/>
        <w:tblOverlap w:val="never"/>
        <w:tblW w:w="10456" w:type="dxa"/>
        <w:tblInd w:w="0" w:type="dxa"/>
        <w:tblLayout w:type="fixed"/>
        <w:tblCellMar>
          <w:top w:w="0" w:type="dxa"/>
          <w:left w:w="0" w:type="dxa"/>
          <w:bottom w:w="0" w:type="dxa"/>
          <w:right w:w="0" w:type="dxa"/>
        </w:tblCellMar>
      </w:tblPr>
      <w:tblGrid>
        <w:gridCol w:w="475"/>
        <w:gridCol w:w="1932"/>
        <w:gridCol w:w="566"/>
        <w:gridCol w:w="9"/>
        <w:gridCol w:w="18"/>
        <w:gridCol w:w="502"/>
        <w:gridCol w:w="16"/>
        <w:gridCol w:w="21"/>
        <w:gridCol w:w="498"/>
        <w:gridCol w:w="526"/>
        <w:gridCol w:w="24"/>
        <w:gridCol w:w="496"/>
        <w:gridCol w:w="7"/>
        <w:gridCol w:w="12"/>
        <w:gridCol w:w="516"/>
        <w:gridCol w:w="525"/>
        <w:gridCol w:w="6"/>
        <w:gridCol w:w="53"/>
        <w:gridCol w:w="479"/>
        <w:gridCol w:w="26"/>
        <w:gridCol w:w="509"/>
        <w:gridCol w:w="581"/>
        <w:gridCol w:w="46"/>
        <w:gridCol w:w="450"/>
        <w:gridCol w:w="14"/>
        <w:gridCol w:w="42"/>
        <w:gridCol w:w="511"/>
        <w:gridCol w:w="520"/>
        <w:gridCol w:w="18"/>
        <w:gridCol w:w="7"/>
        <w:gridCol w:w="495"/>
        <w:gridCol w:w="23"/>
        <w:gridCol w:w="18"/>
        <w:gridCol w:w="515"/>
      </w:tblGrid>
      <w:tr>
        <w:tblPrEx>
          <w:tblLayout w:type="fixed"/>
          <w:tblCellMar>
            <w:top w:w="0" w:type="dxa"/>
            <w:left w:w="0" w:type="dxa"/>
            <w:bottom w:w="0" w:type="dxa"/>
            <w:right w:w="0" w:type="dxa"/>
          </w:tblCellMar>
        </w:tblPrEx>
        <w:trPr>
          <w:cantSplit/>
          <w:trHeight w:val="363" w:hRule="atLeast"/>
        </w:trPr>
        <w:tc>
          <w:tcPr>
            <w:tcW w:w="475" w:type="dxa"/>
            <w:vMerge w:val="restart"/>
            <w:tcBorders>
              <w:top w:val="single" w:color="000000" w:sz="4" w:space="0"/>
              <w:left w:val="single" w:color="000000" w:sz="4" w:space="0"/>
              <w:bottom w:val="single" w:color="000000" w:sz="4" w:space="0"/>
              <w:right w:val="single" w:color="000000" w:sz="4" w:space="0"/>
            </w:tcBorders>
            <w:shd w:val="clear" w:color="auto" w:fill="CCFFCC"/>
            <w:vAlign w:val="center"/>
          </w:tcPr>
          <w:p>
            <w:pPr>
              <w:autoSpaceDN w:val="0"/>
              <w:jc w:val="center"/>
              <w:textAlignment w:val="center"/>
              <w:rPr>
                <w:rFonts w:ascii="Times New Roman" w:hAnsi="Times New Roman" w:cs="Times New Roman"/>
                <w:sz w:val="24"/>
                <w:szCs w:val="24"/>
              </w:rPr>
            </w:pPr>
            <w:r>
              <w:rPr>
                <w:rFonts w:ascii="Times New Roman" w:hAnsi="Times New Roman" w:cs="Times New Roman"/>
                <w:sz w:val="24"/>
                <w:szCs w:val="24"/>
              </w:rPr>
              <w:t>Country</w:t>
            </w:r>
          </w:p>
        </w:tc>
        <w:tc>
          <w:tcPr>
            <w:tcW w:w="1932" w:type="dxa"/>
            <w:vMerge w:val="restart"/>
            <w:tcBorders>
              <w:top w:val="single" w:color="000000" w:sz="4" w:space="0"/>
              <w:left w:val="nil"/>
              <w:bottom w:val="single" w:color="000000" w:sz="4" w:space="0"/>
              <w:right w:val="single" w:color="000000" w:sz="4" w:space="0"/>
            </w:tcBorders>
            <w:shd w:val="clear" w:color="auto" w:fill="CCFFCC"/>
            <w:vAlign w:val="center"/>
          </w:tcPr>
          <w:p>
            <w:pPr>
              <w:autoSpaceDN w:val="0"/>
              <w:jc w:val="center"/>
              <w:textAlignment w:val="center"/>
              <w:rPr>
                <w:rFonts w:ascii="Times New Roman" w:hAnsi="Times New Roman" w:cs="Times New Roman"/>
                <w:sz w:val="24"/>
                <w:szCs w:val="24"/>
              </w:rPr>
            </w:pPr>
            <w:r>
              <w:rPr>
                <w:rFonts w:ascii="Times New Roman" w:hAnsi="Times New Roman" w:cs="Times New Roman"/>
                <w:sz w:val="24"/>
                <w:szCs w:val="24"/>
              </w:rPr>
              <w:t>Indicator</w:t>
            </w:r>
          </w:p>
        </w:tc>
        <w:tc>
          <w:tcPr>
            <w:tcW w:w="1630" w:type="dxa"/>
            <w:gridSpan w:val="7"/>
            <w:tcBorders>
              <w:top w:val="single" w:color="000000" w:sz="4" w:space="0"/>
              <w:left w:val="nil"/>
              <w:bottom w:val="single" w:color="000000" w:sz="4" w:space="0"/>
              <w:right w:val="single" w:color="000000" w:sz="4" w:space="0"/>
            </w:tcBorders>
            <w:shd w:val="clear" w:color="auto" w:fill="CCFFCC"/>
            <w:vAlign w:val="center"/>
          </w:tcPr>
          <w:p>
            <w:pPr>
              <w:autoSpaceDN w:val="0"/>
              <w:jc w:val="center"/>
              <w:textAlignment w:val="center"/>
              <w:rPr>
                <w:rFonts w:ascii="Times New Roman" w:hAnsi="Times New Roman" w:cs="Times New Roman"/>
                <w:sz w:val="24"/>
                <w:szCs w:val="24"/>
              </w:rPr>
            </w:pPr>
            <w:r>
              <w:rPr>
                <w:rFonts w:ascii="Times New Roman" w:hAnsi="Times New Roman" w:cs="Times New Roman"/>
                <w:sz w:val="24"/>
                <w:szCs w:val="24"/>
              </w:rPr>
              <w:t>2018Q2</w:t>
            </w:r>
          </w:p>
        </w:tc>
        <w:tc>
          <w:tcPr>
            <w:tcW w:w="1581" w:type="dxa"/>
            <w:gridSpan w:val="6"/>
            <w:tcBorders>
              <w:top w:val="single" w:color="000000" w:sz="4" w:space="0"/>
              <w:left w:val="nil"/>
              <w:bottom w:val="single" w:color="000000" w:sz="4" w:space="0"/>
              <w:right w:val="single" w:color="000000" w:sz="4" w:space="0"/>
            </w:tcBorders>
            <w:shd w:val="clear" w:color="auto" w:fill="CCFFCC"/>
            <w:vAlign w:val="center"/>
          </w:tcPr>
          <w:p>
            <w:pPr>
              <w:autoSpaceDN w:val="0"/>
              <w:jc w:val="center"/>
              <w:textAlignment w:val="center"/>
              <w:rPr>
                <w:rFonts w:ascii="Times New Roman" w:hAnsi="Times New Roman" w:cs="Times New Roman"/>
                <w:sz w:val="24"/>
                <w:szCs w:val="24"/>
              </w:rPr>
            </w:pPr>
            <w:r>
              <w:rPr>
                <w:rFonts w:ascii="Times New Roman" w:hAnsi="Times New Roman" w:cs="Times New Roman"/>
                <w:sz w:val="24"/>
                <w:szCs w:val="24"/>
              </w:rPr>
              <w:t>2018Q3</w:t>
            </w:r>
          </w:p>
        </w:tc>
        <w:tc>
          <w:tcPr>
            <w:tcW w:w="1598" w:type="dxa"/>
            <w:gridSpan w:val="6"/>
            <w:tcBorders>
              <w:top w:val="single" w:color="000000" w:sz="4" w:space="0"/>
              <w:left w:val="nil"/>
              <w:bottom w:val="single" w:color="000000" w:sz="4" w:space="0"/>
              <w:right w:val="single" w:color="000000" w:sz="4" w:space="0"/>
            </w:tcBorders>
            <w:shd w:val="clear" w:color="auto" w:fill="CCFFCC"/>
            <w:vAlign w:val="center"/>
          </w:tcPr>
          <w:p>
            <w:pPr>
              <w:autoSpaceDN w:val="0"/>
              <w:jc w:val="center"/>
              <w:textAlignment w:val="center"/>
              <w:rPr>
                <w:rFonts w:ascii="Times New Roman" w:hAnsi="Times New Roman" w:cs="Times New Roman"/>
                <w:sz w:val="24"/>
                <w:szCs w:val="24"/>
              </w:rPr>
            </w:pPr>
            <w:r>
              <w:rPr>
                <w:rFonts w:ascii="Times New Roman" w:hAnsi="Times New Roman" w:cs="Times New Roman"/>
                <w:sz w:val="24"/>
                <w:szCs w:val="24"/>
              </w:rPr>
              <w:t>2018Q4</w:t>
            </w:r>
          </w:p>
        </w:tc>
        <w:tc>
          <w:tcPr>
            <w:tcW w:w="1644" w:type="dxa"/>
            <w:gridSpan w:val="6"/>
            <w:tcBorders>
              <w:top w:val="single" w:color="000000" w:sz="4" w:space="0"/>
              <w:left w:val="nil"/>
              <w:bottom w:val="single" w:color="000000" w:sz="4" w:space="0"/>
              <w:right w:val="single" w:color="000000" w:sz="4" w:space="0"/>
            </w:tcBorders>
            <w:shd w:val="clear" w:color="auto" w:fill="CCFFCC"/>
            <w:vAlign w:val="center"/>
          </w:tcPr>
          <w:p>
            <w:pPr>
              <w:autoSpaceDN w:val="0"/>
              <w:jc w:val="center"/>
              <w:textAlignment w:val="center"/>
              <w:rPr>
                <w:rFonts w:ascii="Times New Roman" w:hAnsi="Times New Roman" w:cs="Times New Roman"/>
                <w:sz w:val="24"/>
                <w:szCs w:val="24"/>
              </w:rPr>
            </w:pPr>
            <w:r>
              <w:rPr>
                <w:rFonts w:ascii="Times New Roman" w:hAnsi="Times New Roman" w:cs="Times New Roman"/>
                <w:sz w:val="24"/>
                <w:szCs w:val="24"/>
              </w:rPr>
              <w:t>2019Q1</w:t>
            </w:r>
          </w:p>
        </w:tc>
        <w:tc>
          <w:tcPr>
            <w:tcW w:w="1596" w:type="dxa"/>
            <w:gridSpan w:val="7"/>
            <w:tcBorders>
              <w:top w:val="single" w:color="000000" w:sz="4" w:space="0"/>
              <w:left w:val="nil"/>
              <w:bottom w:val="single" w:color="000000" w:sz="4" w:space="0"/>
              <w:right w:val="single" w:color="000000" w:sz="4" w:space="0"/>
            </w:tcBorders>
            <w:shd w:val="clear" w:color="auto" w:fill="CCFFCC"/>
            <w:vAlign w:val="center"/>
          </w:tcPr>
          <w:p>
            <w:pPr>
              <w:autoSpaceDN w:val="0"/>
              <w:jc w:val="center"/>
              <w:textAlignment w:val="center"/>
              <w:rPr>
                <w:rFonts w:ascii="Times New Roman" w:hAnsi="Times New Roman" w:cs="Times New Roman"/>
                <w:sz w:val="24"/>
                <w:szCs w:val="24"/>
              </w:rPr>
            </w:pPr>
            <w:r>
              <w:rPr>
                <w:rFonts w:ascii="Times New Roman" w:hAnsi="Times New Roman" w:cs="Times New Roman"/>
                <w:sz w:val="24"/>
                <w:szCs w:val="24"/>
              </w:rPr>
              <w:t>2019Q2</w:t>
            </w:r>
          </w:p>
        </w:tc>
      </w:tr>
      <w:tr>
        <w:tblPrEx>
          <w:tblLayout w:type="fixed"/>
          <w:tblCellMar>
            <w:top w:w="0" w:type="dxa"/>
            <w:left w:w="0" w:type="dxa"/>
            <w:bottom w:w="0" w:type="dxa"/>
            <w:right w:w="0" w:type="dxa"/>
          </w:tblCellMar>
        </w:tblPrEx>
        <w:trPr>
          <w:cantSplit/>
          <w:trHeight w:val="464"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CCFFCC"/>
            <w:vAlign w:val="center"/>
          </w:tcPr>
          <w:p>
            <w:pPr>
              <w:autoSpaceDN w:val="0"/>
              <w:jc w:val="center"/>
              <w:textAlignment w:val="center"/>
              <w:rPr>
                <w:rFonts w:ascii="Times New Roman" w:hAnsi="Times New Roman" w:cs="Times New Roman"/>
                <w:sz w:val="24"/>
                <w:szCs w:val="24"/>
              </w:rPr>
            </w:pPr>
          </w:p>
        </w:tc>
        <w:tc>
          <w:tcPr>
            <w:tcW w:w="1932" w:type="dxa"/>
            <w:vMerge w:val="continue"/>
            <w:tcBorders>
              <w:top w:val="single" w:color="000000" w:sz="4" w:space="0"/>
              <w:left w:val="nil"/>
              <w:bottom w:val="single" w:color="000000" w:sz="4" w:space="0"/>
              <w:right w:val="single" w:color="000000" w:sz="4" w:space="0"/>
            </w:tcBorders>
            <w:shd w:val="clear" w:color="auto" w:fill="CCFFCC"/>
            <w:vAlign w:val="center"/>
          </w:tcPr>
          <w:p>
            <w:pPr>
              <w:autoSpaceDN w:val="0"/>
              <w:jc w:val="center"/>
              <w:textAlignment w:val="center"/>
              <w:rPr>
                <w:rFonts w:ascii="Times New Roman" w:hAnsi="Times New Roman" w:cs="Times New Roman"/>
                <w:sz w:val="24"/>
                <w:szCs w:val="24"/>
              </w:rPr>
            </w:pPr>
          </w:p>
        </w:tc>
        <w:tc>
          <w:tcPr>
            <w:tcW w:w="593" w:type="dxa"/>
            <w:gridSpan w:val="3"/>
            <w:tcBorders>
              <w:top w:val="single" w:color="000000" w:sz="4" w:space="0"/>
              <w:left w:val="nil"/>
              <w:bottom w:val="single" w:color="000000" w:sz="4" w:space="0"/>
              <w:right w:val="single" w:color="000000" w:sz="4" w:space="0"/>
            </w:tcBorders>
            <w:shd w:val="clear" w:color="auto" w:fill="CCFFCC"/>
            <w:vAlign w:val="center"/>
          </w:tcPr>
          <w:p>
            <w:pPr>
              <w:autoSpaceDN w:val="0"/>
              <w:jc w:val="center"/>
              <w:textAlignment w:val="center"/>
              <w:rPr>
                <w:rFonts w:ascii="Times New Roman" w:hAnsi="Times New Roman" w:cs="Times New Roman"/>
                <w:sz w:val="24"/>
                <w:szCs w:val="24"/>
              </w:rPr>
            </w:pPr>
            <w:r>
              <w:rPr>
                <w:rFonts w:ascii="Times New Roman" w:hAnsi="Times New Roman" w:cs="Times New Roman"/>
                <w:sz w:val="24"/>
                <w:szCs w:val="24"/>
              </w:rPr>
              <w:t>Apr.</w:t>
            </w:r>
          </w:p>
        </w:tc>
        <w:tc>
          <w:tcPr>
            <w:tcW w:w="518" w:type="dxa"/>
            <w:gridSpan w:val="2"/>
            <w:tcBorders>
              <w:top w:val="single" w:color="000000" w:sz="4" w:space="0"/>
              <w:left w:val="nil"/>
              <w:bottom w:val="single" w:color="000000" w:sz="4" w:space="0"/>
              <w:right w:val="single" w:color="000000" w:sz="4" w:space="0"/>
            </w:tcBorders>
            <w:shd w:val="clear" w:color="auto" w:fill="CCFFCC"/>
            <w:vAlign w:val="center"/>
          </w:tcPr>
          <w:p>
            <w:pPr>
              <w:autoSpaceDN w:val="0"/>
              <w:jc w:val="center"/>
              <w:textAlignment w:val="center"/>
              <w:rPr>
                <w:rFonts w:ascii="Times New Roman" w:hAnsi="Times New Roman" w:cs="Times New Roman"/>
                <w:sz w:val="24"/>
                <w:szCs w:val="24"/>
              </w:rPr>
            </w:pPr>
            <w:r>
              <w:rPr>
                <w:rFonts w:ascii="Times New Roman" w:hAnsi="Times New Roman" w:cs="Times New Roman"/>
                <w:sz w:val="24"/>
                <w:szCs w:val="24"/>
              </w:rPr>
              <w:t>May</w:t>
            </w:r>
          </w:p>
        </w:tc>
        <w:tc>
          <w:tcPr>
            <w:tcW w:w="519" w:type="dxa"/>
            <w:gridSpan w:val="2"/>
            <w:tcBorders>
              <w:top w:val="single" w:color="000000" w:sz="4" w:space="0"/>
              <w:left w:val="nil"/>
              <w:bottom w:val="single" w:color="000000" w:sz="4" w:space="0"/>
              <w:right w:val="single" w:color="000000" w:sz="4" w:space="0"/>
            </w:tcBorders>
            <w:shd w:val="clear" w:color="auto" w:fill="CCFFCC"/>
            <w:vAlign w:val="center"/>
          </w:tcPr>
          <w:p>
            <w:pPr>
              <w:autoSpaceDN w:val="0"/>
              <w:jc w:val="center"/>
              <w:textAlignment w:val="center"/>
              <w:rPr>
                <w:rFonts w:ascii="Times New Roman" w:hAnsi="Times New Roman" w:cs="Times New Roman"/>
                <w:sz w:val="24"/>
                <w:szCs w:val="24"/>
              </w:rPr>
            </w:pPr>
            <w:r>
              <w:rPr>
                <w:rFonts w:ascii="Times New Roman" w:hAnsi="Times New Roman" w:cs="Times New Roman"/>
                <w:sz w:val="24"/>
                <w:szCs w:val="24"/>
              </w:rPr>
              <w:t>Jun.</w:t>
            </w:r>
          </w:p>
        </w:tc>
        <w:tc>
          <w:tcPr>
            <w:tcW w:w="526" w:type="dxa"/>
            <w:tcBorders>
              <w:top w:val="single" w:color="000000" w:sz="4" w:space="0"/>
              <w:left w:val="nil"/>
              <w:bottom w:val="single" w:color="000000" w:sz="4" w:space="0"/>
              <w:right w:val="single" w:color="000000" w:sz="4" w:space="0"/>
            </w:tcBorders>
            <w:shd w:val="clear" w:color="auto" w:fill="CCFFCC"/>
            <w:vAlign w:val="center"/>
          </w:tcPr>
          <w:p>
            <w:pPr>
              <w:autoSpaceDN w:val="0"/>
              <w:jc w:val="center"/>
              <w:textAlignment w:val="center"/>
              <w:rPr>
                <w:rFonts w:ascii="Times New Roman" w:hAnsi="Times New Roman" w:cs="Times New Roman"/>
                <w:sz w:val="24"/>
                <w:szCs w:val="24"/>
              </w:rPr>
            </w:pPr>
            <w:r>
              <w:rPr>
                <w:rFonts w:ascii="Times New Roman" w:hAnsi="Times New Roman" w:cs="Times New Roman"/>
                <w:sz w:val="24"/>
                <w:szCs w:val="24"/>
              </w:rPr>
              <w:t>Jul.</w:t>
            </w:r>
          </w:p>
        </w:tc>
        <w:tc>
          <w:tcPr>
            <w:tcW w:w="527" w:type="dxa"/>
            <w:gridSpan w:val="3"/>
            <w:tcBorders>
              <w:top w:val="single" w:color="000000" w:sz="4" w:space="0"/>
              <w:left w:val="nil"/>
              <w:bottom w:val="single" w:color="000000" w:sz="4" w:space="0"/>
              <w:right w:val="single" w:color="000000" w:sz="4" w:space="0"/>
            </w:tcBorders>
            <w:shd w:val="clear" w:color="auto" w:fill="CCFFCC"/>
            <w:vAlign w:val="center"/>
          </w:tcPr>
          <w:p>
            <w:pPr>
              <w:autoSpaceDN w:val="0"/>
              <w:jc w:val="center"/>
              <w:textAlignment w:val="center"/>
              <w:rPr>
                <w:rFonts w:ascii="Times New Roman" w:hAnsi="Times New Roman" w:cs="Times New Roman"/>
                <w:sz w:val="24"/>
                <w:szCs w:val="24"/>
              </w:rPr>
            </w:pPr>
            <w:r>
              <w:rPr>
                <w:rFonts w:ascii="Times New Roman" w:hAnsi="Times New Roman" w:cs="Times New Roman"/>
                <w:sz w:val="24"/>
                <w:szCs w:val="24"/>
              </w:rPr>
              <w:t>Aug.</w:t>
            </w:r>
          </w:p>
        </w:tc>
        <w:tc>
          <w:tcPr>
            <w:tcW w:w="528" w:type="dxa"/>
            <w:gridSpan w:val="2"/>
            <w:tcBorders>
              <w:top w:val="single" w:color="000000" w:sz="4" w:space="0"/>
              <w:left w:val="nil"/>
              <w:bottom w:val="single" w:color="000000" w:sz="4" w:space="0"/>
              <w:right w:val="single" w:color="000000" w:sz="4" w:space="0"/>
            </w:tcBorders>
            <w:shd w:val="clear" w:color="auto" w:fill="CCFFCC"/>
            <w:vAlign w:val="center"/>
          </w:tcPr>
          <w:p>
            <w:pPr>
              <w:autoSpaceDN w:val="0"/>
              <w:jc w:val="center"/>
              <w:textAlignment w:val="center"/>
              <w:rPr>
                <w:rFonts w:ascii="Times New Roman" w:hAnsi="Times New Roman" w:cs="Times New Roman"/>
                <w:sz w:val="24"/>
                <w:szCs w:val="24"/>
              </w:rPr>
            </w:pPr>
            <w:r>
              <w:rPr>
                <w:rFonts w:ascii="Times New Roman" w:hAnsi="Times New Roman" w:cs="Times New Roman"/>
                <w:sz w:val="24"/>
                <w:szCs w:val="24"/>
              </w:rPr>
              <w:t>Sept.</w:t>
            </w:r>
          </w:p>
        </w:tc>
        <w:tc>
          <w:tcPr>
            <w:tcW w:w="531" w:type="dxa"/>
            <w:gridSpan w:val="2"/>
            <w:tcBorders>
              <w:top w:val="single" w:color="000000" w:sz="4" w:space="0"/>
              <w:left w:val="nil"/>
              <w:bottom w:val="single" w:color="000000" w:sz="4" w:space="0"/>
              <w:right w:val="single" w:color="000000" w:sz="4" w:space="0"/>
            </w:tcBorders>
            <w:shd w:val="clear" w:color="auto" w:fill="CCFFCC"/>
            <w:vAlign w:val="center"/>
          </w:tcPr>
          <w:p>
            <w:pPr>
              <w:autoSpaceDN w:val="0"/>
              <w:jc w:val="center"/>
              <w:textAlignment w:val="center"/>
              <w:rPr>
                <w:rFonts w:ascii="Times New Roman" w:hAnsi="Times New Roman" w:cs="Times New Roman"/>
                <w:sz w:val="24"/>
                <w:szCs w:val="24"/>
              </w:rPr>
            </w:pPr>
            <w:r>
              <w:rPr>
                <w:rFonts w:ascii="Times New Roman" w:hAnsi="Times New Roman" w:cs="Times New Roman"/>
                <w:sz w:val="24"/>
                <w:szCs w:val="24"/>
              </w:rPr>
              <w:t>Oct.</w:t>
            </w:r>
          </w:p>
        </w:tc>
        <w:tc>
          <w:tcPr>
            <w:tcW w:w="532" w:type="dxa"/>
            <w:gridSpan w:val="2"/>
            <w:tcBorders>
              <w:top w:val="single" w:color="000000" w:sz="4" w:space="0"/>
              <w:left w:val="nil"/>
              <w:bottom w:val="single" w:color="000000" w:sz="4" w:space="0"/>
              <w:right w:val="single" w:color="000000" w:sz="4" w:space="0"/>
            </w:tcBorders>
            <w:shd w:val="clear" w:color="auto" w:fill="CCFFCC"/>
            <w:vAlign w:val="center"/>
          </w:tcPr>
          <w:p>
            <w:pPr>
              <w:autoSpaceDN w:val="0"/>
              <w:jc w:val="center"/>
              <w:textAlignment w:val="center"/>
              <w:rPr>
                <w:rFonts w:ascii="Times New Roman" w:hAnsi="Times New Roman" w:cs="Times New Roman"/>
                <w:sz w:val="24"/>
                <w:szCs w:val="24"/>
              </w:rPr>
            </w:pPr>
            <w:r>
              <w:rPr>
                <w:rFonts w:ascii="Times New Roman" w:hAnsi="Times New Roman" w:cs="Times New Roman"/>
                <w:sz w:val="24"/>
                <w:szCs w:val="24"/>
              </w:rPr>
              <w:t>Nov.</w:t>
            </w:r>
          </w:p>
        </w:tc>
        <w:tc>
          <w:tcPr>
            <w:tcW w:w="535" w:type="dxa"/>
            <w:gridSpan w:val="2"/>
            <w:tcBorders>
              <w:top w:val="single" w:color="000000" w:sz="4" w:space="0"/>
              <w:left w:val="nil"/>
              <w:bottom w:val="single" w:color="000000" w:sz="4" w:space="0"/>
              <w:right w:val="single" w:color="000000" w:sz="4" w:space="0"/>
            </w:tcBorders>
            <w:shd w:val="clear" w:color="auto" w:fill="CCFFCC"/>
            <w:vAlign w:val="center"/>
          </w:tcPr>
          <w:p>
            <w:pPr>
              <w:autoSpaceDN w:val="0"/>
              <w:jc w:val="center"/>
              <w:textAlignment w:val="center"/>
              <w:rPr>
                <w:rFonts w:ascii="Times New Roman" w:hAnsi="Times New Roman" w:cs="Times New Roman"/>
                <w:sz w:val="24"/>
                <w:szCs w:val="24"/>
              </w:rPr>
            </w:pPr>
            <w:r>
              <w:rPr>
                <w:rFonts w:ascii="Times New Roman" w:hAnsi="Times New Roman" w:cs="Times New Roman"/>
                <w:sz w:val="24"/>
                <w:szCs w:val="24"/>
              </w:rPr>
              <w:t>Dec.</w:t>
            </w:r>
          </w:p>
        </w:tc>
        <w:tc>
          <w:tcPr>
            <w:tcW w:w="581" w:type="dxa"/>
            <w:tcBorders>
              <w:top w:val="single" w:color="000000" w:sz="4" w:space="0"/>
              <w:left w:val="nil"/>
              <w:bottom w:val="single" w:color="000000" w:sz="4" w:space="0"/>
              <w:right w:val="single" w:color="000000" w:sz="4" w:space="0"/>
            </w:tcBorders>
            <w:shd w:val="clear" w:color="auto" w:fill="CCFFCC"/>
            <w:vAlign w:val="center"/>
          </w:tcPr>
          <w:p>
            <w:pPr>
              <w:autoSpaceDN w:val="0"/>
              <w:jc w:val="center"/>
              <w:textAlignment w:val="center"/>
              <w:rPr>
                <w:rFonts w:ascii="Times New Roman" w:hAnsi="Times New Roman" w:cs="Times New Roman"/>
                <w:sz w:val="24"/>
                <w:szCs w:val="24"/>
              </w:rPr>
            </w:pPr>
            <w:r>
              <w:rPr>
                <w:rFonts w:ascii="Times New Roman" w:hAnsi="Times New Roman" w:cs="Times New Roman"/>
                <w:sz w:val="24"/>
                <w:szCs w:val="24"/>
              </w:rPr>
              <w:t>Jan.</w:t>
            </w:r>
          </w:p>
        </w:tc>
        <w:tc>
          <w:tcPr>
            <w:tcW w:w="510" w:type="dxa"/>
            <w:gridSpan w:val="3"/>
            <w:tcBorders>
              <w:top w:val="single" w:color="000000" w:sz="4" w:space="0"/>
              <w:left w:val="nil"/>
              <w:bottom w:val="single" w:color="000000" w:sz="4" w:space="0"/>
              <w:right w:val="single" w:color="000000" w:sz="4" w:space="0"/>
            </w:tcBorders>
            <w:shd w:val="clear" w:color="auto" w:fill="CCFFCC"/>
            <w:vAlign w:val="center"/>
          </w:tcPr>
          <w:p>
            <w:pPr>
              <w:autoSpaceDN w:val="0"/>
              <w:jc w:val="center"/>
              <w:textAlignment w:val="center"/>
              <w:rPr>
                <w:rFonts w:ascii="Times New Roman" w:hAnsi="Times New Roman" w:cs="Times New Roman"/>
                <w:sz w:val="24"/>
                <w:szCs w:val="24"/>
              </w:rPr>
            </w:pPr>
            <w:r>
              <w:rPr>
                <w:rFonts w:ascii="Times New Roman" w:hAnsi="Times New Roman" w:cs="Times New Roman"/>
                <w:sz w:val="24"/>
                <w:szCs w:val="24"/>
              </w:rPr>
              <w:t>Feb.</w:t>
            </w:r>
          </w:p>
        </w:tc>
        <w:tc>
          <w:tcPr>
            <w:tcW w:w="553" w:type="dxa"/>
            <w:gridSpan w:val="2"/>
            <w:tcBorders>
              <w:top w:val="single" w:color="000000" w:sz="4" w:space="0"/>
              <w:left w:val="nil"/>
              <w:bottom w:val="single" w:color="000000" w:sz="4" w:space="0"/>
              <w:right w:val="single" w:color="000000" w:sz="4" w:space="0"/>
            </w:tcBorders>
            <w:shd w:val="clear" w:color="auto" w:fill="CCFFCC"/>
            <w:vAlign w:val="center"/>
          </w:tcPr>
          <w:p>
            <w:pPr>
              <w:autoSpaceDN w:val="0"/>
              <w:jc w:val="center"/>
              <w:textAlignment w:val="center"/>
              <w:rPr>
                <w:rFonts w:ascii="Times New Roman" w:hAnsi="Times New Roman" w:cs="Times New Roman"/>
                <w:sz w:val="24"/>
                <w:szCs w:val="24"/>
              </w:rPr>
            </w:pPr>
            <w:r>
              <w:rPr>
                <w:rFonts w:ascii="Times New Roman" w:hAnsi="Times New Roman" w:cs="Times New Roman"/>
                <w:sz w:val="24"/>
                <w:szCs w:val="24"/>
              </w:rPr>
              <w:t>Mar.</w:t>
            </w:r>
          </w:p>
        </w:tc>
        <w:tc>
          <w:tcPr>
            <w:tcW w:w="520" w:type="dxa"/>
            <w:tcBorders>
              <w:top w:val="single" w:color="000000" w:sz="4" w:space="0"/>
              <w:left w:val="nil"/>
              <w:bottom w:val="single" w:color="000000" w:sz="4" w:space="0"/>
              <w:right w:val="single" w:color="000000" w:sz="4" w:space="0"/>
            </w:tcBorders>
            <w:shd w:val="clear" w:color="auto" w:fill="CCFFCC"/>
            <w:vAlign w:val="center"/>
          </w:tcPr>
          <w:p>
            <w:pPr>
              <w:autoSpaceDN w:val="0"/>
              <w:jc w:val="center"/>
              <w:textAlignment w:val="center"/>
              <w:rPr>
                <w:rFonts w:ascii="Times New Roman" w:hAnsi="Times New Roman" w:cs="Times New Roman"/>
                <w:sz w:val="24"/>
                <w:szCs w:val="24"/>
              </w:rPr>
            </w:pPr>
            <w:r>
              <w:rPr>
                <w:rFonts w:ascii="Times New Roman" w:hAnsi="Times New Roman" w:cs="Times New Roman"/>
                <w:sz w:val="24"/>
                <w:szCs w:val="24"/>
              </w:rPr>
              <w:t>Apr.</w:t>
            </w:r>
          </w:p>
        </w:tc>
        <w:tc>
          <w:tcPr>
            <w:tcW w:w="520" w:type="dxa"/>
            <w:gridSpan w:val="3"/>
            <w:tcBorders>
              <w:top w:val="single" w:color="000000" w:sz="4" w:space="0"/>
              <w:left w:val="nil"/>
              <w:bottom w:val="single" w:color="000000" w:sz="4" w:space="0"/>
              <w:right w:val="single" w:color="000000" w:sz="4" w:space="0"/>
            </w:tcBorders>
            <w:shd w:val="clear" w:color="auto" w:fill="CCFFCC"/>
            <w:vAlign w:val="center"/>
          </w:tcPr>
          <w:p>
            <w:pPr>
              <w:autoSpaceDN w:val="0"/>
              <w:jc w:val="center"/>
              <w:textAlignment w:val="center"/>
              <w:rPr>
                <w:rFonts w:ascii="Times New Roman" w:hAnsi="Times New Roman" w:cs="Times New Roman"/>
                <w:sz w:val="24"/>
                <w:szCs w:val="24"/>
              </w:rPr>
            </w:pPr>
            <w:r>
              <w:rPr>
                <w:rFonts w:ascii="Times New Roman" w:hAnsi="Times New Roman" w:cs="Times New Roman"/>
                <w:sz w:val="24"/>
                <w:szCs w:val="24"/>
              </w:rPr>
              <w:t>May</w:t>
            </w:r>
          </w:p>
        </w:tc>
        <w:tc>
          <w:tcPr>
            <w:tcW w:w="556" w:type="dxa"/>
            <w:gridSpan w:val="3"/>
            <w:tcBorders>
              <w:top w:val="single" w:color="000000" w:sz="4" w:space="0"/>
              <w:left w:val="nil"/>
              <w:bottom w:val="single" w:color="000000" w:sz="4" w:space="0"/>
              <w:right w:val="single" w:color="000000" w:sz="4" w:space="0"/>
            </w:tcBorders>
            <w:shd w:val="clear" w:color="auto" w:fill="CCFFCC"/>
            <w:vAlign w:val="center"/>
          </w:tcPr>
          <w:p>
            <w:pPr>
              <w:autoSpaceDN w:val="0"/>
              <w:jc w:val="center"/>
              <w:textAlignment w:val="center"/>
              <w:rPr>
                <w:rFonts w:ascii="Times New Roman" w:hAnsi="Times New Roman" w:cs="Times New Roman"/>
                <w:sz w:val="24"/>
                <w:szCs w:val="24"/>
              </w:rPr>
            </w:pPr>
            <w:r>
              <w:rPr>
                <w:rFonts w:ascii="Times New Roman" w:hAnsi="Times New Roman" w:cs="Times New Roman"/>
                <w:sz w:val="24"/>
                <w:szCs w:val="24"/>
              </w:rPr>
              <w:t>Jun.</w:t>
            </w:r>
          </w:p>
        </w:tc>
      </w:tr>
      <w:tr>
        <w:tblPrEx>
          <w:tblLayout w:type="fixed"/>
          <w:tblCellMar>
            <w:top w:w="0" w:type="dxa"/>
            <w:left w:w="0" w:type="dxa"/>
            <w:bottom w:w="0" w:type="dxa"/>
            <w:right w:w="0" w:type="dxa"/>
          </w:tblCellMar>
        </w:tblPrEx>
        <w:trPr>
          <w:cantSplit/>
          <w:trHeight w:val="752" w:hRule="atLeast"/>
        </w:trPr>
        <w:tc>
          <w:tcPr>
            <w:tcW w:w="475" w:type="dxa"/>
            <w:vMerge w:val="restart"/>
            <w:tcBorders>
              <w:top w:val="nil"/>
              <w:left w:val="single" w:color="000000" w:sz="4" w:space="0"/>
              <w:bottom w:val="single" w:color="000000" w:sz="4" w:space="0"/>
              <w:right w:val="single" w:color="000000" w:sz="4" w:space="0"/>
            </w:tcBorders>
            <w:textDirection w:val="btLr"/>
            <w:vAlign w:val="center"/>
          </w:tcPr>
          <w:p>
            <w:pPr>
              <w:autoSpaceDN w:val="0"/>
              <w:jc w:val="center"/>
              <w:textAlignment w:val="center"/>
              <w:rPr>
                <w:rFonts w:ascii="Times New Roman" w:hAnsi="Times New Roman" w:cs="Times New Roman"/>
                <w:sz w:val="24"/>
                <w:szCs w:val="24"/>
              </w:rPr>
            </w:pPr>
            <w:r>
              <w:rPr>
                <w:rFonts w:ascii="Times New Roman" w:hAnsi="Times New Roman" w:cs="Times New Roman"/>
                <w:sz w:val="24"/>
                <w:szCs w:val="24"/>
              </w:rPr>
              <w:t>United States</w:t>
            </w:r>
          </w:p>
        </w:tc>
        <w:tc>
          <w:tcPr>
            <w:tcW w:w="1932" w:type="dxa"/>
            <w:tcBorders>
              <w:top w:val="single" w:color="000000" w:sz="4" w:space="0"/>
              <w:left w:val="nil"/>
              <w:bottom w:val="single" w:color="000000" w:sz="4" w:space="0"/>
              <w:right w:val="single" w:color="000000" w:sz="4" w:space="0"/>
            </w:tcBorders>
            <w:shd w:val="clear" w:color="auto" w:fill="FFFFFF"/>
            <w:vAlign w:val="bottom"/>
          </w:tcPr>
          <w:p>
            <w:pPr>
              <w:pStyle w:val="22"/>
              <w:autoSpaceDN w:val="0"/>
              <w:textAlignment w:val="center"/>
              <w:rPr>
                <w:kern w:val="2"/>
                <w:sz w:val="24"/>
                <w:szCs w:val="24"/>
              </w:rPr>
            </w:pPr>
            <w:r>
              <w:rPr>
                <w:kern w:val="2"/>
                <w:sz w:val="24"/>
                <w:szCs w:val="24"/>
              </w:rPr>
              <w:t>Real GDP Growth (annualized quarterly rate, %)</w:t>
            </w:r>
          </w:p>
        </w:tc>
        <w:tc>
          <w:tcPr>
            <w:tcW w:w="1630" w:type="dxa"/>
            <w:gridSpan w:val="7"/>
            <w:tcBorders>
              <w:top w:val="single" w:color="000000" w:sz="4" w:space="0"/>
              <w:left w:val="nil"/>
              <w:bottom w:val="single" w:color="000000" w:sz="4" w:space="0"/>
              <w:right w:val="single" w:color="000000" w:sz="4" w:space="0"/>
            </w:tcBorders>
            <w:shd w:val="clear" w:color="CCFFCC" w:fill="auto"/>
            <w:vAlign w:val="center"/>
          </w:tcPr>
          <w:p>
            <w:pPr>
              <w:autoSpaceDN w:val="0"/>
              <w:jc w:val="center"/>
              <w:textAlignment w:val="center"/>
              <w:rPr>
                <w:rFonts w:ascii="Times New Roman" w:hAnsi="Times New Roman" w:cs="Times New Roman"/>
                <w:sz w:val="24"/>
                <w:szCs w:val="24"/>
              </w:rPr>
            </w:pPr>
            <w:r>
              <w:rPr>
                <w:rFonts w:ascii="Times New Roman" w:hAnsi="Times New Roman" w:cs="Times New Roman"/>
                <w:sz w:val="24"/>
                <w:szCs w:val="24"/>
              </w:rPr>
              <w:t>4.2</w:t>
            </w:r>
          </w:p>
        </w:tc>
        <w:tc>
          <w:tcPr>
            <w:tcW w:w="1581" w:type="dxa"/>
            <w:gridSpan w:val="6"/>
            <w:tcBorders>
              <w:top w:val="single" w:color="000000" w:sz="4" w:space="0"/>
              <w:left w:val="nil"/>
              <w:bottom w:val="single" w:color="000000" w:sz="4" w:space="0"/>
              <w:right w:val="single" w:color="000000" w:sz="4" w:space="0"/>
            </w:tcBorders>
            <w:shd w:val="clear" w:color="CCFFCC" w:fill="auto"/>
            <w:vAlign w:val="center"/>
          </w:tcPr>
          <w:p>
            <w:pPr>
              <w:autoSpaceDN w:val="0"/>
              <w:jc w:val="center"/>
              <w:textAlignment w:val="center"/>
              <w:rPr>
                <w:rFonts w:ascii="Times New Roman" w:hAnsi="Times New Roman" w:cs="Times New Roman"/>
                <w:sz w:val="24"/>
                <w:szCs w:val="24"/>
              </w:rPr>
            </w:pPr>
            <w:r>
              <w:rPr>
                <w:rFonts w:ascii="Times New Roman" w:hAnsi="Times New Roman" w:cs="Times New Roman"/>
                <w:sz w:val="24"/>
                <w:szCs w:val="24"/>
              </w:rPr>
              <w:t>3.4</w:t>
            </w:r>
          </w:p>
        </w:tc>
        <w:tc>
          <w:tcPr>
            <w:tcW w:w="1598" w:type="dxa"/>
            <w:gridSpan w:val="6"/>
            <w:tcBorders>
              <w:top w:val="single" w:color="000000" w:sz="4" w:space="0"/>
              <w:left w:val="nil"/>
              <w:bottom w:val="single" w:color="000000" w:sz="4" w:space="0"/>
              <w:right w:val="single" w:color="000000" w:sz="4" w:space="0"/>
            </w:tcBorders>
            <w:shd w:val="clear" w:color="CCFFCC" w:fill="auto"/>
            <w:vAlign w:val="center"/>
          </w:tcPr>
          <w:p>
            <w:pPr>
              <w:autoSpaceDN w:val="0"/>
              <w:jc w:val="center"/>
              <w:textAlignment w:val="center"/>
              <w:rPr>
                <w:rFonts w:ascii="Times New Roman" w:hAnsi="Times New Roman" w:cs="Times New Roman"/>
                <w:sz w:val="24"/>
                <w:szCs w:val="24"/>
              </w:rPr>
            </w:pPr>
            <w:r>
              <w:rPr>
                <w:rFonts w:ascii="Times New Roman" w:hAnsi="Times New Roman" w:cs="Times New Roman"/>
                <w:sz w:val="24"/>
                <w:szCs w:val="24"/>
              </w:rPr>
              <w:t>2.2</w:t>
            </w:r>
          </w:p>
        </w:tc>
        <w:tc>
          <w:tcPr>
            <w:tcW w:w="1644" w:type="dxa"/>
            <w:gridSpan w:val="6"/>
            <w:tcBorders>
              <w:top w:val="single" w:color="000000" w:sz="4" w:space="0"/>
              <w:left w:val="nil"/>
              <w:bottom w:val="single" w:color="000000" w:sz="4" w:space="0"/>
              <w:right w:val="single" w:color="000000" w:sz="4" w:space="0"/>
            </w:tcBorders>
            <w:shd w:val="clear" w:color="CCFFCC" w:fill="auto"/>
            <w:vAlign w:val="center"/>
          </w:tcPr>
          <w:p>
            <w:pPr>
              <w:autoSpaceDN w:val="0"/>
              <w:jc w:val="center"/>
              <w:textAlignment w:val="center"/>
              <w:rPr>
                <w:rFonts w:ascii="Times New Roman" w:hAnsi="Times New Roman" w:cs="Times New Roman"/>
                <w:sz w:val="24"/>
                <w:szCs w:val="24"/>
              </w:rPr>
            </w:pPr>
            <w:r>
              <w:rPr>
                <w:rFonts w:ascii="Times New Roman" w:hAnsi="Times New Roman" w:cs="Times New Roman"/>
                <w:sz w:val="24"/>
                <w:szCs w:val="24"/>
              </w:rPr>
              <w:t>3.1</w:t>
            </w:r>
          </w:p>
        </w:tc>
        <w:tc>
          <w:tcPr>
            <w:tcW w:w="1596" w:type="dxa"/>
            <w:gridSpan w:val="7"/>
            <w:tcBorders>
              <w:top w:val="single" w:color="000000" w:sz="4" w:space="0"/>
              <w:left w:val="nil"/>
              <w:bottom w:val="single" w:color="000000" w:sz="4" w:space="0"/>
              <w:right w:val="single" w:color="000000" w:sz="4" w:space="0"/>
            </w:tcBorders>
            <w:shd w:val="clear" w:color="CCFFCC" w:fill="auto"/>
            <w:vAlign w:val="center"/>
          </w:tcPr>
          <w:p>
            <w:pPr>
              <w:autoSpaceDN w:val="0"/>
              <w:jc w:val="center"/>
              <w:textAlignment w:val="center"/>
              <w:rPr>
                <w:rFonts w:ascii="Times New Roman" w:hAnsi="Times New Roman" w:cs="Times New Roman"/>
                <w:sz w:val="24"/>
                <w:szCs w:val="24"/>
              </w:rPr>
            </w:pPr>
            <w:r>
              <w:rPr>
                <w:rFonts w:ascii="Times New Roman" w:hAnsi="Times New Roman" w:cs="Times New Roman"/>
                <w:sz w:val="24"/>
                <w:szCs w:val="24"/>
              </w:rPr>
              <w:t>2.1</w:t>
            </w:r>
          </w:p>
        </w:tc>
      </w:tr>
      <w:tr>
        <w:tblPrEx>
          <w:tblLayout w:type="fixed"/>
          <w:tblCellMar>
            <w:top w:w="0" w:type="dxa"/>
            <w:left w:w="0" w:type="dxa"/>
            <w:bottom w:w="0" w:type="dxa"/>
            <w:right w:w="0" w:type="dxa"/>
          </w:tblCellMar>
        </w:tblPrEx>
        <w:trPr>
          <w:cantSplit/>
          <w:trHeight w:val="302" w:hRule="atLeast"/>
        </w:trPr>
        <w:tc>
          <w:tcPr>
            <w:tcW w:w="475" w:type="dxa"/>
            <w:vMerge w:val="continue"/>
            <w:tcBorders>
              <w:top w:val="nil"/>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cs="Times New Roman"/>
                <w:sz w:val="24"/>
                <w:szCs w:val="24"/>
              </w:rPr>
            </w:pPr>
          </w:p>
        </w:tc>
        <w:tc>
          <w:tcPr>
            <w:tcW w:w="1932" w:type="dxa"/>
            <w:tcBorders>
              <w:top w:val="single" w:color="000000" w:sz="4" w:space="0"/>
              <w:left w:val="nil"/>
              <w:bottom w:val="single" w:color="000000" w:sz="4" w:space="0"/>
              <w:right w:val="single" w:color="000000" w:sz="4" w:space="0"/>
            </w:tcBorders>
            <w:shd w:val="clear" w:color="auto" w:fill="CCFFCC"/>
            <w:vAlign w:val="bottom"/>
          </w:tcPr>
          <w:p>
            <w:pPr>
              <w:pStyle w:val="22"/>
              <w:autoSpaceDN w:val="0"/>
              <w:jc w:val="center"/>
              <w:textAlignment w:val="center"/>
              <w:rPr>
                <w:kern w:val="2"/>
                <w:sz w:val="24"/>
                <w:szCs w:val="24"/>
              </w:rPr>
            </w:pPr>
            <w:r>
              <w:rPr>
                <w:kern w:val="2"/>
                <w:sz w:val="24"/>
                <w:szCs w:val="24"/>
              </w:rPr>
              <w:t>Unemployment Rate (%)</w:t>
            </w:r>
          </w:p>
        </w:tc>
        <w:tc>
          <w:tcPr>
            <w:tcW w:w="575" w:type="dxa"/>
            <w:gridSpan w:val="2"/>
            <w:tcBorders>
              <w:top w:val="single" w:color="000000" w:sz="4" w:space="0"/>
              <w:left w:val="nil"/>
              <w:bottom w:val="single" w:color="000000" w:sz="4" w:space="0"/>
              <w:right w:val="single" w:color="000000" w:sz="4" w:space="0"/>
            </w:tcBorders>
            <w:shd w:val="clear" w:color="auto" w:fill="CCFFCC"/>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3.9</w:t>
            </w:r>
          </w:p>
        </w:tc>
        <w:tc>
          <w:tcPr>
            <w:tcW w:w="520" w:type="dxa"/>
            <w:gridSpan w:val="2"/>
            <w:tcBorders>
              <w:top w:val="single" w:color="000000" w:sz="4" w:space="0"/>
              <w:left w:val="nil"/>
              <w:bottom w:val="single" w:color="000000" w:sz="4" w:space="0"/>
              <w:right w:val="single" w:color="000000" w:sz="4" w:space="0"/>
            </w:tcBorders>
            <w:shd w:val="clear" w:color="auto" w:fill="CCFFCC"/>
            <w:vAlign w:val="center"/>
          </w:tcPr>
          <w:p>
            <w:pPr>
              <w:autoSpaceDN w:val="0"/>
              <w:jc w:val="center"/>
              <w:textAlignment w:val="center"/>
              <w:rPr>
                <w:rFonts w:ascii="Times New Roman" w:hAnsi="Times New Roman" w:cs="Times New Roman"/>
                <w:sz w:val="24"/>
                <w:szCs w:val="24"/>
              </w:rPr>
            </w:pPr>
            <w:r>
              <w:rPr>
                <w:rFonts w:ascii="Times New Roman" w:hAnsi="Times New Roman" w:cs="Times New Roman"/>
                <w:color w:val="000000"/>
                <w:kern w:val="0"/>
                <w:sz w:val="24"/>
                <w:szCs w:val="24"/>
              </w:rPr>
              <w:t>3.8</w:t>
            </w:r>
          </w:p>
        </w:tc>
        <w:tc>
          <w:tcPr>
            <w:tcW w:w="535" w:type="dxa"/>
            <w:gridSpan w:val="3"/>
            <w:tcBorders>
              <w:top w:val="single" w:color="000000" w:sz="4" w:space="0"/>
              <w:left w:val="nil"/>
              <w:bottom w:val="single" w:color="000000" w:sz="4" w:space="0"/>
              <w:right w:val="single" w:color="000000" w:sz="4" w:space="0"/>
            </w:tcBorders>
            <w:shd w:val="clear" w:color="auto" w:fill="CCFFCC"/>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4.0</w:t>
            </w:r>
          </w:p>
        </w:tc>
        <w:tc>
          <w:tcPr>
            <w:tcW w:w="526" w:type="dxa"/>
            <w:tcBorders>
              <w:top w:val="single" w:color="000000" w:sz="4" w:space="0"/>
              <w:left w:val="nil"/>
              <w:bottom w:val="single" w:color="000000" w:sz="4" w:space="0"/>
              <w:right w:val="single" w:color="000000" w:sz="4" w:space="0"/>
            </w:tcBorders>
            <w:shd w:val="clear" w:color="auto" w:fill="CCFFCC"/>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3.9</w:t>
            </w:r>
          </w:p>
        </w:tc>
        <w:tc>
          <w:tcPr>
            <w:tcW w:w="520" w:type="dxa"/>
            <w:gridSpan w:val="2"/>
            <w:tcBorders>
              <w:top w:val="single" w:color="000000" w:sz="4" w:space="0"/>
              <w:left w:val="nil"/>
              <w:bottom w:val="single" w:color="000000" w:sz="4" w:space="0"/>
              <w:right w:val="single" w:color="000000" w:sz="4" w:space="0"/>
            </w:tcBorders>
            <w:shd w:val="clear" w:color="auto" w:fill="CCFFCC"/>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3.8</w:t>
            </w:r>
          </w:p>
        </w:tc>
        <w:tc>
          <w:tcPr>
            <w:tcW w:w="535" w:type="dxa"/>
            <w:gridSpan w:val="3"/>
            <w:tcBorders>
              <w:top w:val="single" w:color="000000" w:sz="4" w:space="0"/>
              <w:left w:val="nil"/>
              <w:bottom w:val="single" w:color="000000" w:sz="4" w:space="0"/>
              <w:right w:val="single" w:color="000000" w:sz="4" w:space="0"/>
            </w:tcBorders>
            <w:shd w:val="clear" w:color="auto" w:fill="CCFFCC"/>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3.7</w:t>
            </w:r>
          </w:p>
        </w:tc>
        <w:tc>
          <w:tcPr>
            <w:tcW w:w="525" w:type="dxa"/>
            <w:tcBorders>
              <w:top w:val="single" w:color="000000" w:sz="4" w:space="0"/>
              <w:left w:val="nil"/>
              <w:bottom w:val="single" w:color="000000" w:sz="4" w:space="0"/>
              <w:right w:val="single" w:color="000000" w:sz="4" w:space="0"/>
            </w:tcBorders>
            <w:shd w:val="clear" w:color="auto" w:fill="CCFFCC"/>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3.8</w:t>
            </w:r>
          </w:p>
        </w:tc>
        <w:tc>
          <w:tcPr>
            <w:tcW w:w="538" w:type="dxa"/>
            <w:gridSpan w:val="3"/>
            <w:tcBorders>
              <w:top w:val="single" w:color="000000" w:sz="4" w:space="0"/>
              <w:left w:val="nil"/>
              <w:bottom w:val="single" w:color="000000" w:sz="4" w:space="0"/>
              <w:right w:val="single" w:color="000000" w:sz="4" w:space="0"/>
            </w:tcBorders>
            <w:shd w:val="clear" w:color="auto" w:fill="CCFFCC"/>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3.7</w:t>
            </w:r>
          </w:p>
        </w:tc>
        <w:tc>
          <w:tcPr>
            <w:tcW w:w="535" w:type="dxa"/>
            <w:gridSpan w:val="2"/>
            <w:tcBorders>
              <w:top w:val="single" w:color="000000" w:sz="4" w:space="0"/>
              <w:left w:val="nil"/>
              <w:bottom w:val="single" w:color="000000" w:sz="4" w:space="0"/>
              <w:right w:val="single" w:color="000000" w:sz="4" w:space="0"/>
            </w:tcBorders>
            <w:shd w:val="clear" w:color="auto" w:fill="CCFFCC"/>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3.9</w:t>
            </w:r>
          </w:p>
        </w:tc>
        <w:tc>
          <w:tcPr>
            <w:tcW w:w="581" w:type="dxa"/>
            <w:tcBorders>
              <w:top w:val="single" w:color="000000" w:sz="4" w:space="0"/>
              <w:left w:val="nil"/>
              <w:bottom w:val="single" w:color="000000" w:sz="4" w:space="0"/>
              <w:right w:val="single" w:color="000000" w:sz="4" w:space="0"/>
            </w:tcBorders>
            <w:shd w:val="clear" w:color="auto" w:fill="CCFFCC"/>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4.0</w:t>
            </w:r>
          </w:p>
        </w:tc>
        <w:tc>
          <w:tcPr>
            <w:tcW w:w="496" w:type="dxa"/>
            <w:gridSpan w:val="2"/>
            <w:tcBorders>
              <w:top w:val="single" w:color="000000" w:sz="4" w:space="0"/>
              <w:left w:val="nil"/>
              <w:bottom w:val="single" w:color="000000" w:sz="4" w:space="0"/>
              <w:right w:val="single" w:color="000000" w:sz="4" w:space="0"/>
            </w:tcBorders>
            <w:shd w:val="clear" w:color="auto" w:fill="CCFFCC"/>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3.8</w:t>
            </w:r>
          </w:p>
        </w:tc>
        <w:tc>
          <w:tcPr>
            <w:tcW w:w="567" w:type="dxa"/>
            <w:gridSpan w:val="3"/>
            <w:tcBorders>
              <w:top w:val="single" w:color="000000" w:sz="4" w:space="0"/>
              <w:left w:val="nil"/>
              <w:bottom w:val="single" w:color="000000" w:sz="4" w:space="0"/>
              <w:right w:val="single" w:color="000000" w:sz="4" w:space="0"/>
            </w:tcBorders>
            <w:shd w:val="clear" w:color="auto" w:fill="CCFFCC"/>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3.8</w:t>
            </w:r>
          </w:p>
        </w:tc>
        <w:tc>
          <w:tcPr>
            <w:tcW w:w="520" w:type="dxa"/>
            <w:tcBorders>
              <w:top w:val="single" w:color="000000" w:sz="4" w:space="0"/>
              <w:left w:val="nil"/>
              <w:bottom w:val="single" w:color="000000" w:sz="4" w:space="0"/>
              <w:right w:val="single" w:color="000000" w:sz="4" w:space="0"/>
            </w:tcBorders>
            <w:shd w:val="clear" w:color="auto" w:fill="CCFFCC"/>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3.6</w:t>
            </w:r>
          </w:p>
        </w:tc>
        <w:tc>
          <w:tcPr>
            <w:tcW w:w="543" w:type="dxa"/>
            <w:gridSpan w:val="4"/>
            <w:tcBorders>
              <w:top w:val="single" w:color="000000" w:sz="4" w:space="0"/>
              <w:left w:val="nil"/>
              <w:bottom w:val="single" w:color="000000" w:sz="4" w:space="0"/>
              <w:right w:val="single" w:color="000000" w:sz="4" w:space="0"/>
            </w:tcBorders>
            <w:shd w:val="clear" w:color="auto" w:fill="CCFFCC"/>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3.6</w:t>
            </w:r>
          </w:p>
        </w:tc>
        <w:tc>
          <w:tcPr>
            <w:tcW w:w="533" w:type="dxa"/>
            <w:gridSpan w:val="2"/>
            <w:tcBorders>
              <w:top w:val="single" w:color="000000" w:sz="4" w:space="0"/>
              <w:left w:val="nil"/>
              <w:bottom w:val="single" w:color="000000" w:sz="4" w:space="0"/>
              <w:right w:val="single" w:color="000000" w:sz="4" w:space="0"/>
            </w:tcBorders>
            <w:shd w:val="clear" w:color="auto" w:fill="CCFFCC"/>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3.7</w:t>
            </w:r>
          </w:p>
        </w:tc>
      </w:tr>
      <w:tr>
        <w:tblPrEx>
          <w:tblLayout w:type="fixed"/>
          <w:tblCellMar>
            <w:top w:w="0" w:type="dxa"/>
            <w:left w:w="0" w:type="dxa"/>
            <w:bottom w:w="0" w:type="dxa"/>
            <w:right w:w="0" w:type="dxa"/>
          </w:tblCellMar>
        </w:tblPrEx>
        <w:trPr>
          <w:cantSplit/>
          <w:trHeight w:val="306" w:hRule="atLeast"/>
        </w:trPr>
        <w:tc>
          <w:tcPr>
            <w:tcW w:w="475" w:type="dxa"/>
            <w:vMerge w:val="continue"/>
            <w:tcBorders>
              <w:top w:val="nil"/>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cs="Times New Roman"/>
                <w:sz w:val="24"/>
                <w:szCs w:val="24"/>
              </w:rPr>
            </w:pPr>
          </w:p>
        </w:tc>
        <w:tc>
          <w:tcPr>
            <w:tcW w:w="1932" w:type="dxa"/>
            <w:tcBorders>
              <w:top w:val="single" w:color="000000" w:sz="4" w:space="0"/>
              <w:left w:val="nil"/>
              <w:bottom w:val="single" w:color="000000" w:sz="4" w:space="0"/>
              <w:right w:val="single" w:color="000000" w:sz="4" w:space="0"/>
            </w:tcBorders>
            <w:shd w:val="clear" w:color="auto" w:fill="FFFFFF"/>
            <w:vAlign w:val="bottom"/>
          </w:tcPr>
          <w:p>
            <w:pPr>
              <w:pStyle w:val="22"/>
              <w:autoSpaceDN w:val="0"/>
              <w:jc w:val="center"/>
              <w:textAlignment w:val="center"/>
              <w:rPr>
                <w:kern w:val="2"/>
                <w:sz w:val="24"/>
                <w:szCs w:val="24"/>
              </w:rPr>
            </w:pPr>
            <w:r>
              <w:rPr>
                <w:kern w:val="2"/>
                <w:sz w:val="24"/>
                <w:szCs w:val="24"/>
              </w:rPr>
              <w:t>CPI (year-on-year, %)</w:t>
            </w:r>
          </w:p>
        </w:tc>
        <w:tc>
          <w:tcPr>
            <w:tcW w:w="575" w:type="dxa"/>
            <w:gridSpan w:val="2"/>
            <w:tcBorders>
              <w:top w:val="single" w:color="000000" w:sz="4" w:space="0"/>
              <w:left w:val="nil"/>
              <w:bottom w:val="single" w:color="000000" w:sz="4" w:space="0"/>
              <w:right w:val="single" w:color="000000" w:sz="4" w:space="0"/>
            </w:tcBorders>
            <w:shd w:val="clear"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2.5</w:t>
            </w:r>
          </w:p>
        </w:tc>
        <w:tc>
          <w:tcPr>
            <w:tcW w:w="520" w:type="dxa"/>
            <w:gridSpan w:val="2"/>
            <w:tcBorders>
              <w:top w:val="single" w:color="000000" w:sz="4" w:space="0"/>
              <w:left w:val="nil"/>
              <w:bottom w:val="single" w:color="000000" w:sz="4" w:space="0"/>
              <w:right w:val="single" w:color="000000" w:sz="4" w:space="0"/>
            </w:tcBorders>
            <w:shd w:val="clear" w:color="CCFFCC" w:fill="auto"/>
            <w:vAlign w:val="center"/>
          </w:tcPr>
          <w:p>
            <w:pPr>
              <w:autoSpaceDN w:val="0"/>
              <w:jc w:val="center"/>
              <w:textAlignment w:val="center"/>
              <w:rPr>
                <w:rFonts w:ascii="Times New Roman" w:hAnsi="Times New Roman" w:cs="Times New Roman"/>
                <w:sz w:val="24"/>
                <w:szCs w:val="24"/>
              </w:rPr>
            </w:pPr>
            <w:r>
              <w:rPr>
                <w:rFonts w:ascii="Times New Roman" w:hAnsi="Times New Roman" w:cs="Times New Roman"/>
                <w:color w:val="000000"/>
                <w:kern w:val="0"/>
                <w:sz w:val="24"/>
                <w:szCs w:val="24"/>
              </w:rPr>
              <w:t>2.8</w:t>
            </w:r>
          </w:p>
        </w:tc>
        <w:tc>
          <w:tcPr>
            <w:tcW w:w="535" w:type="dxa"/>
            <w:gridSpan w:val="3"/>
            <w:tcBorders>
              <w:top w:val="single" w:color="000000" w:sz="4" w:space="0"/>
              <w:left w:val="nil"/>
              <w:bottom w:val="single" w:color="000000" w:sz="4" w:space="0"/>
              <w:right w:val="single" w:color="000000" w:sz="4" w:space="0"/>
            </w:tcBorders>
            <w:shd w:val="clear"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2.9</w:t>
            </w:r>
          </w:p>
        </w:tc>
        <w:tc>
          <w:tcPr>
            <w:tcW w:w="526" w:type="dxa"/>
            <w:tcBorders>
              <w:top w:val="single" w:color="000000" w:sz="4" w:space="0"/>
              <w:left w:val="nil"/>
              <w:bottom w:val="single" w:color="000000" w:sz="4" w:space="0"/>
              <w:right w:val="single" w:color="000000" w:sz="4" w:space="0"/>
            </w:tcBorders>
            <w:shd w:val="clear"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2.9</w:t>
            </w:r>
          </w:p>
        </w:tc>
        <w:tc>
          <w:tcPr>
            <w:tcW w:w="520" w:type="dxa"/>
            <w:gridSpan w:val="2"/>
            <w:tcBorders>
              <w:top w:val="single" w:color="000000" w:sz="4" w:space="0"/>
              <w:left w:val="nil"/>
              <w:bottom w:val="single" w:color="000000" w:sz="4" w:space="0"/>
              <w:right w:val="single" w:color="000000" w:sz="4" w:space="0"/>
            </w:tcBorders>
            <w:shd w:val="clear"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2.7</w:t>
            </w:r>
          </w:p>
        </w:tc>
        <w:tc>
          <w:tcPr>
            <w:tcW w:w="535" w:type="dxa"/>
            <w:gridSpan w:val="3"/>
            <w:tcBorders>
              <w:top w:val="single" w:color="000000" w:sz="4" w:space="0"/>
              <w:left w:val="nil"/>
              <w:bottom w:val="single" w:color="000000" w:sz="4" w:space="0"/>
              <w:right w:val="single" w:color="000000" w:sz="4" w:space="0"/>
            </w:tcBorders>
            <w:shd w:val="clear"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2.3</w:t>
            </w:r>
          </w:p>
        </w:tc>
        <w:tc>
          <w:tcPr>
            <w:tcW w:w="525" w:type="dxa"/>
            <w:tcBorders>
              <w:top w:val="single" w:color="000000" w:sz="4" w:space="0"/>
              <w:left w:val="nil"/>
              <w:bottom w:val="single" w:color="000000" w:sz="4" w:space="0"/>
              <w:right w:val="single" w:color="000000" w:sz="4" w:space="0"/>
            </w:tcBorders>
            <w:shd w:val="clear"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2.5</w:t>
            </w:r>
          </w:p>
        </w:tc>
        <w:tc>
          <w:tcPr>
            <w:tcW w:w="538" w:type="dxa"/>
            <w:gridSpan w:val="3"/>
            <w:tcBorders>
              <w:top w:val="single" w:color="000000" w:sz="4" w:space="0"/>
              <w:left w:val="nil"/>
              <w:bottom w:val="single" w:color="000000" w:sz="4" w:space="0"/>
              <w:right w:val="single" w:color="000000" w:sz="4" w:space="0"/>
            </w:tcBorders>
            <w:shd w:val="clear"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2.2</w:t>
            </w:r>
          </w:p>
        </w:tc>
        <w:tc>
          <w:tcPr>
            <w:tcW w:w="535" w:type="dxa"/>
            <w:gridSpan w:val="2"/>
            <w:tcBorders>
              <w:top w:val="single" w:color="000000" w:sz="4" w:space="0"/>
              <w:left w:val="nil"/>
              <w:bottom w:val="single" w:color="000000" w:sz="4" w:space="0"/>
              <w:right w:val="single" w:color="000000" w:sz="4" w:space="0"/>
            </w:tcBorders>
            <w:shd w:val="clear"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1.9</w:t>
            </w:r>
          </w:p>
        </w:tc>
        <w:tc>
          <w:tcPr>
            <w:tcW w:w="581" w:type="dxa"/>
            <w:tcBorders>
              <w:top w:val="single" w:color="000000" w:sz="4" w:space="0"/>
              <w:left w:val="nil"/>
              <w:bottom w:val="single" w:color="000000" w:sz="4" w:space="0"/>
              <w:right w:val="single" w:color="000000" w:sz="4" w:space="0"/>
            </w:tcBorders>
            <w:shd w:val="clear"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1.6</w:t>
            </w:r>
          </w:p>
        </w:tc>
        <w:tc>
          <w:tcPr>
            <w:tcW w:w="496" w:type="dxa"/>
            <w:gridSpan w:val="2"/>
            <w:tcBorders>
              <w:top w:val="single" w:color="000000" w:sz="4" w:space="0"/>
              <w:left w:val="nil"/>
              <w:bottom w:val="single" w:color="000000" w:sz="4" w:space="0"/>
              <w:right w:val="single" w:color="000000" w:sz="4" w:space="0"/>
            </w:tcBorders>
            <w:shd w:val="clear"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1.5</w:t>
            </w:r>
          </w:p>
        </w:tc>
        <w:tc>
          <w:tcPr>
            <w:tcW w:w="567" w:type="dxa"/>
            <w:gridSpan w:val="3"/>
            <w:tcBorders>
              <w:top w:val="single" w:color="000000" w:sz="4" w:space="0"/>
              <w:left w:val="nil"/>
              <w:bottom w:val="single" w:color="000000" w:sz="4" w:space="0"/>
              <w:right w:val="single" w:color="000000" w:sz="4" w:space="0"/>
            </w:tcBorders>
            <w:shd w:val="clear"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1.9</w:t>
            </w:r>
          </w:p>
        </w:tc>
        <w:tc>
          <w:tcPr>
            <w:tcW w:w="520" w:type="dxa"/>
            <w:tcBorders>
              <w:top w:val="single" w:color="000000" w:sz="4" w:space="0"/>
              <w:left w:val="nil"/>
              <w:bottom w:val="single" w:color="000000" w:sz="4" w:space="0"/>
              <w:right w:val="single" w:color="000000" w:sz="4" w:space="0"/>
            </w:tcBorders>
            <w:shd w:val="clear"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2.0</w:t>
            </w:r>
          </w:p>
        </w:tc>
        <w:tc>
          <w:tcPr>
            <w:tcW w:w="543" w:type="dxa"/>
            <w:gridSpan w:val="4"/>
            <w:tcBorders>
              <w:top w:val="single" w:color="000000" w:sz="4" w:space="0"/>
              <w:left w:val="nil"/>
              <w:bottom w:val="single" w:color="000000" w:sz="4" w:space="0"/>
              <w:right w:val="single" w:color="000000" w:sz="4" w:space="0"/>
            </w:tcBorders>
            <w:shd w:val="clear"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1.8</w:t>
            </w:r>
          </w:p>
        </w:tc>
        <w:tc>
          <w:tcPr>
            <w:tcW w:w="533" w:type="dxa"/>
            <w:gridSpan w:val="2"/>
            <w:tcBorders>
              <w:top w:val="single" w:color="000000" w:sz="4" w:space="0"/>
              <w:left w:val="nil"/>
              <w:bottom w:val="single" w:color="000000" w:sz="4" w:space="0"/>
              <w:right w:val="single" w:color="000000" w:sz="4" w:space="0"/>
            </w:tcBorders>
            <w:shd w:val="clear"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1.6</w:t>
            </w:r>
          </w:p>
        </w:tc>
      </w:tr>
      <w:tr>
        <w:tblPrEx>
          <w:tblLayout w:type="fixed"/>
          <w:tblCellMar>
            <w:top w:w="0" w:type="dxa"/>
            <w:left w:w="0" w:type="dxa"/>
            <w:bottom w:w="0" w:type="dxa"/>
            <w:right w:w="0" w:type="dxa"/>
          </w:tblCellMar>
        </w:tblPrEx>
        <w:trPr>
          <w:cantSplit/>
          <w:trHeight w:val="356" w:hRule="atLeast"/>
        </w:trPr>
        <w:tc>
          <w:tcPr>
            <w:tcW w:w="475" w:type="dxa"/>
            <w:vMerge w:val="continue"/>
            <w:tcBorders>
              <w:top w:val="nil"/>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cs="Times New Roman"/>
                <w:sz w:val="24"/>
                <w:szCs w:val="24"/>
              </w:rPr>
            </w:pPr>
          </w:p>
        </w:tc>
        <w:tc>
          <w:tcPr>
            <w:tcW w:w="1932" w:type="dxa"/>
            <w:tcBorders>
              <w:top w:val="single" w:color="000000" w:sz="4" w:space="0"/>
              <w:left w:val="nil"/>
              <w:bottom w:val="single" w:color="000000" w:sz="4" w:space="0"/>
              <w:right w:val="single" w:color="000000" w:sz="4" w:space="0"/>
            </w:tcBorders>
            <w:shd w:val="clear" w:color="auto" w:fill="CCFFCC"/>
            <w:vAlign w:val="bottom"/>
          </w:tcPr>
          <w:p>
            <w:pPr>
              <w:pStyle w:val="22"/>
              <w:autoSpaceDN w:val="0"/>
              <w:jc w:val="center"/>
              <w:textAlignment w:val="center"/>
              <w:rPr>
                <w:kern w:val="2"/>
                <w:sz w:val="24"/>
                <w:szCs w:val="24"/>
              </w:rPr>
            </w:pPr>
            <w:r>
              <w:rPr>
                <w:kern w:val="2"/>
                <w:sz w:val="24"/>
                <w:szCs w:val="24"/>
              </w:rPr>
              <w:t>DJ Industrial Average (end of the period)</w:t>
            </w:r>
          </w:p>
        </w:tc>
        <w:tc>
          <w:tcPr>
            <w:tcW w:w="575" w:type="dxa"/>
            <w:gridSpan w:val="2"/>
            <w:tcBorders>
              <w:top w:val="single" w:color="000000" w:sz="4" w:space="0"/>
              <w:left w:val="nil"/>
              <w:bottom w:val="single" w:color="000000" w:sz="4" w:space="0"/>
              <w:right w:val="single" w:color="000000" w:sz="4" w:space="0"/>
            </w:tcBorders>
            <w:shd w:val="clear" w:color="auto" w:fill="CCFFCC"/>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24163</w:t>
            </w:r>
          </w:p>
        </w:tc>
        <w:tc>
          <w:tcPr>
            <w:tcW w:w="520" w:type="dxa"/>
            <w:gridSpan w:val="2"/>
            <w:tcBorders>
              <w:top w:val="single" w:color="000000" w:sz="4" w:space="0"/>
              <w:left w:val="nil"/>
              <w:bottom w:val="single" w:color="000000" w:sz="4" w:space="0"/>
              <w:right w:val="single" w:color="000000" w:sz="4" w:space="0"/>
            </w:tcBorders>
            <w:shd w:val="clear" w:color="auto" w:fill="CCFFCC"/>
            <w:vAlign w:val="center"/>
          </w:tcPr>
          <w:p>
            <w:pPr>
              <w:autoSpaceDN w:val="0"/>
              <w:jc w:val="center"/>
              <w:textAlignment w:val="center"/>
              <w:rPr>
                <w:rFonts w:ascii="Times New Roman" w:hAnsi="Times New Roman" w:cs="Times New Roman"/>
                <w:sz w:val="24"/>
                <w:szCs w:val="24"/>
              </w:rPr>
            </w:pPr>
            <w:r>
              <w:rPr>
                <w:rFonts w:ascii="Times New Roman" w:hAnsi="Times New Roman" w:cs="Times New Roman"/>
                <w:color w:val="000000"/>
                <w:kern w:val="0"/>
                <w:sz w:val="24"/>
                <w:szCs w:val="24"/>
              </w:rPr>
              <w:t>24416</w:t>
            </w:r>
          </w:p>
        </w:tc>
        <w:tc>
          <w:tcPr>
            <w:tcW w:w="535" w:type="dxa"/>
            <w:gridSpan w:val="3"/>
            <w:tcBorders>
              <w:top w:val="single" w:color="000000" w:sz="4" w:space="0"/>
              <w:left w:val="nil"/>
              <w:bottom w:val="single" w:color="000000" w:sz="4" w:space="0"/>
              <w:right w:val="single" w:color="000000" w:sz="4" w:space="0"/>
            </w:tcBorders>
            <w:shd w:val="clear" w:color="auto" w:fill="CCFFCC"/>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24271</w:t>
            </w:r>
          </w:p>
        </w:tc>
        <w:tc>
          <w:tcPr>
            <w:tcW w:w="526" w:type="dxa"/>
            <w:tcBorders>
              <w:top w:val="single" w:color="000000" w:sz="4" w:space="0"/>
              <w:left w:val="nil"/>
              <w:bottom w:val="single" w:color="000000" w:sz="4" w:space="0"/>
              <w:right w:val="single" w:color="000000" w:sz="4" w:space="0"/>
            </w:tcBorders>
            <w:shd w:val="clear" w:color="auto" w:fill="CCFFCC"/>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25415</w:t>
            </w:r>
          </w:p>
        </w:tc>
        <w:tc>
          <w:tcPr>
            <w:tcW w:w="520" w:type="dxa"/>
            <w:gridSpan w:val="2"/>
            <w:tcBorders>
              <w:top w:val="single" w:color="000000" w:sz="4" w:space="0"/>
              <w:left w:val="nil"/>
              <w:bottom w:val="single" w:color="000000" w:sz="4" w:space="0"/>
              <w:right w:val="single" w:color="000000" w:sz="4" w:space="0"/>
            </w:tcBorders>
            <w:shd w:val="clear" w:color="auto" w:fill="CCFFCC"/>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25965</w:t>
            </w:r>
          </w:p>
        </w:tc>
        <w:tc>
          <w:tcPr>
            <w:tcW w:w="535" w:type="dxa"/>
            <w:gridSpan w:val="3"/>
            <w:tcBorders>
              <w:top w:val="single" w:color="000000" w:sz="4" w:space="0"/>
              <w:left w:val="nil"/>
              <w:bottom w:val="single" w:color="000000" w:sz="4" w:space="0"/>
              <w:right w:val="single" w:color="000000" w:sz="4" w:space="0"/>
            </w:tcBorders>
            <w:shd w:val="clear" w:color="auto" w:fill="CCFFCC"/>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26458</w:t>
            </w:r>
          </w:p>
        </w:tc>
        <w:tc>
          <w:tcPr>
            <w:tcW w:w="525" w:type="dxa"/>
            <w:tcBorders>
              <w:top w:val="single" w:color="000000" w:sz="4" w:space="0"/>
              <w:left w:val="nil"/>
              <w:bottom w:val="single" w:color="000000" w:sz="4" w:space="0"/>
              <w:right w:val="single" w:color="000000" w:sz="4" w:space="0"/>
            </w:tcBorders>
            <w:shd w:val="clear" w:color="auto" w:fill="CCFFCC"/>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25116</w:t>
            </w:r>
          </w:p>
        </w:tc>
        <w:tc>
          <w:tcPr>
            <w:tcW w:w="538" w:type="dxa"/>
            <w:gridSpan w:val="3"/>
            <w:tcBorders>
              <w:top w:val="single" w:color="000000" w:sz="4" w:space="0"/>
              <w:left w:val="nil"/>
              <w:bottom w:val="single" w:color="000000" w:sz="4" w:space="0"/>
              <w:right w:val="single" w:color="000000" w:sz="4" w:space="0"/>
            </w:tcBorders>
            <w:shd w:val="clear" w:color="auto" w:fill="CCFFCC"/>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25538</w:t>
            </w:r>
          </w:p>
        </w:tc>
        <w:tc>
          <w:tcPr>
            <w:tcW w:w="535" w:type="dxa"/>
            <w:gridSpan w:val="2"/>
            <w:tcBorders>
              <w:top w:val="single" w:color="000000" w:sz="4" w:space="0"/>
              <w:left w:val="nil"/>
              <w:bottom w:val="single" w:color="000000" w:sz="4" w:space="0"/>
              <w:right w:val="single" w:color="000000" w:sz="4" w:space="0"/>
            </w:tcBorders>
            <w:shd w:val="clear" w:color="auto" w:fill="CCFFCC"/>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23327</w:t>
            </w:r>
          </w:p>
        </w:tc>
        <w:tc>
          <w:tcPr>
            <w:tcW w:w="581" w:type="dxa"/>
            <w:tcBorders>
              <w:top w:val="single" w:color="000000" w:sz="4" w:space="0"/>
              <w:left w:val="nil"/>
              <w:bottom w:val="single" w:color="000000" w:sz="4" w:space="0"/>
              <w:right w:val="single" w:color="000000" w:sz="4" w:space="0"/>
            </w:tcBorders>
            <w:shd w:val="clear" w:color="auto" w:fill="CCFFCC"/>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24999</w:t>
            </w:r>
          </w:p>
        </w:tc>
        <w:tc>
          <w:tcPr>
            <w:tcW w:w="496" w:type="dxa"/>
            <w:gridSpan w:val="2"/>
            <w:tcBorders>
              <w:top w:val="single" w:color="000000" w:sz="4" w:space="0"/>
              <w:left w:val="nil"/>
              <w:bottom w:val="single" w:color="000000" w:sz="4" w:space="0"/>
              <w:right w:val="single" w:color="000000" w:sz="4" w:space="0"/>
            </w:tcBorders>
            <w:shd w:val="clear" w:color="auto" w:fill="CCFFCC"/>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25916</w:t>
            </w:r>
          </w:p>
        </w:tc>
        <w:tc>
          <w:tcPr>
            <w:tcW w:w="567" w:type="dxa"/>
            <w:gridSpan w:val="3"/>
            <w:tcBorders>
              <w:top w:val="single" w:color="000000" w:sz="4" w:space="0"/>
              <w:left w:val="nil"/>
              <w:bottom w:val="single" w:color="000000" w:sz="4" w:space="0"/>
              <w:right w:val="single" w:color="000000" w:sz="4" w:space="0"/>
            </w:tcBorders>
            <w:shd w:val="clear" w:color="auto" w:fill="CCFFCC"/>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25929</w:t>
            </w:r>
          </w:p>
        </w:tc>
        <w:tc>
          <w:tcPr>
            <w:tcW w:w="520" w:type="dxa"/>
            <w:tcBorders>
              <w:top w:val="single" w:color="000000" w:sz="4" w:space="0"/>
              <w:left w:val="nil"/>
              <w:bottom w:val="single" w:color="000000" w:sz="4" w:space="0"/>
              <w:right w:val="single" w:color="000000" w:sz="4" w:space="0"/>
            </w:tcBorders>
            <w:shd w:val="clear" w:color="auto" w:fill="CCFFCC"/>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26593</w:t>
            </w:r>
          </w:p>
        </w:tc>
        <w:tc>
          <w:tcPr>
            <w:tcW w:w="543" w:type="dxa"/>
            <w:gridSpan w:val="4"/>
            <w:tcBorders>
              <w:top w:val="single" w:color="000000" w:sz="4" w:space="0"/>
              <w:left w:val="nil"/>
              <w:bottom w:val="single" w:color="000000" w:sz="4" w:space="0"/>
              <w:right w:val="single" w:color="000000" w:sz="4" w:space="0"/>
            </w:tcBorders>
            <w:shd w:val="clear" w:color="auto" w:fill="CCFFCC"/>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24815</w:t>
            </w:r>
          </w:p>
        </w:tc>
        <w:tc>
          <w:tcPr>
            <w:tcW w:w="533" w:type="dxa"/>
            <w:gridSpan w:val="2"/>
            <w:tcBorders>
              <w:top w:val="single" w:color="000000" w:sz="4" w:space="0"/>
              <w:left w:val="nil"/>
              <w:bottom w:val="single" w:color="000000" w:sz="4" w:space="0"/>
              <w:right w:val="single" w:color="000000" w:sz="4" w:space="0"/>
            </w:tcBorders>
            <w:shd w:val="clear" w:color="auto" w:fill="CCFFCC"/>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26600</w:t>
            </w:r>
          </w:p>
        </w:tc>
      </w:tr>
      <w:tr>
        <w:tblPrEx>
          <w:tblLayout w:type="fixed"/>
          <w:tblCellMar>
            <w:top w:w="0" w:type="dxa"/>
            <w:left w:w="0" w:type="dxa"/>
            <w:bottom w:w="0" w:type="dxa"/>
            <w:right w:w="0" w:type="dxa"/>
          </w:tblCellMar>
        </w:tblPrEx>
        <w:trPr>
          <w:cantSplit/>
          <w:trHeight w:val="459" w:hRule="atLeast"/>
        </w:trPr>
        <w:tc>
          <w:tcPr>
            <w:tcW w:w="475" w:type="dxa"/>
            <w:vMerge w:val="restart"/>
            <w:tcBorders>
              <w:top w:val="nil"/>
              <w:left w:val="single" w:color="000000" w:sz="4" w:space="0"/>
              <w:bottom w:val="single" w:color="000000" w:sz="4" w:space="0"/>
              <w:right w:val="single" w:color="000000" w:sz="4" w:space="0"/>
            </w:tcBorders>
            <w:textDirection w:val="btLr"/>
            <w:vAlign w:val="center"/>
          </w:tcPr>
          <w:p>
            <w:pPr>
              <w:autoSpaceDN w:val="0"/>
              <w:jc w:val="center"/>
              <w:textAlignment w:val="center"/>
              <w:rPr>
                <w:rFonts w:ascii="Times New Roman" w:hAnsi="Times New Roman" w:cs="Times New Roman"/>
                <w:sz w:val="24"/>
                <w:szCs w:val="24"/>
              </w:rPr>
            </w:pPr>
            <w:r>
              <w:rPr>
                <w:rFonts w:ascii="Times New Roman" w:hAnsi="Times New Roman" w:cs="Times New Roman"/>
                <w:sz w:val="24"/>
                <w:szCs w:val="24"/>
              </w:rPr>
              <w:t>Euro Area</w:t>
            </w:r>
          </w:p>
        </w:tc>
        <w:tc>
          <w:tcPr>
            <w:tcW w:w="1932" w:type="dxa"/>
            <w:tcBorders>
              <w:top w:val="single" w:color="000000" w:sz="4" w:space="0"/>
              <w:left w:val="nil"/>
              <w:bottom w:val="single" w:color="000000" w:sz="4" w:space="0"/>
              <w:right w:val="single" w:color="000000" w:sz="4" w:space="0"/>
            </w:tcBorders>
            <w:vAlign w:val="bottom"/>
          </w:tcPr>
          <w:p>
            <w:pPr>
              <w:autoSpaceDN w:val="0"/>
              <w:jc w:val="center"/>
              <w:textAlignment w:val="center"/>
              <w:rPr>
                <w:rFonts w:ascii="Times New Roman" w:hAnsi="Times New Roman" w:cs="Times New Roman"/>
                <w:sz w:val="24"/>
                <w:szCs w:val="24"/>
              </w:rPr>
            </w:pPr>
            <w:r>
              <w:rPr>
                <w:rFonts w:ascii="Times New Roman" w:hAnsi="Times New Roman" w:cs="Times New Roman"/>
                <w:sz w:val="24"/>
                <w:szCs w:val="24"/>
              </w:rPr>
              <w:t>Real GDP Growth (annualized quarterly rate, %)</w:t>
            </w:r>
          </w:p>
        </w:tc>
        <w:tc>
          <w:tcPr>
            <w:tcW w:w="1630" w:type="dxa"/>
            <w:gridSpan w:val="7"/>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Times New Roman" w:hAnsi="Times New Roman" w:cs="Times New Roman"/>
                <w:sz w:val="24"/>
                <w:szCs w:val="24"/>
              </w:rPr>
            </w:pPr>
            <w:r>
              <w:rPr>
                <w:rFonts w:ascii="Times New Roman" w:hAnsi="Times New Roman" w:cs="Times New Roman"/>
                <w:sz w:val="24"/>
                <w:szCs w:val="24"/>
              </w:rPr>
              <w:t>2.2</w:t>
            </w:r>
          </w:p>
        </w:tc>
        <w:tc>
          <w:tcPr>
            <w:tcW w:w="1581" w:type="dxa"/>
            <w:gridSpan w:val="6"/>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Times New Roman" w:hAnsi="Times New Roman" w:cs="Times New Roman"/>
                <w:sz w:val="24"/>
                <w:szCs w:val="24"/>
              </w:rPr>
            </w:pPr>
            <w:r>
              <w:rPr>
                <w:rFonts w:ascii="Times New Roman" w:hAnsi="Times New Roman" w:cs="Times New Roman"/>
                <w:sz w:val="24"/>
                <w:szCs w:val="24"/>
              </w:rPr>
              <w:t>1.6</w:t>
            </w:r>
          </w:p>
        </w:tc>
        <w:tc>
          <w:tcPr>
            <w:tcW w:w="1598" w:type="dxa"/>
            <w:gridSpan w:val="6"/>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Times New Roman" w:hAnsi="Times New Roman" w:cs="Times New Roman"/>
                <w:sz w:val="24"/>
                <w:szCs w:val="24"/>
              </w:rPr>
            </w:pPr>
            <w:r>
              <w:rPr>
                <w:rFonts w:ascii="Times New Roman" w:hAnsi="Times New Roman" w:cs="Times New Roman"/>
                <w:sz w:val="24"/>
                <w:szCs w:val="24"/>
              </w:rPr>
              <w:t>1.2</w:t>
            </w:r>
          </w:p>
        </w:tc>
        <w:tc>
          <w:tcPr>
            <w:tcW w:w="1644" w:type="dxa"/>
            <w:gridSpan w:val="6"/>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Times New Roman" w:hAnsi="Times New Roman" w:cs="Times New Roman"/>
                <w:sz w:val="24"/>
                <w:szCs w:val="24"/>
              </w:rPr>
            </w:pPr>
            <w:r>
              <w:rPr>
                <w:rFonts w:ascii="Times New Roman" w:hAnsi="Times New Roman" w:cs="Times New Roman"/>
                <w:sz w:val="24"/>
                <w:szCs w:val="24"/>
              </w:rPr>
              <w:t>1.2</w:t>
            </w:r>
          </w:p>
        </w:tc>
        <w:tc>
          <w:tcPr>
            <w:tcW w:w="1596" w:type="dxa"/>
            <w:gridSpan w:val="7"/>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Times New Roman" w:hAnsi="Times New Roman" w:cs="Times New Roman"/>
                <w:sz w:val="24"/>
                <w:szCs w:val="24"/>
              </w:rPr>
            </w:pPr>
            <w:r>
              <w:rPr>
                <w:rFonts w:ascii="Times New Roman" w:hAnsi="Times New Roman" w:cs="Times New Roman"/>
                <w:sz w:val="24"/>
                <w:szCs w:val="24"/>
              </w:rPr>
              <w:t>1.1</w:t>
            </w:r>
          </w:p>
        </w:tc>
      </w:tr>
      <w:tr>
        <w:tblPrEx>
          <w:tblLayout w:type="fixed"/>
          <w:tblCellMar>
            <w:top w:w="0" w:type="dxa"/>
            <w:left w:w="0" w:type="dxa"/>
            <w:bottom w:w="0" w:type="dxa"/>
            <w:right w:w="0" w:type="dxa"/>
          </w:tblCellMar>
        </w:tblPrEx>
        <w:trPr>
          <w:cantSplit/>
          <w:trHeight w:val="380" w:hRule="atLeast"/>
        </w:trPr>
        <w:tc>
          <w:tcPr>
            <w:tcW w:w="475" w:type="dxa"/>
            <w:vMerge w:val="continue"/>
            <w:tcBorders>
              <w:top w:val="nil"/>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cs="Times New Roman"/>
                <w:sz w:val="24"/>
                <w:szCs w:val="24"/>
              </w:rPr>
            </w:pPr>
          </w:p>
        </w:tc>
        <w:tc>
          <w:tcPr>
            <w:tcW w:w="1932" w:type="dxa"/>
            <w:tcBorders>
              <w:top w:val="single" w:color="000000" w:sz="4" w:space="0"/>
              <w:left w:val="nil"/>
              <w:bottom w:val="single" w:color="000000" w:sz="4" w:space="0"/>
              <w:right w:val="single" w:color="000000" w:sz="4" w:space="0"/>
            </w:tcBorders>
            <w:shd w:val="clear" w:color="auto" w:fill="CCFFCC"/>
            <w:vAlign w:val="bottom"/>
          </w:tcPr>
          <w:p>
            <w:pPr>
              <w:pStyle w:val="22"/>
              <w:autoSpaceDN w:val="0"/>
              <w:jc w:val="center"/>
              <w:textAlignment w:val="center"/>
              <w:rPr>
                <w:kern w:val="2"/>
                <w:sz w:val="24"/>
                <w:szCs w:val="24"/>
              </w:rPr>
            </w:pPr>
            <w:r>
              <w:rPr>
                <w:kern w:val="2"/>
                <w:sz w:val="24"/>
                <w:szCs w:val="24"/>
              </w:rPr>
              <w:t>Unemployment Rate (%)</w:t>
            </w:r>
          </w:p>
        </w:tc>
        <w:tc>
          <w:tcPr>
            <w:tcW w:w="566" w:type="dxa"/>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8.4</w:t>
            </w:r>
          </w:p>
        </w:tc>
        <w:tc>
          <w:tcPr>
            <w:tcW w:w="566" w:type="dxa"/>
            <w:gridSpan w:val="5"/>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8.2</w:t>
            </w:r>
          </w:p>
        </w:tc>
        <w:tc>
          <w:tcPr>
            <w:tcW w:w="498" w:type="dxa"/>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8.2</w:t>
            </w:r>
          </w:p>
        </w:tc>
        <w:tc>
          <w:tcPr>
            <w:tcW w:w="550" w:type="dxa"/>
            <w:gridSpan w:val="2"/>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8.1</w:t>
            </w:r>
          </w:p>
        </w:tc>
        <w:tc>
          <w:tcPr>
            <w:tcW w:w="515" w:type="dxa"/>
            <w:gridSpan w:val="3"/>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8.0</w:t>
            </w:r>
          </w:p>
        </w:tc>
        <w:tc>
          <w:tcPr>
            <w:tcW w:w="516" w:type="dxa"/>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8.0</w:t>
            </w:r>
          </w:p>
        </w:tc>
        <w:tc>
          <w:tcPr>
            <w:tcW w:w="584" w:type="dxa"/>
            <w:gridSpan w:val="3"/>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8.0</w:t>
            </w:r>
          </w:p>
        </w:tc>
        <w:tc>
          <w:tcPr>
            <w:tcW w:w="505" w:type="dxa"/>
            <w:gridSpan w:val="2"/>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7.9</w:t>
            </w:r>
          </w:p>
        </w:tc>
        <w:tc>
          <w:tcPr>
            <w:tcW w:w="509" w:type="dxa"/>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7.9</w:t>
            </w:r>
          </w:p>
        </w:tc>
        <w:tc>
          <w:tcPr>
            <w:tcW w:w="627" w:type="dxa"/>
            <w:gridSpan w:val="2"/>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7.8</w:t>
            </w:r>
          </w:p>
        </w:tc>
        <w:tc>
          <w:tcPr>
            <w:tcW w:w="506" w:type="dxa"/>
            <w:gridSpan w:val="3"/>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7.8</w:t>
            </w:r>
          </w:p>
        </w:tc>
        <w:tc>
          <w:tcPr>
            <w:tcW w:w="511" w:type="dxa"/>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7.6</w:t>
            </w:r>
          </w:p>
        </w:tc>
        <w:tc>
          <w:tcPr>
            <w:tcW w:w="538" w:type="dxa"/>
            <w:gridSpan w:val="2"/>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7.6</w:t>
            </w:r>
          </w:p>
        </w:tc>
        <w:tc>
          <w:tcPr>
            <w:tcW w:w="543" w:type="dxa"/>
            <w:gridSpan w:val="4"/>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7.6</w:t>
            </w:r>
          </w:p>
        </w:tc>
        <w:tc>
          <w:tcPr>
            <w:tcW w:w="515" w:type="dxa"/>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7.5</w:t>
            </w:r>
          </w:p>
        </w:tc>
      </w:tr>
      <w:tr>
        <w:tblPrEx>
          <w:tblLayout w:type="fixed"/>
          <w:tblCellMar>
            <w:top w:w="0" w:type="dxa"/>
            <w:left w:w="0" w:type="dxa"/>
            <w:bottom w:w="0" w:type="dxa"/>
            <w:right w:w="0" w:type="dxa"/>
          </w:tblCellMar>
        </w:tblPrEx>
        <w:trPr>
          <w:cantSplit/>
          <w:trHeight w:val="675" w:hRule="atLeast"/>
        </w:trPr>
        <w:tc>
          <w:tcPr>
            <w:tcW w:w="475" w:type="dxa"/>
            <w:vMerge w:val="continue"/>
            <w:tcBorders>
              <w:top w:val="nil"/>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cs="Times New Roman"/>
                <w:sz w:val="24"/>
                <w:szCs w:val="24"/>
              </w:rPr>
            </w:pPr>
          </w:p>
        </w:tc>
        <w:tc>
          <w:tcPr>
            <w:tcW w:w="1932" w:type="dxa"/>
            <w:tcBorders>
              <w:top w:val="single" w:color="000000" w:sz="4" w:space="0"/>
              <w:left w:val="nil"/>
              <w:bottom w:val="single" w:color="000000" w:sz="4" w:space="0"/>
              <w:right w:val="single" w:color="000000" w:sz="4" w:space="0"/>
            </w:tcBorders>
            <w:vAlign w:val="bottom"/>
          </w:tcPr>
          <w:p>
            <w:pPr>
              <w:pStyle w:val="22"/>
              <w:autoSpaceDN w:val="0"/>
              <w:jc w:val="center"/>
              <w:textAlignment w:val="center"/>
              <w:rPr>
                <w:kern w:val="2"/>
                <w:sz w:val="24"/>
                <w:szCs w:val="24"/>
              </w:rPr>
            </w:pPr>
            <w:r>
              <w:rPr>
                <w:kern w:val="2"/>
                <w:sz w:val="24"/>
                <w:szCs w:val="24"/>
              </w:rPr>
              <w:t>HICP (year-on-year, %)</w:t>
            </w:r>
          </w:p>
        </w:tc>
        <w:tc>
          <w:tcPr>
            <w:tcW w:w="566" w:type="dxa"/>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1.2</w:t>
            </w:r>
          </w:p>
        </w:tc>
        <w:tc>
          <w:tcPr>
            <w:tcW w:w="566" w:type="dxa"/>
            <w:gridSpan w:val="5"/>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2.0</w:t>
            </w:r>
          </w:p>
        </w:tc>
        <w:tc>
          <w:tcPr>
            <w:tcW w:w="498" w:type="dxa"/>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2.0</w:t>
            </w:r>
          </w:p>
        </w:tc>
        <w:tc>
          <w:tcPr>
            <w:tcW w:w="550" w:type="dxa"/>
            <w:gridSpan w:val="2"/>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2.2</w:t>
            </w:r>
          </w:p>
        </w:tc>
        <w:tc>
          <w:tcPr>
            <w:tcW w:w="515" w:type="dxa"/>
            <w:gridSpan w:val="3"/>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2.1</w:t>
            </w:r>
          </w:p>
        </w:tc>
        <w:tc>
          <w:tcPr>
            <w:tcW w:w="516" w:type="dxa"/>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2.1</w:t>
            </w:r>
          </w:p>
        </w:tc>
        <w:tc>
          <w:tcPr>
            <w:tcW w:w="584" w:type="dxa"/>
            <w:gridSpan w:val="3"/>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2.3</w:t>
            </w:r>
          </w:p>
        </w:tc>
        <w:tc>
          <w:tcPr>
            <w:tcW w:w="505" w:type="dxa"/>
            <w:gridSpan w:val="2"/>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Times New Roman" w:hAnsi="Times New Roman" w:cs="Times New Roman"/>
                <w:color w:val="000000"/>
                <w:sz w:val="24"/>
                <w:szCs w:val="24"/>
              </w:rPr>
            </w:pPr>
            <w:r>
              <w:rPr>
                <w:rFonts w:ascii="Times New Roman" w:hAnsi="Times New Roman" w:cs="Times New Roman"/>
                <w:color w:val="000000"/>
                <w:kern w:val="0"/>
                <w:sz w:val="24"/>
                <w:szCs w:val="24"/>
              </w:rPr>
              <w:t>1.9</w:t>
            </w:r>
          </w:p>
        </w:tc>
        <w:tc>
          <w:tcPr>
            <w:tcW w:w="509" w:type="dxa"/>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1.5</w:t>
            </w:r>
          </w:p>
        </w:tc>
        <w:tc>
          <w:tcPr>
            <w:tcW w:w="627" w:type="dxa"/>
            <w:gridSpan w:val="2"/>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1.4</w:t>
            </w:r>
          </w:p>
        </w:tc>
        <w:tc>
          <w:tcPr>
            <w:tcW w:w="506" w:type="dxa"/>
            <w:gridSpan w:val="3"/>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Times New Roman" w:hAnsi="Times New Roman" w:cs="Times New Roman"/>
                <w:sz w:val="24"/>
                <w:szCs w:val="24"/>
              </w:rPr>
            </w:pPr>
            <w:r>
              <w:rPr>
                <w:rFonts w:ascii="Times New Roman" w:hAnsi="Times New Roman" w:cs="Times New Roman"/>
                <w:color w:val="000000"/>
                <w:kern w:val="0"/>
                <w:sz w:val="24"/>
                <w:szCs w:val="24"/>
              </w:rPr>
              <w:t>1.5</w:t>
            </w:r>
          </w:p>
        </w:tc>
        <w:tc>
          <w:tcPr>
            <w:tcW w:w="511" w:type="dxa"/>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1.4</w:t>
            </w:r>
          </w:p>
        </w:tc>
        <w:tc>
          <w:tcPr>
            <w:tcW w:w="538" w:type="dxa"/>
            <w:gridSpan w:val="2"/>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1.4</w:t>
            </w:r>
          </w:p>
        </w:tc>
        <w:tc>
          <w:tcPr>
            <w:tcW w:w="543" w:type="dxa"/>
            <w:gridSpan w:val="4"/>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1.5</w:t>
            </w:r>
          </w:p>
        </w:tc>
        <w:tc>
          <w:tcPr>
            <w:tcW w:w="515" w:type="dxa"/>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1.4</w:t>
            </w:r>
          </w:p>
        </w:tc>
      </w:tr>
      <w:tr>
        <w:tblPrEx>
          <w:tblLayout w:type="fixed"/>
          <w:tblCellMar>
            <w:top w:w="0" w:type="dxa"/>
            <w:left w:w="0" w:type="dxa"/>
            <w:bottom w:w="0" w:type="dxa"/>
            <w:right w:w="0" w:type="dxa"/>
          </w:tblCellMar>
        </w:tblPrEx>
        <w:trPr>
          <w:cantSplit/>
          <w:trHeight w:val="376" w:hRule="atLeast"/>
        </w:trPr>
        <w:tc>
          <w:tcPr>
            <w:tcW w:w="475" w:type="dxa"/>
            <w:vMerge w:val="continue"/>
            <w:tcBorders>
              <w:top w:val="nil"/>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cs="Times New Roman"/>
                <w:sz w:val="24"/>
                <w:szCs w:val="24"/>
              </w:rPr>
            </w:pPr>
          </w:p>
        </w:tc>
        <w:tc>
          <w:tcPr>
            <w:tcW w:w="1932" w:type="dxa"/>
            <w:tcBorders>
              <w:top w:val="single" w:color="000000" w:sz="4" w:space="0"/>
              <w:left w:val="nil"/>
              <w:bottom w:val="single" w:color="000000" w:sz="4" w:space="0"/>
              <w:right w:val="single" w:color="000000" w:sz="4" w:space="0"/>
            </w:tcBorders>
            <w:shd w:val="clear" w:color="auto" w:fill="CCFFCC"/>
            <w:vAlign w:val="bottom"/>
          </w:tcPr>
          <w:p>
            <w:pPr>
              <w:pStyle w:val="22"/>
              <w:autoSpaceDN w:val="0"/>
              <w:jc w:val="center"/>
              <w:textAlignment w:val="center"/>
              <w:rPr>
                <w:kern w:val="2"/>
                <w:sz w:val="24"/>
                <w:szCs w:val="24"/>
              </w:rPr>
            </w:pPr>
            <w:r>
              <w:rPr>
                <w:kern w:val="2"/>
                <w:sz w:val="24"/>
                <w:szCs w:val="24"/>
              </w:rPr>
              <w:t>EURO STOXX 50 (end of the period)</w:t>
            </w:r>
          </w:p>
        </w:tc>
        <w:tc>
          <w:tcPr>
            <w:tcW w:w="566" w:type="dxa"/>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3537</w:t>
            </w:r>
          </w:p>
        </w:tc>
        <w:tc>
          <w:tcPr>
            <w:tcW w:w="566" w:type="dxa"/>
            <w:gridSpan w:val="5"/>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3407</w:t>
            </w:r>
          </w:p>
        </w:tc>
        <w:tc>
          <w:tcPr>
            <w:tcW w:w="498" w:type="dxa"/>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3396</w:t>
            </w:r>
          </w:p>
        </w:tc>
        <w:tc>
          <w:tcPr>
            <w:tcW w:w="550" w:type="dxa"/>
            <w:gridSpan w:val="2"/>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3525</w:t>
            </w:r>
          </w:p>
        </w:tc>
        <w:tc>
          <w:tcPr>
            <w:tcW w:w="515" w:type="dxa"/>
            <w:gridSpan w:val="3"/>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3393</w:t>
            </w:r>
          </w:p>
        </w:tc>
        <w:tc>
          <w:tcPr>
            <w:tcW w:w="516" w:type="dxa"/>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3399</w:t>
            </w:r>
          </w:p>
        </w:tc>
        <w:tc>
          <w:tcPr>
            <w:tcW w:w="584" w:type="dxa"/>
            <w:gridSpan w:val="3"/>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3198</w:t>
            </w:r>
          </w:p>
        </w:tc>
        <w:tc>
          <w:tcPr>
            <w:tcW w:w="505" w:type="dxa"/>
            <w:gridSpan w:val="2"/>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sz w:val="24"/>
                <w:szCs w:val="24"/>
              </w:rPr>
            </w:pPr>
            <w:r>
              <w:rPr>
                <w:rFonts w:ascii="Times New Roman" w:hAnsi="Times New Roman" w:cs="Times New Roman"/>
                <w:color w:val="000000"/>
                <w:kern w:val="0"/>
                <w:sz w:val="24"/>
                <w:szCs w:val="24"/>
              </w:rPr>
              <w:t>3173</w:t>
            </w:r>
          </w:p>
        </w:tc>
        <w:tc>
          <w:tcPr>
            <w:tcW w:w="509" w:type="dxa"/>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3001</w:t>
            </w:r>
          </w:p>
        </w:tc>
        <w:tc>
          <w:tcPr>
            <w:tcW w:w="627" w:type="dxa"/>
            <w:gridSpan w:val="2"/>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3159</w:t>
            </w:r>
          </w:p>
        </w:tc>
        <w:tc>
          <w:tcPr>
            <w:tcW w:w="506" w:type="dxa"/>
            <w:gridSpan w:val="3"/>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sz w:val="24"/>
                <w:szCs w:val="24"/>
              </w:rPr>
            </w:pPr>
            <w:r>
              <w:rPr>
                <w:rFonts w:ascii="Times New Roman" w:hAnsi="Times New Roman" w:cs="Times New Roman"/>
                <w:color w:val="000000"/>
                <w:kern w:val="0"/>
                <w:sz w:val="24"/>
                <w:szCs w:val="24"/>
              </w:rPr>
              <w:t>3298</w:t>
            </w:r>
          </w:p>
        </w:tc>
        <w:tc>
          <w:tcPr>
            <w:tcW w:w="511" w:type="dxa"/>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3352</w:t>
            </w:r>
          </w:p>
        </w:tc>
        <w:tc>
          <w:tcPr>
            <w:tcW w:w="538" w:type="dxa"/>
            <w:gridSpan w:val="2"/>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3515</w:t>
            </w:r>
          </w:p>
        </w:tc>
        <w:tc>
          <w:tcPr>
            <w:tcW w:w="543" w:type="dxa"/>
            <w:gridSpan w:val="4"/>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3280</w:t>
            </w:r>
          </w:p>
        </w:tc>
        <w:tc>
          <w:tcPr>
            <w:tcW w:w="515" w:type="dxa"/>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3474</w:t>
            </w:r>
          </w:p>
        </w:tc>
      </w:tr>
      <w:tr>
        <w:tblPrEx>
          <w:tblLayout w:type="fixed"/>
          <w:tblCellMar>
            <w:top w:w="0" w:type="dxa"/>
            <w:left w:w="0" w:type="dxa"/>
            <w:bottom w:w="0" w:type="dxa"/>
            <w:right w:w="0" w:type="dxa"/>
          </w:tblCellMar>
        </w:tblPrEx>
        <w:trPr>
          <w:cantSplit/>
          <w:trHeight w:val="363" w:hRule="atLeast"/>
        </w:trPr>
        <w:tc>
          <w:tcPr>
            <w:tcW w:w="475" w:type="dxa"/>
            <w:vMerge w:val="restart"/>
            <w:tcBorders>
              <w:top w:val="nil"/>
              <w:left w:val="single" w:color="000000" w:sz="4" w:space="0"/>
              <w:bottom w:val="single" w:color="000000" w:sz="4" w:space="0"/>
              <w:right w:val="single" w:color="000000" w:sz="4" w:space="0"/>
            </w:tcBorders>
            <w:textDirection w:val="btLr"/>
            <w:vAlign w:val="center"/>
          </w:tcPr>
          <w:p>
            <w:pPr>
              <w:autoSpaceDN w:val="0"/>
              <w:jc w:val="center"/>
              <w:textAlignment w:val="center"/>
              <w:rPr>
                <w:rFonts w:ascii="Times New Roman" w:hAnsi="Times New Roman" w:cs="Times New Roman"/>
                <w:sz w:val="24"/>
                <w:szCs w:val="24"/>
              </w:rPr>
            </w:pPr>
            <w:r>
              <w:rPr>
                <w:rFonts w:ascii="Times New Roman" w:hAnsi="Times New Roman" w:cs="Times New Roman"/>
                <w:sz w:val="24"/>
                <w:szCs w:val="24"/>
              </w:rPr>
              <w:t>United Kingdom</w:t>
            </w:r>
          </w:p>
        </w:tc>
        <w:tc>
          <w:tcPr>
            <w:tcW w:w="1932" w:type="dxa"/>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Times New Roman" w:hAnsi="Times New Roman" w:cs="Times New Roman"/>
                <w:sz w:val="24"/>
                <w:szCs w:val="24"/>
              </w:rPr>
            </w:pPr>
            <w:r>
              <w:rPr>
                <w:rFonts w:ascii="Times New Roman" w:hAnsi="Times New Roman" w:cs="Times New Roman"/>
                <w:sz w:val="24"/>
                <w:szCs w:val="24"/>
              </w:rPr>
              <w:t>Real GDP growth (year-on year, %)</w:t>
            </w:r>
          </w:p>
        </w:tc>
        <w:tc>
          <w:tcPr>
            <w:tcW w:w="1630" w:type="dxa"/>
            <w:gridSpan w:val="7"/>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1.4</w:t>
            </w:r>
          </w:p>
        </w:tc>
        <w:tc>
          <w:tcPr>
            <w:tcW w:w="1581" w:type="dxa"/>
            <w:gridSpan w:val="6"/>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1.6</w:t>
            </w:r>
          </w:p>
        </w:tc>
        <w:tc>
          <w:tcPr>
            <w:tcW w:w="1598" w:type="dxa"/>
            <w:gridSpan w:val="6"/>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1.4</w:t>
            </w:r>
          </w:p>
        </w:tc>
        <w:tc>
          <w:tcPr>
            <w:tcW w:w="1644" w:type="dxa"/>
            <w:gridSpan w:val="6"/>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1.8</w:t>
            </w:r>
          </w:p>
        </w:tc>
        <w:tc>
          <w:tcPr>
            <w:tcW w:w="1596" w:type="dxa"/>
            <w:gridSpan w:val="7"/>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w:t>
            </w:r>
          </w:p>
        </w:tc>
      </w:tr>
      <w:tr>
        <w:tblPrEx>
          <w:tblLayout w:type="fixed"/>
          <w:tblCellMar>
            <w:top w:w="0" w:type="dxa"/>
            <w:left w:w="0" w:type="dxa"/>
            <w:bottom w:w="0" w:type="dxa"/>
            <w:right w:w="0" w:type="dxa"/>
          </w:tblCellMar>
        </w:tblPrEx>
        <w:trPr>
          <w:cantSplit/>
          <w:trHeight w:val="363" w:hRule="atLeast"/>
        </w:trPr>
        <w:tc>
          <w:tcPr>
            <w:tcW w:w="475" w:type="dxa"/>
            <w:vMerge w:val="continue"/>
            <w:tcBorders>
              <w:top w:val="nil"/>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cs="Times New Roman"/>
                <w:sz w:val="24"/>
                <w:szCs w:val="24"/>
              </w:rPr>
            </w:pPr>
          </w:p>
        </w:tc>
        <w:tc>
          <w:tcPr>
            <w:tcW w:w="1932" w:type="dxa"/>
            <w:tcBorders>
              <w:top w:val="single" w:color="000000" w:sz="4" w:space="0"/>
              <w:left w:val="nil"/>
              <w:bottom w:val="single" w:color="000000" w:sz="4" w:space="0"/>
              <w:right w:val="single" w:color="000000" w:sz="4" w:space="0"/>
            </w:tcBorders>
            <w:shd w:val="clear" w:color="auto" w:fill="CCFFCC"/>
            <w:vAlign w:val="center"/>
          </w:tcPr>
          <w:p>
            <w:pPr>
              <w:widowControl/>
              <w:autoSpaceDN w:val="0"/>
              <w:jc w:val="center"/>
              <w:textAlignment w:val="center"/>
              <w:rPr>
                <w:rFonts w:ascii="Times New Roman" w:hAnsi="Times New Roman" w:cs="Times New Roman"/>
                <w:sz w:val="24"/>
                <w:szCs w:val="24"/>
              </w:rPr>
            </w:pPr>
            <w:r>
              <w:rPr>
                <w:rFonts w:ascii="Times New Roman" w:hAnsi="Times New Roman" w:cs="Times New Roman"/>
                <w:sz w:val="24"/>
                <w:szCs w:val="24"/>
              </w:rPr>
              <w:t>Unemployment Rate (%)</w:t>
            </w:r>
          </w:p>
        </w:tc>
        <w:tc>
          <w:tcPr>
            <w:tcW w:w="566" w:type="dxa"/>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4.2</w:t>
            </w:r>
          </w:p>
        </w:tc>
        <w:tc>
          <w:tcPr>
            <w:tcW w:w="566" w:type="dxa"/>
            <w:gridSpan w:val="5"/>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4.2</w:t>
            </w:r>
          </w:p>
        </w:tc>
        <w:tc>
          <w:tcPr>
            <w:tcW w:w="498" w:type="dxa"/>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4.0</w:t>
            </w:r>
          </w:p>
        </w:tc>
        <w:tc>
          <w:tcPr>
            <w:tcW w:w="550" w:type="dxa"/>
            <w:gridSpan w:val="2"/>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4.0</w:t>
            </w:r>
          </w:p>
        </w:tc>
        <w:tc>
          <w:tcPr>
            <w:tcW w:w="515" w:type="dxa"/>
            <w:gridSpan w:val="3"/>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4.0</w:t>
            </w:r>
          </w:p>
        </w:tc>
        <w:tc>
          <w:tcPr>
            <w:tcW w:w="516" w:type="dxa"/>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4.1</w:t>
            </w:r>
          </w:p>
        </w:tc>
        <w:tc>
          <w:tcPr>
            <w:tcW w:w="584" w:type="dxa"/>
            <w:gridSpan w:val="3"/>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4.1</w:t>
            </w:r>
          </w:p>
        </w:tc>
        <w:tc>
          <w:tcPr>
            <w:tcW w:w="505" w:type="dxa"/>
            <w:gridSpan w:val="2"/>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4.0</w:t>
            </w:r>
          </w:p>
        </w:tc>
        <w:tc>
          <w:tcPr>
            <w:tcW w:w="509" w:type="dxa"/>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4.0</w:t>
            </w:r>
          </w:p>
        </w:tc>
        <w:tc>
          <w:tcPr>
            <w:tcW w:w="627" w:type="dxa"/>
            <w:gridSpan w:val="2"/>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3.9</w:t>
            </w:r>
          </w:p>
        </w:tc>
        <w:tc>
          <w:tcPr>
            <w:tcW w:w="506" w:type="dxa"/>
            <w:gridSpan w:val="3"/>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3.9</w:t>
            </w:r>
          </w:p>
        </w:tc>
        <w:tc>
          <w:tcPr>
            <w:tcW w:w="511" w:type="dxa"/>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3.8</w:t>
            </w:r>
          </w:p>
        </w:tc>
        <w:tc>
          <w:tcPr>
            <w:tcW w:w="545" w:type="dxa"/>
            <w:gridSpan w:val="3"/>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3.8</w:t>
            </w:r>
          </w:p>
        </w:tc>
        <w:tc>
          <w:tcPr>
            <w:tcW w:w="536" w:type="dxa"/>
            <w:gridSpan w:val="3"/>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3.8</w:t>
            </w:r>
          </w:p>
        </w:tc>
        <w:tc>
          <w:tcPr>
            <w:tcW w:w="515" w:type="dxa"/>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w:t>
            </w:r>
          </w:p>
        </w:tc>
      </w:tr>
      <w:tr>
        <w:tblPrEx>
          <w:tblLayout w:type="fixed"/>
          <w:tblCellMar>
            <w:top w:w="0" w:type="dxa"/>
            <w:left w:w="0" w:type="dxa"/>
            <w:bottom w:w="0" w:type="dxa"/>
            <w:right w:w="0" w:type="dxa"/>
          </w:tblCellMar>
        </w:tblPrEx>
        <w:trPr>
          <w:cantSplit/>
          <w:trHeight w:val="363" w:hRule="atLeast"/>
        </w:trPr>
        <w:tc>
          <w:tcPr>
            <w:tcW w:w="475" w:type="dxa"/>
            <w:vMerge w:val="continue"/>
            <w:tcBorders>
              <w:top w:val="nil"/>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cs="Times New Roman"/>
                <w:sz w:val="24"/>
                <w:szCs w:val="24"/>
              </w:rPr>
            </w:pPr>
          </w:p>
        </w:tc>
        <w:tc>
          <w:tcPr>
            <w:tcW w:w="1932" w:type="dxa"/>
            <w:tcBorders>
              <w:top w:val="single" w:color="000000" w:sz="4" w:space="0"/>
              <w:left w:val="nil"/>
              <w:bottom w:val="single" w:color="000000" w:sz="4" w:space="0"/>
              <w:right w:val="single" w:color="000000" w:sz="4" w:space="0"/>
            </w:tcBorders>
            <w:vAlign w:val="center"/>
          </w:tcPr>
          <w:p>
            <w:pPr>
              <w:widowControl/>
              <w:autoSpaceDN w:val="0"/>
              <w:jc w:val="center"/>
              <w:textAlignment w:val="center"/>
              <w:rPr>
                <w:rFonts w:ascii="Times New Roman" w:hAnsi="Times New Roman" w:cs="Times New Roman"/>
                <w:sz w:val="24"/>
                <w:szCs w:val="24"/>
              </w:rPr>
            </w:pPr>
            <w:r>
              <w:rPr>
                <w:rFonts w:ascii="Times New Roman" w:hAnsi="Times New Roman" w:cs="Times New Roman"/>
                <w:sz w:val="24"/>
                <w:szCs w:val="24"/>
              </w:rPr>
              <w:t>CPI (year-on-year, %)</w:t>
            </w:r>
          </w:p>
        </w:tc>
        <w:tc>
          <w:tcPr>
            <w:tcW w:w="566" w:type="dxa"/>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2.4</w:t>
            </w:r>
          </w:p>
        </w:tc>
        <w:tc>
          <w:tcPr>
            <w:tcW w:w="566" w:type="dxa"/>
            <w:gridSpan w:val="5"/>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2.4</w:t>
            </w:r>
          </w:p>
        </w:tc>
        <w:tc>
          <w:tcPr>
            <w:tcW w:w="498" w:type="dxa"/>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2.4</w:t>
            </w:r>
          </w:p>
        </w:tc>
        <w:tc>
          <w:tcPr>
            <w:tcW w:w="550" w:type="dxa"/>
            <w:gridSpan w:val="2"/>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2.5</w:t>
            </w:r>
          </w:p>
        </w:tc>
        <w:tc>
          <w:tcPr>
            <w:tcW w:w="515" w:type="dxa"/>
            <w:gridSpan w:val="3"/>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2.7</w:t>
            </w:r>
          </w:p>
        </w:tc>
        <w:tc>
          <w:tcPr>
            <w:tcW w:w="516" w:type="dxa"/>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2.4</w:t>
            </w:r>
          </w:p>
        </w:tc>
        <w:tc>
          <w:tcPr>
            <w:tcW w:w="584" w:type="dxa"/>
            <w:gridSpan w:val="3"/>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2.4</w:t>
            </w:r>
          </w:p>
        </w:tc>
        <w:tc>
          <w:tcPr>
            <w:tcW w:w="505" w:type="dxa"/>
            <w:gridSpan w:val="2"/>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2.3</w:t>
            </w:r>
          </w:p>
        </w:tc>
        <w:tc>
          <w:tcPr>
            <w:tcW w:w="509" w:type="dxa"/>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2.1</w:t>
            </w:r>
          </w:p>
        </w:tc>
        <w:tc>
          <w:tcPr>
            <w:tcW w:w="627" w:type="dxa"/>
            <w:gridSpan w:val="2"/>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1.8</w:t>
            </w:r>
          </w:p>
        </w:tc>
        <w:tc>
          <w:tcPr>
            <w:tcW w:w="506" w:type="dxa"/>
            <w:gridSpan w:val="3"/>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1.9</w:t>
            </w:r>
          </w:p>
        </w:tc>
        <w:tc>
          <w:tcPr>
            <w:tcW w:w="511" w:type="dxa"/>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1.9</w:t>
            </w:r>
          </w:p>
        </w:tc>
        <w:tc>
          <w:tcPr>
            <w:tcW w:w="545" w:type="dxa"/>
            <w:gridSpan w:val="3"/>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2.1</w:t>
            </w:r>
          </w:p>
        </w:tc>
        <w:tc>
          <w:tcPr>
            <w:tcW w:w="536" w:type="dxa"/>
            <w:gridSpan w:val="3"/>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2.0</w:t>
            </w:r>
          </w:p>
        </w:tc>
        <w:tc>
          <w:tcPr>
            <w:tcW w:w="515" w:type="dxa"/>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2.0</w:t>
            </w:r>
          </w:p>
        </w:tc>
      </w:tr>
      <w:tr>
        <w:tblPrEx>
          <w:tblLayout w:type="fixed"/>
          <w:tblCellMar>
            <w:top w:w="0" w:type="dxa"/>
            <w:left w:w="0" w:type="dxa"/>
            <w:bottom w:w="0" w:type="dxa"/>
            <w:right w:w="0" w:type="dxa"/>
          </w:tblCellMar>
        </w:tblPrEx>
        <w:trPr>
          <w:cantSplit/>
          <w:trHeight w:val="363" w:hRule="atLeast"/>
        </w:trPr>
        <w:tc>
          <w:tcPr>
            <w:tcW w:w="475" w:type="dxa"/>
            <w:vMerge w:val="continue"/>
            <w:tcBorders>
              <w:top w:val="nil"/>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cs="Times New Roman"/>
                <w:sz w:val="24"/>
                <w:szCs w:val="24"/>
              </w:rPr>
            </w:pPr>
          </w:p>
        </w:tc>
        <w:tc>
          <w:tcPr>
            <w:tcW w:w="1932" w:type="dxa"/>
            <w:tcBorders>
              <w:top w:val="single" w:color="000000" w:sz="4" w:space="0"/>
              <w:left w:val="nil"/>
              <w:bottom w:val="single" w:color="000000" w:sz="4" w:space="0"/>
              <w:right w:val="single" w:color="000000" w:sz="4" w:space="0"/>
            </w:tcBorders>
            <w:shd w:val="clear" w:color="auto" w:fill="CCFFCC"/>
            <w:vAlign w:val="center"/>
          </w:tcPr>
          <w:p>
            <w:pPr>
              <w:pStyle w:val="22"/>
              <w:autoSpaceDN w:val="0"/>
              <w:jc w:val="center"/>
              <w:textAlignment w:val="center"/>
              <w:rPr>
                <w:kern w:val="2"/>
                <w:sz w:val="24"/>
                <w:szCs w:val="24"/>
              </w:rPr>
            </w:pPr>
            <w:r>
              <w:rPr>
                <w:kern w:val="2"/>
                <w:sz w:val="24"/>
                <w:szCs w:val="24"/>
              </w:rPr>
              <w:t>FTSE 100 (end of the period)</w:t>
            </w:r>
          </w:p>
        </w:tc>
        <w:tc>
          <w:tcPr>
            <w:tcW w:w="566" w:type="dxa"/>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7509</w:t>
            </w:r>
          </w:p>
        </w:tc>
        <w:tc>
          <w:tcPr>
            <w:tcW w:w="566" w:type="dxa"/>
            <w:gridSpan w:val="5"/>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7678</w:t>
            </w:r>
          </w:p>
        </w:tc>
        <w:tc>
          <w:tcPr>
            <w:tcW w:w="498" w:type="dxa"/>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7637</w:t>
            </w:r>
          </w:p>
        </w:tc>
        <w:tc>
          <w:tcPr>
            <w:tcW w:w="550" w:type="dxa"/>
            <w:gridSpan w:val="2"/>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7749</w:t>
            </w:r>
          </w:p>
        </w:tc>
        <w:tc>
          <w:tcPr>
            <w:tcW w:w="515" w:type="dxa"/>
            <w:gridSpan w:val="3"/>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7432</w:t>
            </w:r>
          </w:p>
        </w:tc>
        <w:tc>
          <w:tcPr>
            <w:tcW w:w="516" w:type="dxa"/>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7510</w:t>
            </w:r>
          </w:p>
        </w:tc>
        <w:tc>
          <w:tcPr>
            <w:tcW w:w="584" w:type="dxa"/>
            <w:gridSpan w:val="3"/>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7128</w:t>
            </w:r>
          </w:p>
        </w:tc>
        <w:tc>
          <w:tcPr>
            <w:tcW w:w="505" w:type="dxa"/>
            <w:gridSpan w:val="2"/>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6980</w:t>
            </w:r>
          </w:p>
        </w:tc>
        <w:tc>
          <w:tcPr>
            <w:tcW w:w="509" w:type="dxa"/>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6728</w:t>
            </w:r>
          </w:p>
        </w:tc>
        <w:tc>
          <w:tcPr>
            <w:tcW w:w="627" w:type="dxa"/>
            <w:gridSpan w:val="2"/>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6969</w:t>
            </w:r>
          </w:p>
        </w:tc>
        <w:tc>
          <w:tcPr>
            <w:tcW w:w="506" w:type="dxa"/>
            <w:gridSpan w:val="3"/>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7075</w:t>
            </w:r>
          </w:p>
        </w:tc>
        <w:tc>
          <w:tcPr>
            <w:tcW w:w="511" w:type="dxa"/>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7279</w:t>
            </w:r>
          </w:p>
        </w:tc>
        <w:tc>
          <w:tcPr>
            <w:tcW w:w="545" w:type="dxa"/>
            <w:gridSpan w:val="3"/>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7418</w:t>
            </w:r>
          </w:p>
        </w:tc>
        <w:tc>
          <w:tcPr>
            <w:tcW w:w="536" w:type="dxa"/>
            <w:gridSpan w:val="3"/>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7162</w:t>
            </w:r>
          </w:p>
        </w:tc>
        <w:tc>
          <w:tcPr>
            <w:tcW w:w="515" w:type="dxa"/>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7426</w:t>
            </w:r>
          </w:p>
        </w:tc>
      </w:tr>
      <w:tr>
        <w:tblPrEx>
          <w:tblLayout w:type="fixed"/>
          <w:tblCellMar>
            <w:top w:w="0" w:type="dxa"/>
            <w:left w:w="0" w:type="dxa"/>
            <w:bottom w:w="0" w:type="dxa"/>
            <w:right w:w="0" w:type="dxa"/>
          </w:tblCellMar>
        </w:tblPrEx>
        <w:trPr>
          <w:cantSplit/>
          <w:trHeight w:val="919" w:hRule="atLeast"/>
        </w:trPr>
        <w:tc>
          <w:tcPr>
            <w:tcW w:w="475" w:type="dxa"/>
            <w:vMerge w:val="restart"/>
            <w:tcBorders>
              <w:top w:val="nil"/>
              <w:left w:val="single" w:color="000000" w:sz="4" w:space="0"/>
              <w:bottom w:val="single" w:color="000000" w:sz="4" w:space="0"/>
              <w:right w:val="single" w:color="000000" w:sz="4" w:space="0"/>
            </w:tcBorders>
            <w:textDirection w:val="btLr"/>
            <w:vAlign w:val="center"/>
          </w:tcPr>
          <w:p>
            <w:pPr>
              <w:autoSpaceDN w:val="0"/>
              <w:jc w:val="center"/>
              <w:textAlignment w:val="center"/>
              <w:rPr>
                <w:rFonts w:ascii="Times New Roman" w:hAnsi="Times New Roman" w:cs="Times New Roman"/>
                <w:sz w:val="24"/>
                <w:szCs w:val="24"/>
              </w:rPr>
            </w:pPr>
            <w:r>
              <w:rPr>
                <w:rFonts w:ascii="Times New Roman" w:hAnsi="Times New Roman" w:cs="Times New Roman"/>
                <w:sz w:val="24"/>
                <w:szCs w:val="24"/>
              </w:rPr>
              <w:t>Japan</w:t>
            </w:r>
          </w:p>
        </w:tc>
        <w:tc>
          <w:tcPr>
            <w:tcW w:w="1932" w:type="dxa"/>
            <w:tcBorders>
              <w:top w:val="single" w:color="000000" w:sz="4" w:space="0"/>
              <w:left w:val="nil"/>
              <w:bottom w:val="single" w:color="000000" w:sz="4" w:space="0"/>
              <w:right w:val="single" w:color="000000" w:sz="4" w:space="0"/>
            </w:tcBorders>
            <w:vAlign w:val="bottom"/>
          </w:tcPr>
          <w:p>
            <w:pPr>
              <w:autoSpaceDN w:val="0"/>
              <w:jc w:val="center"/>
              <w:textAlignment w:val="center"/>
              <w:rPr>
                <w:rFonts w:ascii="Times New Roman" w:hAnsi="Times New Roman" w:cs="Times New Roman"/>
                <w:sz w:val="24"/>
                <w:szCs w:val="24"/>
              </w:rPr>
            </w:pPr>
            <w:r>
              <w:rPr>
                <w:rFonts w:ascii="Times New Roman" w:hAnsi="Times New Roman" w:cs="Times New Roman"/>
                <w:sz w:val="24"/>
                <w:szCs w:val="24"/>
              </w:rPr>
              <w:t>Real GDP Growth (annualized quarterly rate, %)</w:t>
            </w:r>
          </w:p>
        </w:tc>
        <w:tc>
          <w:tcPr>
            <w:tcW w:w="1630" w:type="dxa"/>
            <w:gridSpan w:val="7"/>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1.9</w:t>
            </w:r>
          </w:p>
        </w:tc>
        <w:tc>
          <w:tcPr>
            <w:tcW w:w="1581" w:type="dxa"/>
            <w:gridSpan w:val="6"/>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-2.4</w:t>
            </w:r>
          </w:p>
        </w:tc>
        <w:tc>
          <w:tcPr>
            <w:tcW w:w="1598" w:type="dxa"/>
            <w:gridSpan w:val="6"/>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1.9</w:t>
            </w:r>
          </w:p>
        </w:tc>
        <w:tc>
          <w:tcPr>
            <w:tcW w:w="1644" w:type="dxa"/>
            <w:gridSpan w:val="6"/>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2.1</w:t>
            </w:r>
          </w:p>
        </w:tc>
        <w:tc>
          <w:tcPr>
            <w:tcW w:w="1596" w:type="dxa"/>
            <w:gridSpan w:val="7"/>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w:t>
            </w:r>
          </w:p>
        </w:tc>
      </w:tr>
      <w:tr>
        <w:tblPrEx>
          <w:tblLayout w:type="fixed"/>
          <w:tblCellMar>
            <w:top w:w="0" w:type="dxa"/>
            <w:left w:w="0" w:type="dxa"/>
            <w:bottom w:w="0" w:type="dxa"/>
            <w:right w:w="0" w:type="dxa"/>
          </w:tblCellMar>
        </w:tblPrEx>
        <w:trPr>
          <w:cantSplit/>
          <w:trHeight w:val="363" w:hRule="atLeast"/>
        </w:trPr>
        <w:tc>
          <w:tcPr>
            <w:tcW w:w="475" w:type="dxa"/>
            <w:vMerge w:val="continue"/>
            <w:tcBorders>
              <w:top w:val="nil"/>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cs="Times New Roman"/>
                <w:sz w:val="24"/>
                <w:szCs w:val="24"/>
              </w:rPr>
            </w:pPr>
          </w:p>
        </w:tc>
        <w:tc>
          <w:tcPr>
            <w:tcW w:w="1932" w:type="dxa"/>
            <w:tcBorders>
              <w:top w:val="single" w:color="000000" w:sz="4" w:space="0"/>
              <w:left w:val="nil"/>
              <w:bottom w:val="single" w:color="000000" w:sz="4" w:space="0"/>
              <w:right w:val="single" w:color="000000" w:sz="4" w:space="0"/>
            </w:tcBorders>
            <w:shd w:val="clear" w:color="auto" w:fill="CCFFCC"/>
            <w:vAlign w:val="bottom"/>
          </w:tcPr>
          <w:p>
            <w:pPr>
              <w:pStyle w:val="22"/>
              <w:autoSpaceDN w:val="0"/>
              <w:jc w:val="center"/>
              <w:textAlignment w:val="center"/>
              <w:rPr>
                <w:kern w:val="2"/>
                <w:sz w:val="24"/>
                <w:szCs w:val="24"/>
              </w:rPr>
            </w:pPr>
            <w:r>
              <w:rPr>
                <w:kern w:val="2"/>
                <w:sz w:val="24"/>
                <w:szCs w:val="24"/>
              </w:rPr>
              <w:t>Unemployment Rate (%)</w:t>
            </w:r>
          </w:p>
        </w:tc>
        <w:tc>
          <w:tcPr>
            <w:tcW w:w="566" w:type="dxa"/>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2.5</w:t>
            </w:r>
          </w:p>
        </w:tc>
        <w:tc>
          <w:tcPr>
            <w:tcW w:w="566" w:type="dxa"/>
            <w:gridSpan w:val="5"/>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2.2</w:t>
            </w:r>
          </w:p>
        </w:tc>
        <w:tc>
          <w:tcPr>
            <w:tcW w:w="498" w:type="dxa"/>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2.4</w:t>
            </w:r>
          </w:p>
        </w:tc>
        <w:tc>
          <w:tcPr>
            <w:tcW w:w="550" w:type="dxa"/>
            <w:gridSpan w:val="2"/>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2.5</w:t>
            </w:r>
          </w:p>
        </w:tc>
        <w:tc>
          <w:tcPr>
            <w:tcW w:w="515" w:type="dxa"/>
            <w:gridSpan w:val="3"/>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2.4</w:t>
            </w:r>
          </w:p>
        </w:tc>
        <w:tc>
          <w:tcPr>
            <w:tcW w:w="516" w:type="dxa"/>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2.3</w:t>
            </w:r>
          </w:p>
        </w:tc>
        <w:tc>
          <w:tcPr>
            <w:tcW w:w="584" w:type="dxa"/>
            <w:gridSpan w:val="3"/>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2.4</w:t>
            </w:r>
          </w:p>
        </w:tc>
        <w:tc>
          <w:tcPr>
            <w:tcW w:w="505" w:type="dxa"/>
            <w:gridSpan w:val="2"/>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2.5</w:t>
            </w:r>
          </w:p>
        </w:tc>
        <w:tc>
          <w:tcPr>
            <w:tcW w:w="509" w:type="dxa"/>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2.4</w:t>
            </w:r>
          </w:p>
        </w:tc>
        <w:tc>
          <w:tcPr>
            <w:tcW w:w="627" w:type="dxa"/>
            <w:gridSpan w:val="2"/>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2.5</w:t>
            </w:r>
          </w:p>
        </w:tc>
        <w:tc>
          <w:tcPr>
            <w:tcW w:w="506" w:type="dxa"/>
            <w:gridSpan w:val="3"/>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2.3</w:t>
            </w:r>
          </w:p>
        </w:tc>
        <w:tc>
          <w:tcPr>
            <w:tcW w:w="511" w:type="dxa"/>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2.5</w:t>
            </w:r>
          </w:p>
        </w:tc>
        <w:tc>
          <w:tcPr>
            <w:tcW w:w="545" w:type="dxa"/>
            <w:gridSpan w:val="3"/>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2.4</w:t>
            </w:r>
          </w:p>
        </w:tc>
        <w:tc>
          <w:tcPr>
            <w:tcW w:w="536" w:type="dxa"/>
            <w:gridSpan w:val="3"/>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2.4</w:t>
            </w:r>
          </w:p>
        </w:tc>
        <w:tc>
          <w:tcPr>
            <w:tcW w:w="515" w:type="dxa"/>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w:t>
            </w:r>
          </w:p>
        </w:tc>
      </w:tr>
      <w:tr>
        <w:tblPrEx>
          <w:tblLayout w:type="fixed"/>
          <w:tblCellMar>
            <w:top w:w="0" w:type="dxa"/>
            <w:left w:w="0" w:type="dxa"/>
            <w:bottom w:w="0" w:type="dxa"/>
            <w:right w:w="0" w:type="dxa"/>
          </w:tblCellMar>
        </w:tblPrEx>
        <w:trPr>
          <w:cantSplit/>
          <w:trHeight w:val="363" w:hRule="atLeast"/>
        </w:trPr>
        <w:tc>
          <w:tcPr>
            <w:tcW w:w="475" w:type="dxa"/>
            <w:vMerge w:val="continue"/>
            <w:tcBorders>
              <w:top w:val="nil"/>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cs="Times New Roman"/>
                <w:sz w:val="24"/>
                <w:szCs w:val="24"/>
              </w:rPr>
            </w:pPr>
          </w:p>
        </w:tc>
        <w:tc>
          <w:tcPr>
            <w:tcW w:w="1932" w:type="dxa"/>
            <w:tcBorders>
              <w:top w:val="single" w:color="000000" w:sz="4" w:space="0"/>
              <w:left w:val="nil"/>
              <w:bottom w:val="single" w:color="000000" w:sz="4" w:space="0"/>
              <w:right w:val="single" w:color="000000" w:sz="4" w:space="0"/>
            </w:tcBorders>
            <w:vAlign w:val="bottom"/>
          </w:tcPr>
          <w:p>
            <w:pPr>
              <w:pStyle w:val="22"/>
              <w:autoSpaceDN w:val="0"/>
              <w:jc w:val="center"/>
              <w:textAlignment w:val="center"/>
              <w:rPr>
                <w:kern w:val="2"/>
                <w:sz w:val="24"/>
                <w:szCs w:val="24"/>
              </w:rPr>
            </w:pPr>
            <w:r>
              <w:rPr>
                <w:kern w:val="2"/>
                <w:sz w:val="24"/>
                <w:szCs w:val="24"/>
              </w:rPr>
              <w:t>CPI (year-on-year, %)</w:t>
            </w:r>
          </w:p>
        </w:tc>
        <w:tc>
          <w:tcPr>
            <w:tcW w:w="566" w:type="dxa"/>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0.6</w:t>
            </w:r>
          </w:p>
        </w:tc>
        <w:tc>
          <w:tcPr>
            <w:tcW w:w="566" w:type="dxa"/>
            <w:gridSpan w:val="5"/>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0.7</w:t>
            </w:r>
          </w:p>
        </w:tc>
        <w:tc>
          <w:tcPr>
            <w:tcW w:w="498" w:type="dxa"/>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0.7</w:t>
            </w:r>
          </w:p>
        </w:tc>
        <w:tc>
          <w:tcPr>
            <w:tcW w:w="550" w:type="dxa"/>
            <w:gridSpan w:val="2"/>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0.9</w:t>
            </w:r>
          </w:p>
        </w:tc>
        <w:tc>
          <w:tcPr>
            <w:tcW w:w="515" w:type="dxa"/>
            <w:gridSpan w:val="3"/>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1.3</w:t>
            </w:r>
          </w:p>
        </w:tc>
        <w:tc>
          <w:tcPr>
            <w:tcW w:w="516" w:type="dxa"/>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1.2</w:t>
            </w:r>
          </w:p>
        </w:tc>
        <w:tc>
          <w:tcPr>
            <w:tcW w:w="584" w:type="dxa"/>
            <w:gridSpan w:val="3"/>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1.4</w:t>
            </w:r>
          </w:p>
        </w:tc>
        <w:tc>
          <w:tcPr>
            <w:tcW w:w="505" w:type="dxa"/>
            <w:gridSpan w:val="2"/>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0.8</w:t>
            </w:r>
          </w:p>
        </w:tc>
        <w:tc>
          <w:tcPr>
            <w:tcW w:w="509" w:type="dxa"/>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0.3</w:t>
            </w:r>
          </w:p>
        </w:tc>
        <w:tc>
          <w:tcPr>
            <w:tcW w:w="627" w:type="dxa"/>
            <w:gridSpan w:val="2"/>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0.2</w:t>
            </w:r>
          </w:p>
        </w:tc>
        <w:tc>
          <w:tcPr>
            <w:tcW w:w="506" w:type="dxa"/>
            <w:gridSpan w:val="3"/>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0.2</w:t>
            </w:r>
          </w:p>
        </w:tc>
        <w:tc>
          <w:tcPr>
            <w:tcW w:w="511" w:type="dxa"/>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0.5</w:t>
            </w:r>
          </w:p>
        </w:tc>
        <w:tc>
          <w:tcPr>
            <w:tcW w:w="545" w:type="dxa"/>
            <w:gridSpan w:val="3"/>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0.9</w:t>
            </w:r>
          </w:p>
        </w:tc>
        <w:tc>
          <w:tcPr>
            <w:tcW w:w="536" w:type="dxa"/>
            <w:gridSpan w:val="3"/>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0.7</w:t>
            </w:r>
          </w:p>
        </w:tc>
        <w:tc>
          <w:tcPr>
            <w:tcW w:w="515" w:type="dxa"/>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0.7</w:t>
            </w:r>
          </w:p>
        </w:tc>
      </w:tr>
      <w:tr>
        <w:tblPrEx>
          <w:tblLayout w:type="fixed"/>
          <w:tblCellMar>
            <w:top w:w="0" w:type="dxa"/>
            <w:left w:w="0" w:type="dxa"/>
            <w:bottom w:w="0" w:type="dxa"/>
            <w:right w:w="0" w:type="dxa"/>
          </w:tblCellMar>
        </w:tblPrEx>
        <w:trPr>
          <w:cantSplit/>
          <w:trHeight w:val="363" w:hRule="atLeast"/>
        </w:trPr>
        <w:tc>
          <w:tcPr>
            <w:tcW w:w="475" w:type="dxa"/>
            <w:vMerge w:val="continue"/>
            <w:tcBorders>
              <w:top w:val="nil"/>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cs="Times New Roman"/>
                <w:sz w:val="24"/>
                <w:szCs w:val="24"/>
              </w:rPr>
            </w:pPr>
          </w:p>
        </w:tc>
        <w:tc>
          <w:tcPr>
            <w:tcW w:w="1932" w:type="dxa"/>
            <w:tcBorders>
              <w:top w:val="single" w:color="000000" w:sz="4" w:space="0"/>
              <w:left w:val="nil"/>
              <w:bottom w:val="single" w:color="000000" w:sz="4" w:space="0"/>
              <w:right w:val="single" w:color="000000" w:sz="4" w:space="0"/>
            </w:tcBorders>
            <w:shd w:val="clear" w:color="auto" w:fill="CCFFCC"/>
            <w:vAlign w:val="bottom"/>
          </w:tcPr>
          <w:p>
            <w:pPr>
              <w:pStyle w:val="22"/>
              <w:autoSpaceDN w:val="0"/>
              <w:jc w:val="center"/>
              <w:textAlignment w:val="center"/>
              <w:rPr>
                <w:kern w:val="2"/>
                <w:sz w:val="24"/>
                <w:szCs w:val="24"/>
              </w:rPr>
            </w:pPr>
            <w:r>
              <w:rPr>
                <w:kern w:val="2"/>
                <w:sz w:val="24"/>
                <w:szCs w:val="24"/>
              </w:rPr>
              <w:t>NIKKEI 225 (end of the period)</w:t>
            </w:r>
          </w:p>
        </w:tc>
        <w:tc>
          <w:tcPr>
            <w:tcW w:w="566" w:type="dxa"/>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22468</w:t>
            </w:r>
          </w:p>
        </w:tc>
        <w:tc>
          <w:tcPr>
            <w:tcW w:w="566" w:type="dxa"/>
            <w:gridSpan w:val="5"/>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22202</w:t>
            </w:r>
          </w:p>
        </w:tc>
        <w:tc>
          <w:tcPr>
            <w:tcW w:w="498" w:type="dxa"/>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22304</w:t>
            </w:r>
          </w:p>
        </w:tc>
        <w:tc>
          <w:tcPr>
            <w:tcW w:w="550" w:type="dxa"/>
            <w:gridSpan w:val="2"/>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22554</w:t>
            </w:r>
          </w:p>
        </w:tc>
        <w:tc>
          <w:tcPr>
            <w:tcW w:w="515" w:type="dxa"/>
            <w:gridSpan w:val="3"/>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22865</w:t>
            </w:r>
          </w:p>
        </w:tc>
        <w:tc>
          <w:tcPr>
            <w:tcW w:w="516" w:type="dxa"/>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24120</w:t>
            </w:r>
          </w:p>
        </w:tc>
        <w:tc>
          <w:tcPr>
            <w:tcW w:w="584" w:type="dxa"/>
            <w:gridSpan w:val="3"/>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21920</w:t>
            </w:r>
          </w:p>
        </w:tc>
        <w:tc>
          <w:tcPr>
            <w:tcW w:w="505" w:type="dxa"/>
            <w:gridSpan w:val="2"/>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22351</w:t>
            </w:r>
          </w:p>
        </w:tc>
        <w:tc>
          <w:tcPr>
            <w:tcW w:w="509" w:type="dxa"/>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20015</w:t>
            </w:r>
          </w:p>
        </w:tc>
        <w:tc>
          <w:tcPr>
            <w:tcW w:w="627" w:type="dxa"/>
            <w:gridSpan w:val="2"/>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20773</w:t>
            </w:r>
          </w:p>
        </w:tc>
        <w:tc>
          <w:tcPr>
            <w:tcW w:w="506" w:type="dxa"/>
            <w:gridSpan w:val="3"/>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21385</w:t>
            </w:r>
          </w:p>
        </w:tc>
        <w:tc>
          <w:tcPr>
            <w:tcW w:w="511" w:type="dxa"/>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21206</w:t>
            </w:r>
          </w:p>
        </w:tc>
        <w:tc>
          <w:tcPr>
            <w:tcW w:w="545" w:type="dxa"/>
            <w:gridSpan w:val="3"/>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22259</w:t>
            </w:r>
          </w:p>
        </w:tc>
        <w:tc>
          <w:tcPr>
            <w:tcW w:w="536" w:type="dxa"/>
            <w:gridSpan w:val="3"/>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20601</w:t>
            </w:r>
          </w:p>
        </w:tc>
        <w:tc>
          <w:tcPr>
            <w:tcW w:w="515" w:type="dxa"/>
            <w:tcBorders>
              <w:top w:val="single" w:color="000000" w:sz="4" w:space="0"/>
              <w:left w:val="nil"/>
              <w:bottom w:val="single" w:color="000000" w:sz="4" w:space="0"/>
              <w:right w:val="single" w:color="000000" w:sz="4" w:space="0"/>
            </w:tcBorders>
            <w:shd w:val="solid" w:color="CCFFCC" w:fill="auto"/>
            <w:vAlign w:val="center"/>
          </w:tcPr>
          <w:p>
            <w:pPr>
              <w:autoSpaceDN w:val="0"/>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21276</w:t>
            </w:r>
          </w:p>
        </w:tc>
      </w:tr>
    </w:tbl>
    <w:p>
      <w:pPr>
        <w:rPr>
          <w:rFonts w:ascii="Times New Roman" w:hAnsi="Times New Roman" w:cs="Times New Roman"/>
          <w:sz w:val="24"/>
          <w:szCs w:val="24"/>
        </w:rPr>
      </w:pPr>
      <w:r>
        <w:rPr>
          <w:rFonts w:ascii="Times New Roman" w:hAnsi="Times New Roman" w:cs="Times New Roman"/>
          <w:sz w:val="24"/>
          <w:szCs w:val="24"/>
        </w:rPr>
        <w:t>Sources: Statistical Bureaus and Central Banks of the Relevant Economies.</w:t>
      </w:r>
    </w:p>
    <w:p>
      <w:pPr>
        <w:rPr>
          <w:rFonts w:ascii="Times New Roman" w:hAnsi="Times New Roman" w:cs="Times New Roman"/>
          <w:sz w:val="24"/>
          <w:szCs w:val="24"/>
        </w:rPr>
      </w:pPr>
    </w:p>
    <w:p>
      <w:pPr>
        <w:rPr>
          <w:rFonts w:ascii="Times New Roman" w:hAnsi="Times New Roman" w:cs="Times New Roman"/>
          <w:b/>
          <w:bCs/>
          <w:sz w:val="24"/>
          <w:szCs w:val="24"/>
        </w:rPr>
      </w:pPr>
      <w:r>
        <w:rPr>
          <w:rFonts w:ascii="Times New Roman" w:hAnsi="Times New Roman" w:cs="Times New Roman"/>
          <w:b/>
          <w:bCs/>
          <w:sz w:val="24"/>
          <w:szCs w:val="24"/>
        </w:rPr>
        <w:t>2. Developments in global financial markets</w:t>
      </w:r>
    </w:p>
    <w:p>
      <w:pPr>
        <w:rPr>
          <w:rFonts w:ascii="Times New Roman" w:hAnsi="Times New Roman" w:cs="Times New Roman"/>
          <w:sz w:val="24"/>
          <w:szCs w:val="24"/>
        </w:rPr>
      </w:pPr>
      <w:r>
        <w:rPr>
          <w:rFonts w:ascii="Times New Roman" w:hAnsi="Times New Roman" w:cs="Times New Roman"/>
          <w:b/>
          <w:bCs/>
          <w:sz w:val="24"/>
          <w:szCs w:val="24"/>
        </w:rPr>
        <w:t xml:space="preserve">The USD Index fluctuated downwards as the euro and the Japanese yen strengthened against the U.S. dollar. </w:t>
      </w:r>
      <w:r>
        <w:rPr>
          <w:rFonts w:ascii="Times New Roman" w:hAnsi="Times New Roman" w:cs="Times New Roman"/>
          <w:sz w:val="24"/>
          <w:szCs w:val="24"/>
        </w:rPr>
        <w:t>At end-June, the USD Index closed at 96.198, down 1.02 percent from end-March. The exchange rates of the euro and the Japanese yen closed at 1.1368 U.S. dollar per euro and 107.88 yen per U.S. dollar, appreciating 1.35 percent and 2.74 percent as compared with end-March, while the British pound weakened 2.59 percent over the end of March, closing at 1.2693 U.S. dollar per pound. Among the emerging market currencies, the Russian ruble, the Argentine peso, the Brazilian real, the Mexican peso, and the Indian rupee gained 3.82 percent, 1.91 percent, 1.87 percent, 1.07 percent, and 0.35 percent respectively against the U.S. dollar over the end of March, while the Turkish lira and the Korean won depreciated 4.26 percent and 1.67 percent respectively against the U.S. dollar over the end of March.</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b/>
          <w:bCs/>
          <w:sz w:val="24"/>
          <w:szCs w:val="24"/>
        </w:rPr>
        <w:t>Across the board, the yields of government bonds dropped.</w:t>
      </w:r>
      <w:r>
        <w:rPr>
          <w:rFonts w:ascii="Times New Roman" w:hAnsi="Times New Roman" w:cs="Times New Roman"/>
          <w:sz w:val="24"/>
          <w:szCs w:val="24"/>
        </w:rPr>
        <w:t xml:space="preserve"> As of end-June, the yield of 10-year U.S. Treasuries closed at 2.000 percent, down 41.4 basis points (bps) from end-March. Meanwhile, the yields of 10-year French, German, UK, and Japanese government bonds dropped 32.4 bps, 25.5 bps, 16.8 bps, and 6.7 bps respectively as compared with end-March. Among the emerging market economies, the yields of 10-year Turkish, Brazilian, Russian, Mexican, and Indian government bonds slid 166 bps, 151.5 bps, 101 bps, 46.6 bps and 46.7 bps respectively from end-March, whereas the yield of 9-year Argentine government bonds jumped 185.4 bps over end-March.</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b/>
          <w:bCs/>
          <w:sz w:val="24"/>
          <w:szCs w:val="24"/>
        </w:rPr>
        <w:t>The stock markets in the major economies continued an upward trend.</w:t>
      </w:r>
      <w:r>
        <w:rPr>
          <w:rFonts w:ascii="Times New Roman" w:hAnsi="Times New Roman" w:cs="Times New Roman"/>
          <w:sz w:val="24"/>
          <w:szCs w:val="24"/>
        </w:rPr>
        <w:t xml:space="preserve"> At end-June, the U.S. Dow Jones Industrial Average, the German DAX, the Euro STOXX 50, the UK FTSE 100, and the Japanese Nikkei 225 added 2.59 percent, 7.57 percent, 3.64 percent, 2.01 percent, and 0.33 percent respectively over end-March. Among the emerging market economies, the Argentine BUSE MERVAL, the Russian RTS, the Brazilian BOVESPA, the Turkish BIST30, and the Indian SENSEX jumped 24.89 percent, 15.22 percent, 5.82 percent, 2.87 percent, and 1.87 percent, while the Mexican MXX dropped 0.28 percent from the end of March. </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b/>
          <w:bCs/>
          <w:sz w:val="24"/>
          <w:szCs w:val="24"/>
        </w:rPr>
        <w:t xml:space="preserve">Global money-market rates dropped slightly. </w:t>
      </w:r>
      <w:r>
        <w:rPr>
          <w:rFonts w:ascii="Times New Roman" w:hAnsi="Times New Roman" w:cs="Times New Roman"/>
          <w:sz w:val="24"/>
          <w:szCs w:val="24"/>
        </w:rPr>
        <w:t>On the back of stronger expectations of rate cuts by the U.S. Fed, the USD Libor in the London interbank market dipped. The 1-year Libor stood at 2.1781 percent on June 28, down 53 bps from end-March. The Euro Area Interbank Lending Rate (Euribor) edged down due to expectations of a monetary-policy easing by the European Central Bank (ECB). The 1-year Euribor registered –0.2140 percent on June 28, down 10 bps over end-March.</w:t>
      </w:r>
    </w:p>
    <w:p>
      <w:pPr>
        <w:rPr>
          <w:rFonts w:ascii="Times New Roman" w:hAnsi="Times New Roman" w:cs="Times New Roman"/>
          <w:sz w:val="24"/>
          <w:szCs w:val="24"/>
        </w:rPr>
      </w:pPr>
    </w:p>
    <w:p>
      <w:pPr>
        <w:rPr>
          <w:rFonts w:ascii="Times New Roman" w:hAnsi="Times New Roman" w:eastAsia="仿宋_GB2312" w:cs="Times New Roman"/>
          <w:b/>
          <w:sz w:val="24"/>
          <w:szCs w:val="24"/>
        </w:rPr>
      </w:pPr>
      <w:r>
        <w:rPr>
          <w:rFonts w:ascii="Times New Roman" w:hAnsi="Times New Roman" w:eastAsia="仿宋_GB2312" w:cs="Times New Roman"/>
          <w:b/>
          <w:sz w:val="24"/>
          <w:szCs w:val="24"/>
        </w:rPr>
        <w:t>3. Monetary Policies in the Major Economies</w:t>
      </w:r>
    </w:p>
    <w:p>
      <w:pPr>
        <w:rPr>
          <w:rFonts w:ascii="Times New Roman" w:hAnsi="Times New Roman" w:eastAsia="仿宋_GB2312" w:cs="Times New Roman"/>
          <w:sz w:val="24"/>
          <w:szCs w:val="24"/>
        </w:rPr>
      </w:pPr>
      <w:r>
        <w:rPr>
          <w:rFonts w:ascii="Times New Roman" w:hAnsi="Times New Roman" w:eastAsia="仿宋_GB2312" w:cs="Times New Roman"/>
          <w:b/>
          <w:sz w:val="24"/>
          <w:szCs w:val="24"/>
        </w:rPr>
        <w:t>The policy stance of the major advanced economies was reversed, with some advanced economies beginning rate cuts</w:t>
      </w:r>
      <w:r>
        <w:rPr>
          <w:rFonts w:ascii="Times New Roman" w:hAnsi="Times New Roman" w:eastAsia="仿宋_GB2312" w:cs="Times New Roman"/>
          <w:sz w:val="24"/>
          <w:szCs w:val="24"/>
        </w:rPr>
        <w:t xml:space="preserve">. </w:t>
      </w:r>
      <w:r>
        <w:rPr>
          <w:rFonts w:ascii="Times New Roman" w:hAnsi="Times New Roman" w:eastAsia="仿宋_GB2312" w:cs="Times New Roman"/>
          <w:b/>
          <w:sz w:val="24"/>
          <w:szCs w:val="24"/>
        </w:rPr>
        <w:t xml:space="preserve">The Federal Open Market Committee (FOMC) </w:t>
      </w:r>
      <w:r>
        <w:rPr>
          <w:rFonts w:ascii="Times New Roman" w:hAnsi="Times New Roman" w:eastAsia="仿宋_GB2312" w:cs="Times New Roman"/>
          <w:sz w:val="24"/>
          <w:szCs w:val="24"/>
        </w:rPr>
        <w:t xml:space="preserve">decided on May 1, 2019 to keep the target range of the federal funds rate on hold at 2.25–2.50 percent and to continue with the balance sheet unwinding but to reduce the cap from USD 30 billion to USD 15 billion starting from May. The FOMC met on June 19 and decided to keep the rate unchanged and to continue the balance-sheet normalization, with a cap of USD 15 billion. The Fed tuned down the inflation projection due to the weakening growth and expressed its willingness to act as appropriate to sustain the expansion. The FOMC met on July 31 and decided to lower the target rate for the federal funds rate to 2 to 2-1/4 percent, which was the first rate cut since December 2008. In August the Fed also decided to stop unwinding the balance sheet, two months earlier than expected. </w:t>
      </w: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On April 1, </w:t>
      </w:r>
      <w:r>
        <w:rPr>
          <w:rFonts w:ascii="Times New Roman" w:hAnsi="Times New Roman" w:eastAsia="仿宋_GB2312" w:cs="Times New Roman"/>
          <w:b/>
          <w:sz w:val="24"/>
          <w:szCs w:val="24"/>
        </w:rPr>
        <w:t>the ECB</w:t>
      </w:r>
      <w:r>
        <w:rPr>
          <w:rFonts w:ascii="Times New Roman" w:hAnsi="Times New Roman" w:eastAsia="仿宋_GB2312" w:cs="Times New Roman"/>
          <w:sz w:val="24"/>
          <w:szCs w:val="24"/>
        </w:rPr>
        <w:t xml:space="preserve"> kept the interest rates on the main refinancing operation, the marginal lending facility, and the deposit facility unchanged at 0 percent, 0.25 percent and </w:t>
      </w:r>
      <w:r>
        <w:rPr>
          <w:rFonts w:ascii="Times New Roman" w:hAnsi="Times New Roman" w:cs="Times New Roman"/>
          <w:sz w:val="24"/>
          <w:szCs w:val="24"/>
        </w:rPr>
        <w:t>–</w:t>
      </w:r>
      <w:r>
        <w:rPr>
          <w:rFonts w:ascii="Times New Roman" w:hAnsi="Times New Roman" w:eastAsia="仿宋_GB2312" w:cs="Times New Roman"/>
          <w:sz w:val="24"/>
          <w:szCs w:val="24"/>
        </w:rPr>
        <w:t>0.4 percent respectively. The ECB also announced that the current policy rates would remain on hold at least through the end of 2019. In addition, it decided to continue reinvesting, in full, the principal payments from maturing securities purchased under the asset purchase program for an extended period of time, long past the date when it starts raising the key interest rates. While again keeping the interest rates unchanged on June 6, the ECB decided to continue fully reinvesting the principal payments from maturing securities purchased under the asset purchase program and set the interest rate for the third round of targeted longer-term refinancing operations (TLTRO-III) at 10 basis points above the average MRO rate over the life of each operation. For counterparties exceeding their lending benchmark, a lower interest rate will apply, which can be as low as the average deposit facility rate plus 10 basis points. On July 25, the ECB modified forward-looking guidance and “the key ECB interest rates will remain at their present or lower levels at least through the first half of 2020.”</w:t>
      </w: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r>
        <w:rPr>
          <w:rFonts w:ascii="Times New Roman" w:hAnsi="Times New Roman" w:eastAsia="仿宋_GB2312" w:cs="Times New Roman"/>
          <w:b/>
          <w:sz w:val="24"/>
          <w:szCs w:val="24"/>
        </w:rPr>
        <w:t>The Bank of Japan</w:t>
      </w:r>
      <w:r>
        <w:rPr>
          <w:rFonts w:ascii="Times New Roman" w:hAnsi="Times New Roman" w:eastAsia="仿宋_GB2312" w:cs="Times New Roman"/>
          <w:sz w:val="24"/>
          <w:szCs w:val="24"/>
        </w:rPr>
        <w:t xml:space="preserve"> decided on April 25, June 20, and July 30 to continue its quantitative and qualitative monetary easing (QQE) with yield curve control, to apply a negative interest rate of –0.1 percent to the Policy-Rate Balances in the current accounts held by financial institutions at the BOJ, and to keep the yield of 10-year government bonds at about 0 percent. The size of asset purchases remained unchanged. When meeting on April 25, the Policy Board decided to maintain the current extremely low levels of short- and long-term interest rates at least through about the spring of 2020.    </w:t>
      </w: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r>
        <w:rPr>
          <w:rFonts w:ascii="Times New Roman" w:hAnsi="Times New Roman" w:eastAsia="仿宋_GB2312" w:cs="Times New Roman"/>
          <w:b/>
          <w:sz w:val="24"/>
          <w:szCs w:val="24"/>
        </w:rPr>
        <w:t xml:space="preserve">The Bank of England (BOE) </w:t>
      </w:r>
      <w:r>
        <w:rPr>
          <w:rFonts w:ascii="Times New Roman" w:hAnsi="Times New Roman" w:eastAsia="仿宋_GB2312" w:cs="Times New Roman"/>
          <w:sz w:val="24"/>
          <w:szCs w:val="24"/>
        </w:rPr>
        <w:t>kept its benchmark rate unchanged at 0.75 percent on May 1, June 1, and July 31. The Monetary Policy Committee also voted unanimously to maintain the stock of sterling non-financial investment-grade corporate bond purchases and UK government bond purchases at GBP 10 billion and GBP 435 billion respectively.</w:t>
      </w: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On May 8, </w:t>
      </w:r>
      <w:r>
        <w:rPr>
          <w:rFonts w:ascii="Times New Roman" w:hAnsi="Times New Roman" w:eastAsia="仿宋_GB2312" w:cs="Times New Roman"/>
          <w:b/>
          <w:sz w:val="24"/>
          <w:szCs w:val="24"/>
        </w:rPr>
        <w:t>the Reserve Bank of New Zealand</w:t>
      </w:r>
      <w:r>
        <w:rPr>
          <w:rFonts w:ascii="Times New Roman" w:hAnsi="Times New Roman" w:eastAsia="仿宋_GB2312" w:cs="Times New Roman"/>
          <w:sz w:val="24"/>
          <w:szCs w:val="24"/>
        </w:rPr>
        <w:t xml:space="preserve"> decided to reduce the Official Cash Rate (OCR) by 25 basis points to 1.5 percent due to the subdued outlook for employment and growth, which was the first rate cut since November 2016. </w:t>
      </w: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On June 4, </w:t>
      </w:r>
      <w:r>
        <w:rPr>
          <w:rFonts w:ascii="Times New Roman" w:hAnsi="Times New Roman" w:eastAsia="仿宋_GB2312" w:cs="Times New Roman"/>
          <w:b/>
          <w:sz w:val="24"/>
          <w:szCs w:val="24"/>
        </w:rPr>
        <w:t>the Reserve Bank of Australia (RBA)</w:t>
      </w:r>
      <w:r>
        <w:rPr>
          <w:rFonts w:ascii="Times New Roman" w:hAnsi="Times New Roman" w:eastAsia="仿宋_GB2312" w:cs="Times New Roman"/>
          <w:sz w:val="24"/>
          <w:szCs w:val="24"/>
        </w:rPr>
        <w:t xml:space="preserve"> decided to lower the cash rate by 25 basis points to 1.25 percent. The board took this decision to support employment growth and provide greater confidence that inflation will be consistent with the medium-term target. This is the first rate cut in the past three years. On July 2, the RBA again cut the cash rate by 25 basis points to 1.00 percent. </w:t>
      </w: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r>
        <w:rPr>
          <w:rFonts w:ascii="Times New Roman" w:hAnsi="Times New Roman" w:eastAsia="仿宋_GB2312" w:cs="Times New Roman"/>
          <w:b/>
          <w:sz w:val="24"/>
          <w:szCs w:val="24"/>
        </w:rPr>
        <w:t xml:space="preserve">Some emerging market economies also reduced interest rates to promote economic growth or to achieve inflation targets. The Reserve Bank of India </w:t>
      </w:r>
      <w:r>
        <w:rPr>
          <w:rFonts w:ascii="Times New Roman" w:hAnsi="Times New Roman" w:eastAsia="仿宋_GB2312" w:cs="Times New Roman"/>
          <w:sz w:val="24"/>
          <w:szCs w:val="24"/>
        </w:rPr>
        <w:t>reduced the policy repo rate under the liquidity adjustment facility (LAF) on April 4, June 6, and Aug 7 respectively by 25 basis points, 25 basis points, and 35 basis points to 5.40 percent to support demand and facilitate private investment. The RBI conducted three rate cuts in 2019. The RBI also decided to change the stance of its monetary policy from neutral to accommodative, with the objective of achieving a medium-term target for consumer price index (CPI) inflation of 4 percent within a range of +/</w:t>
      </w:r>
      <w:r>
        <w:rPr>
          <w:rFonts w:ascii="Times New Roman" w:hAnsi="Times New Roman" w:cs="Times New Roman"/>
          <w:sz w:val="24"/>
          <w:szCs w:val="24"/>
        </w:rPr>
        <w:t>–</w:t>
      </w:r>
      <w:r>
        <w:rPr>
          <w:rFonts w:ascii="Times New Roman" w:hAnsi="Times New Roman" w:eastAsia="仿宋_GB2312" w:cs="Times New Roman"/>
          <w:sz w:val="24"/>
          <w:szCs w:val="24"/>
        </w:rPr>
        <w:t xml:space="preserve"> 2 percent. </w:t>
      </w: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r>
        <w:rPr>
          <w:rFonts w:ascii="Times New Roman" w:hAnsi="Times New Roman" w:eastAsia="仿宋_GB2312" w:cs="Times New Roman"/>
          <w:b/>
          <w:sz w:val="24"/>
          <w:szCs w:val="24"/>
        </w:rPr>
        <w:t>The Central Bank of the Russian Federation</w:t>
      </w:r>
      <w:r>
        <w:rPr>
          <w:rFonts w:ascii="Times New Roman" w:hAnsi="Times New Roman" w:eastAsia="仿宋_GB2312" w:cs="Times New Roman"/>
          <w:sz w:val="24"/>
          <w:szCs w:val="24"/>
        </w:rPr>
        <w:t xml:space="preserve"> lowered the key rate on June 14 and July 26</w:t>
      </w:r>
      <w:r>
        <w:rPr>
          <w:rFonts w:ascii="Times New Roman" w:hAnsi="Times New Roman" w:eastAsia="仿宋_GB2312" w:cs="Times New Roman"/>
          <w:sz w:val="24"/>
          <w:szCs w:val="24"/>
          <w:vertAlign w:val="superscript"/>
        </w:rPr>
        <w:t>,</w:t>
      </w:r>
      <w:r>
        <w:rPr>
          <w:rFonts w:ascii="Times New Roman" w:hAnsi="Times New Roman" w:eastAsia="仿宋_GB2312" w:cs="Times New Roman"/>
          <w:sz w:val="24"/>
          <w:szCs w:val="24"/>
        </w:rPr>
        <w:t xml:space="preserve"> each by 25 basis points to 7.25 percent, due to the declining inflation and lower-than-expected growth. It also admitted the possibility of further key rate cuts if the situation develops in line with the baseline forecast, before a transition to a neutral monetary policy in the first half of 2020. </w:t>
      </w: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r>
        <w:rPr>
          <w:rFonts w:ascii="Times New Roman" w:hAnsi="Times New Roman" w:eastAsia="仿宋_GB2312" w:cs="Times New Roman"/>
          <w:b/>
          <w:sz w:val="24"/>
          <w:szCs w:val="24"/>
        </w:rPr>
        <w:t xml:space="preserve">The Central Bank of Malaysia </w:t>
      </w:r>
      <w:r>
        <w:rPr>
          <w:rFonts w:ascii="Times New Roman" w:hAnsi="Times New Roman" w:eastAsia="仿宋_GB2312" w:cs="Times New Roman"/>
          <w:sz w:val="24"/>
          <w:szCs w:val="24"/>
        </w:rPr>
        <w:t xml:space="preserve">lowered the policy rate by 25 basis points to 3.00 percent on May 7. </w:t>
      </w:r>
      <w:r>
        <w:rPr>
          <w:rFonts w:ascii="Times New Roman" w:hAnsi="Times New Roman" w:eastAsia="仿宋_GB2312" w:cs="Times New Roman"/>
          <w:b/>
          <w:sz w:val="24"/>
          <w:szCs w:val="24"/>
        </w:rPr>
        <w:t xml:space="preserve">The Central Bank of Philippine </w:t>
      </w:r>
      <w:r>
        <w:rPr>
          <w:rFonts w:ascii="Times New Roman" w:hAnsi="Times New Roman" w:eastAsia="仿宋_GB2312" w:cs="Times New Roman"/>
          <w:sz w:val="24"/>
          <w:szCs w:val="24"/>
        </w:rPr>
        <w:t xml:space="preserve">(BSP) reduced the overnight reverse repurchase (RRP) facility by 25 basis points to 4.5 percent, and the interest rates on the overnight lending and deposit facilities were reduced accordingly. This was its first rate cut since June 2016. </w:t>
      </w:r>
      <w:r>
        <w:rPr>
          <w:rFonts w:ascii="Times New Roman" w:hAnsi="Times New Roman" w:eastAsia="仿宋_GB2312" w:cs="Times New Roman"/>
          <w:b/>
          <w:sz w:val="24"/>
          <w:szCs w:val="24"/>
        </w:rPr>
        <w:t>The Bank of Korea</w:t>
      </w:r>
      <w:r>
        <w:rPr>
          <w:rFonts w:ascii="Times New Roman" w:hAnsi="Times New Roman" w:eastAsia="仿宋_GB2312" w:cs="Times New Roman"/>
          <w:sz w:val="24"/>
          <w:szCs w:val="24"/>
        </w:rPr>
        <w:t xml:space="preserve"> reduced the benchmark interest rate on July 18 by 25 basis points to 1.5 percent, its first rate cut in the past three years. </w:t>
      </w:r>
      <w:r>
        <w:rPr>
          <w:rFonts w:ascii="Times New Roman" w:hAnsi="Times New Roman" w:eastAsia="仿宋_GB2312" w:cs="Times New Roman"/>
          <w:b/>
          <w:sz w:val="24"/>
          <w:szCs w:val="24"/>
        </w:rPr>
        <w:t>The South Africa Reserve Bank</w:t>
      </w:r>
      <w:r>
        <w:rPr>
          <w:rFonts w:ascii="Times New Roman" w:hAnsi="Times New Roman" w:eastAsia="仿宋_GB2312" w:cs="Times New Roman"/>
          <w:sz w:val="24"/>
          <w:szCs w:val="24"/>
        </w:rPr>
        <w:t xml:space="preserve"> lowered the repo rate on July 18 by 25 basis points to 6.5 percent. </w:t>
      </w:r>
      <w:r>
        <w:rPr>
          <w:rFonts w:ascii="Times New Roman" w:hAnsi="Times New Roman" w:eastAsia="仿宋_GB2312" w:cs="Times New Roman"/>
          <w:b/>
          <w:sz w:val="24"/>
          <w:szCs w:val="24"/>
        </w:rPr>
        <w:t>The Bank Indonesia</w:t>
      </w:r>
      <w:r>
        <w:rPr>
          <w:rFonts w:ascii="Times New Roman" w:hAnsi="Times New Roman" w:eastAsia="仿宋_GB2312" w:cs="Times New Roman"/>
          <w:sz w:val="24"/>
          <w:szCs w:val="24"/>
        </w:rPr>
        <w:t xml:space="preserve"> lowered the 7-day reverse repo rate by 25 basis points to 5.75 percent on July 18. </w:t>
      </w:r>
      <w:r>
        <w:rPr>
          <w:rFonts w:ascii="Times New Roman" w:hAnsi="Times New Roman" w:eastAsia="仿宋_GB2312" w:cs="Times New Roman"/>
          <w:b/>
          <w:sz w:val="24"/>
          <w:szCs w:val="24"/>
        </w:rPr>
        <w:t>The Central Bank of Brazil</w:t>
      </w:r>
      <w:r>
        <w:rPr>
          <w:rFonts w:ascii="Times New Roman" w:hAnsi="Times New Roman" w:eastAsia="仿宋_GB2312" w:cs="Times New Roman"/>
          <w:sz w:val="24"/>
          <w:szCs w:val="24"/>
        </w:rPr>
        <w:t xml:space="preserve"> lowered the benchmark rate by 50 basis points to 6.00 percent on July 31. </w:t>
      </w:r>
    </w:p>
    <w:p>
      <w:pPr>
        <w:rPr>
          <w:rFonts w:ascii="Times New Roman" w:hAnsi="Times New Roman" w:eastAsia="仿宋_GB2312" w:cs="Times New Roman"/>
          <w:sz w:val="24"/>
          <w:szCs w:val="24"/>
        </w:rPr>
      </w:pPr>
    </w:p>
    <w:p>
      <w:pPr>
        <w:rPr>
          <w:rFonts w:ascii="Times New Roman" w:hAnsi="Times New Roman" w:eastAsia="仿宋_GB2312" w:cs="Times New Roman"/>
          <w:b/>
          <w:sz w:val="24"/>
          <w:szCs w:val="24"/>
        </w:rPr>
      </w:pPr>
      <w:r>
        <w:rPr>
          <w:rFonts w:ascii="Times New Roman" w:hAnsi="Times New Roman" w:eastAsia="仿宋_GB2312" w:cs="Times New Roman"/>
          <w:b/>
          <w:sz w:val="24"/>
          <w:szCs w:val="24"/>
        </w:rPr>
        <w:t>4. The Global Economic Outlook and Key Challenges</w:t>
      </w:r>
    </w:p>
    <w:p>
      <w:pPr>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In its updated July 2019 </w:t>
      </w:r>
      <w:r>
        <w:rPr>
          <w:rFonts w:ascii="Times New Roman" w:hAnsi="Times New Roman" w:eastAsia="仿宋_GB2312" w:cs="Times New Roman"/>
          <w:i/>
          <w:sz w:val="24"/>
          <w:szCs w:val="24"/>
        </w:rPr>
        <w:t>World Economic Outlook</w:t>
      </w:r>
      <w:r>
        <w:rPr>
          <w:rFonts w:ascii="Times New Roman" w:hAnsi="Times New Roman" w:eastAsia="仿宋_GB2312" w:cs="Times New Roman"/>
          <w:sz w:val="24"/>
          <w:szCs w:val="24"/>
        </w:rPr>
        <w:t>, the International Monetary Fund (IMF) forecast that the global economy will grow 3.2 percent in 2019, a downward revision by 0.1 percentage point compared to its April 2019 forecast. The growth forecast for the advanced economies was revised upward by 0.1 percentage point to 1.9 percent; the forecast for the emerging market and developing economies was revised downward by 0.2 percentage point to 4.2 percent. Looking ahead, the global economy may face the following challenges.</w:t>
      </w: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r>
        <w:rPr>
          <w:rFonts w:ascii="Times New Roman" w:hAnsi="Times New Roman" w:eastAsia="仿宋_GB2312" w:cs="Times New Roman"/>
          <w:b/>
          <w:sz w:val="24"/>
          <w:szCs w:val="24"/>
        </w:rPr>
        <w:t>First, the global growth outlook is gloomy, and trade tensions and policy uncertainties will be prominent risks</w:t>
      </w:r>
      <w:r>
        <w:rPr>
          <w:rFonts w:ascii="Times New Roman" w:hAnsi="Times New Roman" w:eastAsia="仿宋_GB2312" w:cs="Times New Roman"/>
          <w:sz w:val="24"/>
          <w:szCs w:val="24"/>
        </w:rPr>
        <w:t xml:space="preserve">. The uncertainties brought about by trade tensions and disturbances in the global supply chain gradually emerged, the loss of confidence in both enterprises and households delayed the investments, lowered the consumption, and resulted in insufficient aggregate demand and relatively weak global economic growth momentum. The confidence shock from the trade tensions also exacerbated volatility in global financial markets. </w:t>
      </w: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r>
        <w:rPr>
          <w:rFonts w:ascii="Times New Roman" w:hAnsi="Times New Roman" w:eastAsia="仿宋_GB2312" w:cs="Times New Roman"/>
          <w:b/>
          <w:sz w:val="24"/>
          <w:szCs w:val="24"/>
        </w:rPr>
        <w:t>Second, the effects of the monetary-policy shift in the major advanced economies and some emerging economies on the global economy require further observation</w:t>
      </w:r>
      <w:r>
        <w:rPr>
          <w:rFonts w:ascii="Times New Roman" w:hAnsi="Times New Roman" w:eastAsia="仿宋_GB2312" w:cs="Times New Roman"/>
          <w:sz w:val="24"/>
          <w:szCs w:val="24"/>
        </w:rPr>
        <w:t xml:space="preserve">. The easing monetary policies in the advanced economies might mitigate the pressures on exchange rates and capital outflows in the emerging economies and expand their policy space. However, since the 2008 Global Financial Crisis, many economies have continuously delayed the urgent structural reforms while over relying on monetary policies. The monetary-policy shift toward further easing might fuel the possibility of sharp adjustments in the medium and long term. </w:t>
      </w: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r>
        <w:rPr>
          <w:rFonts w:ascii="Times New Roman" w:hAnsi="Times New Roman" w:eastAsia="仿宋_GB2312" w:cs="Times New Roman"/>
          <w:b/>
          <w:sz w:val="24"/>
          <w:szCs w:val="24"/>
        </w:rPr>
        <w:t>Third, the low interest-rate environment might further compress monetary-policy space</w:t>
      </w:r>
      <w:r>
        <w:rPr>
          <w:rFonts w:ascii="Times New Roman" w:hAnsi="Times New Roman" w:eastAsia="仿宋_GB2312" w:cs="Times New Roman"/>
          <w:sz w:val="24"/>
          <w:szCs w:val="24"/>
        </w:rPr>
        <w:t>. At the current juncture, the insufficient global aggregate demand and the other structural factors have resulted in low inflation and may restrain inflation expectations. Against this background, the policy rates in all major economies remain at low levels compared to their historical values. The room for monetary policy in the major economies to cope with a future recession or crisis is limited. Meanwhile, the marginal effects of unconventional monetary policies, such as an expansion of the balance sheet, might also be limited.</w:t>
      </w: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r>
        <w:rPr>
          <w:rFonts w:ascii="Times New Roman" w:hAnsi="Times New Roman" w:eastAsia="仿宋_GB2312" w:cs="Times New Roman"/>
          <w:sz w:val="24"/>
          <w:szCs w:val="24"/>
        </w:rPr>
        <w:t>In addition, geopolitical tensions have occurred in numerous places, the risk factors and uncertainties have accumulated at an accelerated pace, and climate change and other environmental factors have had an increasing impact on the global economy and financial markets. Meanwhile, risks from new technologies and cyber security should not be ignored as they may pose additional challenges to global financial supervision.</w:t>
      </w:r>
    </w:p>
    <w:p>
      <w:pPr>
        <w:rPr>
          <w:rFonts w:ascii="Times New Roman" w:hAnsi="Times New Roman" w:eastAsia="仿宋_GB2312" w:cs="Times New Roman"/>
          <w:sz w:val="24"/>
          <w:szCs w:val="24"/>
        </w:rPr>
      </w:pPr>
    </w:p>
    <w:p>
      <w:pPr>
        <w:pStyle w:val="3"/>
        <w:widowControl/>
        <w:spacing w:before="0" w:after="0"/>
        <w:ind w:firstLine="0" w:firstLineChars="0"/>
        <w:rPr>
          <w:rFonts w:ascii="Times New Roman" w:hAnsi="Times New Roman"/>
          <w:bCs w:val="0"/>
          <w:szCs w:val="24"/>
        </w:rPr>
      </w:pPr>
      <w:bookmarkStart w:id="167" w:name="_Toc17808086"/>
      <w:bookmarkStart w:id="168" w:name="_Toc17808044"/>
      <w:bookmarkStart w:id="169" w:name="_Toc3909033"/>
      <w:bookmarkStart w:id="170" w:name="_Toc17798275"/>
      <w:bookmarkStart w:id="171" w:name="_Toc17807932"/>
      <w:r>
        <w:rPr>
          <w:rFonts w:ascii="Times New Roman" w:hAnsi="Times New Roman" w:eastAsia="宋体"/>
          <w:bCs w:val="0"/>
          <w:szCs w:val="24"/>
        </w:rPr>
        <w:t>II. Macroeconomic developments in China</w:t>
      </w:r>
      <w:bookmarkEnd w:id="167"/>
      <w:bookmarkEnd w:id="168"/>
      <w:bookmarkEnd w:id="169"/>
      <w:bookmarkEnd w:id="170"/>
      <w:bookmarkEnd w:id="171"/>
    </w:p>
    <w:p>
      <w:pPr>
        <w:rPr>
          <w:rFonts w:ascii="Times New Roman" w:hAnsi="Times New Roman" w:cs="Times New Roman"/>
          <w:sz w:val="24"/>
          <w:szCs w:val="24"/>
        </w:rPr>
      </w:pPr>
      <w:r>
        <w:rPr>
          <w:rFonts w:ascii="Times New Roman" w:hAnsi="Times New Roman" w:cs="Times New Roman"/>
          <w:sz w:val="24"/>
          <w:szCs w:val="24"/>
        </w:rPr>
        <w:t>In the first half of 2019, facing complicated situations at home and abroad, the Chinese economy continued to perform within a reasonable range, maintaining generally stable development. Consumption and investment witnessed steady growth and the trade surplus expanded somewhat. Industrial production was basically stable. The value-added of the tertiary industry accounted for 54.9 percent of GDP, exceeding that of secondary industry by 15.0 percentage points, up 1.0 percentage point from the same period of the last year. The job market was generally stable and consumer prices rose moderately. Preliminary data show that the GDP in H1 registered RMB 45.1 trillion, up 6.3 percent year on year in comparable terms. The CPI increased by 2.2 percent year on year.</w:t>
      </w:r>
    </w:p>
    <w:p>
      <w:pPr>
        <w:rPr>
          <w:rFonts w:ascii="Times New Roman" w:hAnsi="Times New Roman" w:cs="Times New Roman"/>
          <w:sz w:val="24"/>
          <w:szCs w:val="24"/>
        </w:rPr>
      </w:pPr>
    </w:p>
    <w:p>
      <w:pPr>
        <w:pStyle w:val="22"/>
        <w:numPr>
          <w:ilvl w:val="0"/>
          <w:numId w:val="1"/>
        </w:numPr>
        <w:rPr>
          <w:b/>
          <w:bCs/>
          <w:kern w:val="2"/>
          <w:sz w:val="24"/>
          <w:szCs w:val="24"/>
        </w:rPr>
      </w:pPr>
      <w:r>
        <w:rPr>
          <w:b/>
          <w:bCs/>
          <w:sz w:val="24"/>
          <w:szCs w:val="24"/>
        </w:rPr>
        <w:t>Consumption and investments witnessed steady growth, and the trade surplus expanded somewhat.</w:t>
      </w:r>
    </w:p>
    <w:p>
      <w:pPr>
        <w:pStyle w:val="22"/>
        <w:rPr>
          <w:kern w:val="2"/>
          <w:sz w:val="24"/>
          <w:szCs w:val="24"/>
        </w:rPr>
      </w:pPr>
      <w:r>
        <w:rPr>
          <w:b/>
          <w:bCs/>
          <w:kern w:val="2"/>
          <w:sz w:val="24"/>
          <w:szCs w:val="24"/>
        </w:rPr>
        <w:t>Household income grew steadily, which lent strong support to consumption.</w:t>
      </w:r>
      <w:r>
        <w:rPr>
          <w:kern w:val="2"/>
          <w:sz w:val="24"/>
          <w:szCs w:val="24"/>
        </w:rPr>
        <w:t xml:space="preserve"> In H1, per capita disposable income posted RMB 15,294, up by 8.8 percent in nominal terms and 6.5 percent in real terms year on year, surpassing the economic growth. In particular, the per capita disposable income of urban residents and of rural residents totaled RMB 21,342 and RMB 7,778 respectively, year-on-year growth of 5.7 percent and 6.6 percent in real terms respectively. The per capita income of urban residents was 2.74 times that of rural residents, dipping 0.03 from the same period of 2018. According to the Q2 Urban Depositors’ Survey conducted by the PBC, resident consumption inclination edged up’ 26.4 percent of consumers were inclined to “consume more,” up by 0.5 percentage point and 1.7 percentage points from the previous quarter and the same period of 2018 respectively.</w:t>
      </w:r>
    </w:p>
    <w:p>
      <w:pPr>
        <w:pStyle w:val="22"/>
        <w:rPr>
          <w:kern w:val="2"/>
          <w:sz w:val="24"/>
          <w:szCs w:val="24"/>
        </w:rPr>
      </w:pPr>
    </w:p>
    <w:p>
      <w:pPr>
        <w:pStyle w:val="22"/>
        <w:rPr>
          <w:kern w:val="2"/>
          <w:sz w:val="24"/>
          <w:szCs w:val="24"/>
          <w:highlight w:val="yellow"/>
        </w:rPr>
      </w:pPr>
      <w:r>
        <w:rPr>
          <w:b/>
          <w:bCs/>
          <w:kern w:val="2"/>
          <w:sz w:val="24"/>
          <w:szCs w:val="24"/>
        </w:rPr>
        <w:t xml:space="preserve">Online retail growth shows strong momentum. </w:t>
      </w:r>
      <w:r>
        <w:rPr>
          <w:sz w:val="24"/>
          <w:szCs w:val="24"/>
        </w:rPr>
        <w:t>In H1, t</w:t>
      </w:r>
      <w:r>
        <w:rPr>
          <w:kern w:val="2"/>
          <w:sz w:val="24"/>
          <w:szCs w:val="24"/>
        </w:rPr>
        <w:t>otal retail sales grew 8.4 percent year on year to RMB 19.5 trillion, an acceleration of 0.1 percentage point from the first quarter. Broken down into the urban and rural areas, growth of retail sales in the rural areas exceeded retail sales in the urban areas. In H1, retail sales in the rural areas grew 9.1 percent year on year, 0.8 percentage point higher than that in the urban areas. Sales of upgraded consumer goods saw fairly rapid growth. Cosmetics above a designated size quota grew 13.2 percent year on year, and the growth rate was 4.8 percentage points faster than the total retail sales of consumer goods. Online retail growth was strong, with the total online retail sales hitting RMB 4.8 trillion in H1 and a year-on-year increase of 17.8 percent. Specifically, online retail sales of physical commodities reached RMB 3.8 trillion, up 21.6 percent year on year. This accounted for 19.6 percent of the total online retail sales of consumer goods, up by 2.2 percentage points from the same period of 2018.</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b/>
          <w:bCs/>
          <w:sz w:val="24"/>
          <w:szCs w:val="24"/>
        </w:rPr>
        <w:t xml:space="preserve">Fixed-asset investments generally witnessed steady growth. </w:t>
      </w:r>
      <w:r>
        <w:rPr>
          <w:rFonts w:ascii="Times New Roman" w:hAnsi="Times New Roman" w:cs="Times New Roman"/>
          <w:sz w:val="24"/>
          <w:szCs w:val="24"/>
        </w:rPr>
        <w:t xml:space="preserve">In H1, fixed-asset investments across the country (excluding those by rural households) reached RMB 29.9 trillion, up 5.8 percent in nominal terms year on year, an acceleration of 0.2 percentage point from the previous five months and a deceleration of 0.5 percentage point from the first quarter. The growth rate in real terms registered 5.0 percent year on year, accelerating 0.2 percentage point from the previous five months and decelerating 0.7 percentage point from the first quarter. Current investments revealed the following characteristics. First, investments in high-tech industries saw fairly fast growth. In H1, investments in the high-tech manufacturing sector grew 10.4 percent year on year, an acceleration of 4.6 percentage points from that of overall investments. Investments in the high-tech service sector increased 13.5 percent year on year, an acceleration of 7.7 percentage points from that of overall investments. Second, real-estate investments grew fairly rapidly. In H1, real-estate investments grew by 10.9 percent, decelerating 0.9 percentage point and accelerating 1.2 percentage points from the first quarter and from the same period of 2018 respectively. Third, although investments in the Northeast region declined, the decline contracted. Growth of investments in other regions was generally stable. </w:t>
      </w:r>
    </w:p>
    <w:p>
      <w:pPr>
        <w:rPr>
          <w:rFonts w:ascii="Times New Roman" w:hAnsi="Times New Roman" w:cs="Times New Roman"/>
          <w:sz w:val="24"/>
          <w:szCs w:val="24"/>
        </w:rPr>
      </w:pPr>
    </w:p>
    <w:p>
      <w:pPr>
        <w:pStyle w:val="22"/>
        <w:rPr>
          <w:sz w:val="24"/>
          <w:szCs w:val="24"/>
        </w:rPr>
      </w:pPr>
      <w:r>
        <w:rPr>
          <w:b/>
          <w:sz w:val="24"/>
          <w:szCs w:val="24"/>
        </w:rPr>
        <w:t xml:space="preserve">The share of general trade increased and the trade surplus expanded somewhat. </w:t>
      </w:r>
      <w:r>
        <w:rPr>
          <w:sz w:val="24"/>
          <w:szCs w:val="24"/>
        </w:rPr>
        <w:t xml:space="preserve">In H1, imports and exports reached RMB 14.7 trillion, up 3.9 percent year on year. Specifically, exports grew by 6.1 percent year on year to RMB 8.0 trillion, and imports rose by 1.4 percent year on year to RMB 6.7 trillion. The trade surplus expanded by 41.6 percent year on year to RMB 1.2 trillion, and the trade structure continued to improve. The share of general trade increased and accounted for 59.8 percent of total exports and imports, up 0.8 percentage point from the same period of 2018. The structure of exported goods continued to be upgraded. High-tech, high quality, and high-value-added products, such as new energy vehicles, integrated circuits, machine tools, excavators, medical equipment, and industrial robots, witnessed fast growth. The layout of the international market was optimized. Imports from and exports to countries along the Belt and Road grew by 9.7 percent, driving the growth of total imports and exports by 2.7 percentage points. Specifically, imports to and exports from the European Union increased 11.2 percent, while imports to and exports from the U.S. fell 9 percent.  </w:t>
      </w:r>
    </w:p>
    <w:p>
      <w:pPr>
        <w:pStyle w:val="22"/>
        <w:rPr>
          <w:kern w:val="2"/>
          <w:sz w:val="24"/>
          <w:szCs w:val="24"/>
        </w:rPr>
      </w:pPr>
      <w:r>
        <w:rPr>
          <w:sz w:val="24"/>
          <w:szCs w:val="24"/>
        </w:rPr>
        <w:br w:type="textWrapping"/>
      </w:r>
      <w:r>
        <w:rPr>
          <w:b/>
          <w:kern w:val="2"/>
          <w:sz w:val="24"/>
          <w:szCs w:val="24"/>
        </w:rPr>
        <w:t>Foreign direct investments (FDI) continued the trend of concentrating on the high-tech industries.</w:t>
      </w:r>
      <w:r>
        <w:rPr>
          <w:bCs/>
          <w:kern w:val="2"/>
          <w:sz w:val="24"/>
          <w:szCs w:val="24"/>
        </w:rPr>
        <w:t xml:space="preserve"> In H1, actuali</w:t>
      </w:r>
      <w:r>
        <w:rPr>
          <w:kern w:val="2"/>
          <w:sz w:val="24"/>
          <w:szCs w:val="24"/>
        </w:rPr>
        <w:t xml:space="preserve">zed FDI reached RMB 478.33 billion, a year-on-year increase of 7.2 percent. The scale of FDI attraction in China was basically stable. In terms of the industrial distribution, FDI investments accelerated to concentrate in the high-tech industries. In H1, actualized FDI in the high-tech industries rose 44.3 percent, accounting for 28.8 percent of the total.  Actualized FDI in the high-tech manufacturing industry totaled RMB 50.28 billion, up 13.4 percent year on year. Specifically, actualized FDI in the pharmaceutical manufacturing, electronics and communications equipment manufacturing industries witnessed growth of 12.8 percent and 25.0 percent respectively. Actualized FDI in the high-tech service industry totaled RMB 87.56 billion, rising 71.1 percent year on year. In particular, actualized FDI in the information services, R&amp;D design service, high-tech and commercialization service sectors surged by 68.1 percent, 77.7 percent, and 62.7 percent respectively. </w:t>
      </w:r>
    </w:p>
    <w:p>
      <w:pPr>
        <w:pStyle w:val="22"/>
        <w:rPr>
          <w:kern w:val="2"/>
          <w:sz w:val="24"/>
          <w:szCs w:val="24"/>
        </w:rPr>
      </w:pPr>
    </w:p>
    <w:p>
      <w:pPr>
        <w:pStyle w:val="22"/>
        <w:rPr>
          <w:kern w:val="2"/>
          <w:sz w:val="24"/>
          <w:szCs w:val="24"/>
        </w:rPr>
      </w:pPr>
      <w:r>
        <w:rPr>
          <w:b/>
          <w:bCs/>
          <w:kern w:val="2"/>
          <w:sz w:val="24"/>
          <w:szCs w:val="24"/>
        </w:rPr>
        <w:t>The structure of outbound direct investments continued to improve.</w:t>
      </w:r>
      <w:r>
        <w:rPr>
          <w:kern w:val="2"/>
          <w:sz w:val="24"/>
          <w:szCs w:val="24"/>
        </w:rPr>
        <w:t xml:space="preserve"> In H1, outbound direct investments (excluding financial direct investments) reached USD 346.8 billion, up 0.1 percent year on year. Specifically, new outbound investments in countries along the Belt and Road posted USD 6.8 billion, accounting for 12.6 percent of the total outbound investments and 0.2 percentage point higher than that during the same period of 2018. In H1, outbound investments mainly focused on leasing/commercial services, manufacturing, the wholesale/retail industries, the mining industry and the communications/software/IT services, accounting for 30.3 percent, 18.0 percent, 9.5 percent, 8.4 percent, and 8.1 percent of the total. In particular, outbound investments in manufacturing and communications/software/IT services witnessed growth of 7.3 percent and 31.7 percent respectively. There were no new outbound investments in the overseas real estate, sports, or entertainment industries.</w:t>
      </w:r>
    </w:p>
    <w:p>
      <w:pPr>
        <w:pStyle w:val="22"/>
        <w:rPr>
          <w:kern w:val="2"/>
          <w:sz w:val="24"/>
          <w:szCs w:val="24"/>
        </w:rPr>
      </w:pPr>
    </w:p>
    <w:p>
      <w:pPr>
        <w:pStyle w:val="28"/>
        <w:numPr>
          <w:ilvl w:val="0"/>
          <w:numId w:val="1"/>
        </w:numPr>
        <w:ind w:firstLineChars="0"/>
        <w:rPr>
          <w:rFonts w:ascii="Times New Roman" w:hAnsi="Times New Roman" w:cs="Times New Roman"/>
          <w:b/>
          <w:sz w:val="24"/>
          <w:szCs w:val="24"/>
        </w:rPr>
      </w:pPr>
      <w:r>
        <w:rPr>
          <w:rFonts w:ascii="Times New Roman" w:hAnsi="Times New Roman" w:cs="Times New Roman"/>
          <w:b/>
          <w:sz w:val="24"/>
          <w:szCs w:val="24"/>
        </w:rPr>
        <w:t>Agricultural production improved, while industrial production remained generally stable</w:t>
      </w:r>
    </w:p>
    <w:p>
      <w:pPr>
        <w:pStyle w:val="28"/>
        <w:ind w:left="360" w:firstLine="0" w:firstLineChars="0"/>
        <w:rPr>
          <w:rFonts w:ascii="Times New Roman" w:hAnsi="Times New Roman" w:cs="Times New Roman"/>
          <w:b/>
          <w:sz w:val="24"/>
          <w:szCs w:val="24"/>
        </w:rPr>
      </w:pPr>
    </w:p>
    <w:p>
      <w:pPr>
        <w:rPr>
          <w:rFonts w:ascii="Times New Roman" w:hAnsi="Times New Roman" w:cs="Times New Roman"/>
          <w:sz w:val="24"/>
          <w:szCs w:val="24"/>
        </w:rPr>
      </w:pPr>
      <w:r>
        <w:rPr>
          <w:rFonts w:ascii="Times New Roman" w:hAnsi="Times New Roman" w:cs="Times New Roman"/>
          <w:b/>
          <w:bCs/>
          <w:sz w:val="24"/>
          <w:szCs w:val="24"/>
        </w:rPr>
        <w:t>The value-added growth of tertiary industry exceeded that of secondary industry while the shares of tertiary industry continued to rise.</w:t>
      </w:r>
      <w:r>
        <w:rPr>
          <w:rFonts w:ascii="Times New Roman" w:hAnsi="Times New Roman" w:cs="Times New Roman"/>
          <w:sz w:val="24"/>
          <w:szCs w:val="24"/>
        </w:rPr>
        <w:t xml:space="preserve"> In the first half of 2019, the value-added of the primary, secondary, and tertiary industries registered RMB 2.3 trillion, RMB 18 trillion, and RMB 24.8 trillion, up 3.0 percent, 5.8 percent, and 7.0 percent year on year, and accounting for 5.1 percent, 39.9 percent, and 54.9 percent of GDP respectively. The share of the tertiary industry exceeded that of the secondary industry by 15.0 percentage points, up 1.0 percentage point from the same period of the previous year.</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b/>
          <w:sz w:val="24"/>
          <w:szCs w:val="24"/>
        </w:rPr>
        <w:t xml:space="preserve">Agricultural production improved. </w:t>
      </w:r>
      <w:r>
        <w:rPr>
          <w:rFonts w:ascii="Times New Roman" w:hAnsi="Times New Roman" w:cs="Times New Roman"/>
          <w:sz w:val="24"/>
          <w:szCs w:val="24"/>
        </w:rPr>
        <w:t>Total output of summer crops reached 141.74 million tons and hit an all-time high, up 2.93 million tons from the previous year, with a growth rate of 2.1 percent. The agricultural planting structure continued to improve, with an increase in the planting areas of cotton and soybeans. During the first half of the year, the output of pork, beef, mutton, and poultry was 39.11 million tons, a decrease of 2.1 percent. Of this, the output of beef, mutton, and poultry increased by 2.4 percent, 1.5 percent, and 5.6 percent year on year, while the output of pork declined by 5.5 percent.</w:t>
      </w:r>
    </w:p>
    <w:p>
      <w:pPr>
        <w:rPr>
          <w:rFonts w:ascii="Times New Roman" w:hAnsi="Times New Roman" w:cs="Times New Roman"/>
          <w:sz w:val="24"/>
          <w:szCs w:val="24"/>
        </w:rPr>
      </w:pPr>
    </w:p>
    <w:p>
      <w:pPr>
        <w:pStyle w:val="22"/>
        <w:rPr>
          <w:kern w:val="2"/>
          <w:sz w:val="24"/>
          <w:szCs w:val="24"/>
        </w:rPr>
      </w:pPr>
      <w:r>
        <w:rPr>
          <w:b/>
          <w:sz w:val="24"/>
          <w:szCs w:val="24"/>
        </w:rPr>
        <w:t xml:space="preserve">Industrial production was generally stable. </w:t>
      </w:r>
      <w:r>
        <w:rPr>
          <w:sz w:val="24"/>
          <w:szCs w:val="24"/>
        </w:rPr>
        <w:t xml:space="preserve">In the first half of 2019, </w:t>
      </w:r>
      <w:r>
        <w:rPr>
          <w:kern w:val="2"/>
          <w:sz w:val="24"/>
          <w:szCs w:val="24"/>
        </w:rPr>
        <w:t>the value-added of statistically large industria</w:t>
      </w:r>
      <w:r>
        <w:rPr>
          <w:sz w:val="24"/>
          <w:szCs w:val="24"/>
        </w:rPr>
        <w:t>l firms (SLIFs) increased by 6.0</w:t>
      </w:r>
      <w:r>
        <w:rPr>
          <w:kern w:val="2"/>
          <w:sz w:val="24"/>
          <w:szCs w:val="24"/>
        </w:rPr>
        <w:t xml:space="preserve"> percent year on year, a</w:t>
      </w:r>
      <w:r>
        <w:rPr>
          <w:sz w:val="24"/>
          <w:szCs w:val="24"/>
        </w:rPr>
        <w:t xml:space="preserve"> deceleration</w:t>
      </w:r>
      <w:r>
        <w:rPr>
          <w:kern w:val="2"/>
          <w:sz w:val="24"/>
          <w:szCs w:val="24"/>
        </w:rPr>
        <w:t xml:space="preserve"> of 0.</w:t>
      </w:r>
      <w:r>
        <w:rPr>
          <w:sz w:val="24"/>
          <w:szCs w:val="24"/>
        </w:rPr>
        <w:t>5</w:t>
      </w:r>
      <w:r>
        <w:rPr>
          <w:kern w:val="2"/>
          <w:sz w:val="24"/>
          <w:szCs w:val="24"/>
        </w:rPr>
        <w:t xml:space="preserve"> percentage point from the previous quarter.</w:t>
      </w:r>
      <w:r>
        <w:rPr>
          <w:sz w:val="24"/>
          <w:szCs w:val="24"/>
        </w:rPr>
        <w:t xml:space="preserve"> In terms of the three main categories, the value-added of the mining industry, manufacturing industry, and the production and supply of electricity/thermal/gas/water rose by 3.5 percent, 6.4 percent, and 7.3 percent year on year respectively. The manufacturing industry accelerated its pace in moving toward the mid-high end of the market. During the first half of 2019, t</w:t>
      </w:r>
      <w:r>
        <w:rPr>
          <w:kern w:val="2"/>
          <w:sz w:val="24"/>
          <w:szCs w:val="24"/>
        </w:rPr>
        <w:t xml:space="preserve">he value-added of the emerging strategic </w:t>
      </w:r>
      <w:r>
        <w:rPr>
          <w:sz w:val="24"/>
          <w:szCs w:val="24"/>
        </w:rPr>
        <w:t xml:space="preserve">manufacturing </w:t>
      </w:r>
      <w:r>
        <w:rPr>
          <w:kern w:val="2"/>
          <w:sz w:val="24"/>
          <w:szCs w:val="24"/>
        </w:rPr>
        <w:t>industries</w:t>
      </w:r>
      <w:r>
        <w:rPr>
          <w:sz w:val="24"/>
          <w:szCs w:val="24"/>
        </w:rPr>
        <w:t xml:space="preserve"> and the high-tech industries</w:t>
      </w:r>
      <w:r>
        <w:rPr>
          <w:kern w:val="2"/>
          <w:sz w:val="24"/>
          <w:szCs w:val="24"/>
        </w:rPr>
        <w:t xml:space="preserve"> expanded by 7.</w:t>
      </w:r>
      <w:r>
        <w:rPr>
          <w:sz w:val="24"/>
          <w:szCs w:val="24"/>
        </w:rPr>
        <w:t>7</w:t>
      </w:r>
      <w:r>
        <w:rPr>
          <w:kern w:val="2"/>
          <w:sz w:val="24"/>
          <w:szCs w:val="24"/>
        </w:rPr>
        <w:t xml:space="preserve"> percent and </w:t>
      </w:r>
      <w:r>
        <w:rPr>
          <w:sz w:val="24"/>
          <w:szCs w:val="24"/>
        </w:rPr>
        <w:t>9</w:t>
      </w:r>
      <w:r>
        <w:rPr>
          <w:kern w:val="2"/>
          <w:sz w:val="24"/>
          <w:szCs w:val="24"/>
        </w:rPr>
        <w:t>.</w:t>
      </w:r>
      <w:r>
        <w:rPr>
          <w:sz w:val="24"/>
          <w:szCs w:val="24"/>
        </w:rPr>
        <w:t>0</w:t>
      </w:r>
      <w:r>
        <w:rPr>
          <w:kern w:val="2"/>
          <w:sz w:val="24"/>
          <w:szCs w:val="24"/>
        </w:rPr>
        <w:t xml:space="preserve"> </w:t>
      </w:r>
      <w:r>
        <w:rPr>
          <w:sz w:val="24"/>
          <w:szCs w:val="24"/>
        </w:rPr>
        <w:t xml:space="preserve">percent respectively, </w:t>
      </w:r>
      <w:r>
        <w:rPr>
          <w:kern w:val="2"/>
          <w:sz w:val="24"/>
          <w:szCs w:val="24"/>
        </w:rPr>
        <w:t>1.</w:t>
      </w:r>
      <w:r>
        <w:rPr>
          <w:sz w:val="24"/>
          <w:szCs w:val="24"/>
        </w:rPr>
        <w:t>7</w:t>
      </w:r>
      <w:r>
        <w:rPr>
          <w:kern w:val="2"/>
          <w:sz w:val="24"/>
          <w:szCs w:val="24"/>
        </w:rPr>
        <w:t xml:space="preserve"> percentage points and </w:t>
      </w:r>
      <w:r>
        <w:rPr>
          <w:sz w:val="24"/>
          <w:szCs w:val="24"/>
        </w:rPr>
        <w:t>3.0</w:t>
      </w:r>
      <w:r>
        <w:rPr>
          <w:kern w:val="2"/>
          <w:sz w:val="24"/>
          <w:szCs w:val="24"/>
        </w:rPr>
        <w:t xml:space="preserve"> percentage point</w:t>
      </w:r>
      <w:r>
        <w:rPr>
          <w:sz w:val="24"/>
          <w:szCs w:val="24"/>
        </w:rPr>
        <w:t>s</w:t>
      </w:r>
      <w:r>
        <w:rPr>
          <w:kern w:val="2"/>
          <w:sz w:val="24"/>
          <w:szCs w:val="24"/>
        </w:rPr>
        <w:t xml:space="preserve"> higher than that of the SLIFs; they </w:t>
      </w:r>
      <w:r>
        <w:rPr>
          <w:sz w:val="24"/>
          <w:szCs w:val="24"/>
        </w:rPr>
        <w:t xml:space="preserve">accounted for 13.8 percent of the SLIFs, up 0.8 percentage point from the same period of the last year. The output of new energy vehicles and solar cells increased 34.6 percent and 20.1 percent respectively. Meanwhile, the SLIFs realized a total profit of RMB 2.98 trillion, down 2.4 percentage points from the same period of the last year and dipping 0.1 percentage point further from that in the first five months of the year. The profit margin was 5.86 percent, up by 0.14 percentage point from the first five months of the year. </w:t>
      </w:r>
      <w:r>
        <w:rPr>
          <w:kern w:val="2"/>
          <w:sz w:val="24"/>
          <w:szCs w:val="24"/>
        </w:rPr>
        <w:t xml:space="preserve">The Q2 </w:t>
      </w:r>
      <w:r>
        <w:rPr>
          <w:i/>
          <w:iCs/>
          <w:kern w:val="2"/>
          <w:sz w:val="24"/>
          <w:szCs w:val="24"/>
        </w:rPr>
        <w:t xml:space="preserve">Enterprise Survey </w:t>
      </w:r>
      <w:r>
        <w:rPr>
          <w:i/>
          <w:kern w:val="2"/>
          <w:sz w:val="24"/>
          <w:szCs w:val="24"/>
        </w:rPr>
        <w:t>of 5,000 Enterprises</w:t>
      </w:r>
      <w:r>
        <w:rPr>
          <w:kern w:val="2"/>
          <w:sz w:val="24"/>
          <w:szCs w:val="24"/>
        </w:rPr>
        <w:t xml:space="preserve"> conducted by the PBC revealed that the Enterprise Confidence Index was 55.0 percent, 0.2 percentage point higher than that in the previous quarter. The Enterprise Profitability Index was 56.6 percent, higher than in the previous quarter by 4.3 percentage points. The Domestic Order Index and the Export Order Index were 48.8 percent and 46.3 percent respectively, up by 4.6 percentage points and 3.4 percentage points from the previous quarter.</w:t>
      </w:r>
    </w:p>
    <w:p>
      <w:pPr>
        <w:pStyle w:val="22"/>
        <w:rPr>
          <w:kern w:val="2"/>
          <w:sz w:val="24"/>
          <w:szCs w:val="24"/>
        </w:rPr>
      </w:pPr>
    </w:p>
    <w:p>
      <w:pPr>
        <w:pStyle w:val="22"/>
        <w:rPr>
          <w:b/>
          <w:bCs/>
          <w:sz w:val="24"/>
          <w:szCs w:val="24"/>
        </w:rPr>
      </w:pPr>
      <w:r>
        <w:rPr>
          <w:kern w:val="2"/>
          <w:sz w:val="24"/>
          <w:szCs w:val="24"/>
        </w:rPr>
        <w:t xml:space="preserve">3. </w:t>
      </w:r>
      <w:r>
        <w:rPr>
          <w:b/>
          <w:bCs/>
          <w:kern w:val="2"/>
          <w:sz w:val="24"/>
          <w:szCs w:val="24"/>
        </w:rPr>
        <w:t>G</w:t>
      </w:r>
      <w:r>
        <w:rPr>
          <w:b/>
          <w:bCs/>
          <w:sz w:val="24"/>
          <w:szCs w:val="24"/>
        </w:rPr>
        <w:t>rowth of consumer prices and producer prices rose</w:t>
      </w:r>
    </w:p>
    <w:p>
      <w:pPr>
        <w:pStyle w:val="22"/>
        <w:rPr>
          <w:kern w:val="2"/>
          <w:sz w:val="24"/>
          <w:szCs w:val="24"/>
        </w:rPr>
      </w:pPr>
      <w:r>
        <w:rPr>
          <w:b/>
          <w:kern w:val="2"/>
          <w:sz w:val="24"/>
          <w:szCs w:val="24"/>
        </w:rPr>
        <w:t>Growth of the GDP deflator increased</w:t>
      </w:r>
      <w:r>
        <w:rPr>
          <w:kern w:val="2"/>
          <w:sz w:val="24"/>
          <w:szCs w:val="24"/>
        </w:rPr>
        <w:t>. In the second quarter, the GDP deflator (the ratio of GDP at current prices to GDP at constant prices) rose 2.0 percent year on year, an acceleration of 0.6 percentage point from the previous quarter.</w:t>
      </w:r>
    </w:p>
    <w:p>
      <w:pPr>
        <w:pStyle w:val="22"/>
        <w:rPr>
          <w:kern w:val="2"/>
          <w:sz w:val="24"/>
          <w:szCs w:val="24"/>
        </w:rPr>
      </w:pPr>
    </w:p>
    <w:p>
      <w:pPr>
        <w:pStyle w:val="22"/>
        <w:rPr>
          <w:sz w:val="24"/>
          <w:szCs w:val="24"/>
        </w:rPr>
      </w:pPr>
      <w:r>
        <w:rPr>
          <w:b/>
          <w:kern w:val="2"/>
          <w:sz w:val="24"/>
          <w:szCs w:val="24"/>
        </w:rPr>
        <w:t xml:space="preserve">The increase in food prices was the main reason behind the moderate rise in consumer prices. </w:t>
      </w:r>
      <w:r>
        <w:rPr>
          <w:kern w:val="2"/>
          <w:sz w:val="24"/>
          <w:szCs w:val="24"/>
        </w:rPr>
        <w:t>During the second quarter, the CPI rose by 2.6 percent year on year, an acceleration of 0.8 percentage point from the previous quarter. Monthly CPI growth registered 2.5 percent, 2.7 percent, and 2.7 percent respectively. The relative shortage of fruit and pork led to a surge in food prices, up by 7.4 percent in the second quarter, an acceleration of 5.2 percentage points from the previous quarter. Growth of non-food prices declined. Non-food prices went up by 1.6 percent year on year, a deceleration of 0.1 percentage point from the previous quarter. The p</w:t>
      </w:r>
      <w:r>
        <w:rPr>
          <w:sz w:val="24"/>
          <w:szCs w:val="24"/>
        </w:rPr>
        <w:t>rice of consumer goods rose more rapidly, while the price of services rose more slowly. The price of consumer goods was up by 3.1 percent, 1.5 percentage points higher than that in the previous quarter. The price of services was up by 1.9 percent, 0.3 percentage point lower than that in the previous quarter.</w:t>
      </w:r>
    </w:p>
    <w:p>
      <w:pPr>
        <w:pStyle w:val="22"/>
        <w:rPr>
          <w:b/>
          <w:kern w:val="2"/>
          <w:sz w:val="24"/>
          <w:szCs w:val="24"/>
        </w:rPr>
      </w:pPr>
    </w:p>
    <w:p>
      <w:pPr>
        <w:pStyle w:val="22"/>
        <w:rPr>
          <w:kern w:val="2"/>
          <w:sz w:val="24"/>
          <w:szCs w:val="24"/>
        </w:rPr>
      </w:pPr>
      <w:r>
        <w:rPr>
          <w:b/>
          <w:kern w:val="2"/>
          <w:sz w:val="24"/>
          <w:szCs w:val="24"/>
        </w:rPr>
        <w:t xml:space="preserve">The rise in the prices of capital goods slightly drove up the PPI of capital goods.  </w:t>
      </w:r>
      <w:r>
        <w:rPr>
          <w:bCs/>
          <w:kern w:val="2"/>
          <w:sz w:val="24"/>
          <w:szCs w:val="24"/>
        </w:rPr>
        <w:t xml:space="preserve">The </w:t>
      </w:r>
      <w:r>
        <w:rPr>
          <w:kern w:val="2"/>
          <w:sz w:val="24"/>
          <w:szCs w:val="24"/>
        </w:rPr>
        <w:t>PPI in the second quarter edged up by 0.5 percent year on year, up 0.3 percentage point from the previous quarter. Specifically, monthly PPI growth declined gradually, at 0.9 percent, 0.6 percent, and 0.0 percent respectively. Among this, the PPI growth of consumer goods rose stably, while the PPI growth of capital goods fluctuated</w:t>
      </w:r>
      <w:r>
        <w:rPr>
          <w:rFonts w:eastAsiaTheme="minorEastAsia"/>
          <w:kern w:val="2"/>
          <w:sz w:val="24"/>
          <w:szCs w:val="24"/>
        </w:rPr>
        <w:t>. The PPI growth of consumer prices and capital goods increased</w:t>
      </w:r>
      <w:r>
        <w:rPr>
          <w:kern w:val="2"/>
          <w:sz w:val="24"/>
          <w:szCs w:val="24"/>
        </w:rPr>
        <w:t xml:space="preserve"> 0.9 percent and 0.4 percent year on year respectively, each with an acceleration of 0.4 percentage point from the previous quarter. The latter registered monthly growth of 0.9 percent, 0.6 percent, and </w:t>
      </w:r>
      <w:r>
        <w:rPr>
          <w:b/>
          <w:sz w:val="24"/>
          <w:szCs w:val="24"/>
        </w:rPr>
        <w:t>–</w:t>
      </w:r>
      <w:r>
        <w:rPr>
          <w:kern w:val="2"/>
          <w:sz w:val="24"/>
          <w:szCs w:val="24"/>
        </w:rPr>
        <w:t>0.3 percent in Q2. The Purchasing Price Index for Industrial Products (PPIRM)</w:t>
      </w:r>
      <w:r>
        <w:rPr>
          <w:rFonts w:eastAsiaTheme="minorEastAsia"/>
          <w:kern w:val="2"/>
          <w:sz w:val="24"/>
          <w:szCs w:val="24"/>
        </w:rPr>
        <w:t xml:space="preserve"> </w:t>
      </w:r>
      <w:r>
        <w:rPr>
          <w:kern w:val="2"/>
          <w:sz w:val="24"/>
          <w:szCs w:val="24"/>
        </w:rPr>
        <w:t>edged up by 0.1 percent year on year, the same as that in the previous quarter. The PPI growth of agricultural goods rose 9.1 percent year on year, up by 10.8 percentage points from the previous quarter. The Corporate Goods Price Index (CGPI) rose by 0.2 percent year on year, an acceleration of 0.3 percentage point. Commodity prices recovered more rapidly, up 6.2 percent year on year. Investment product prices fell by 0.6 percent, while consumer goods prices increased by 2.9 percent.</w:t>
      </w:r>
    </w:p>
    <w:p>
      <w:pPr>
        <w:pStyle w:val="22"/>
        <w:rPr>
          <w:kern w:val="2"/>
          <w:sz w:val="24"/>
          <w:szCs w:val="24"/>
        </w:rPr>
      </w:pPr>
    </w:p>
    <w:p>
      <w:pPr>
        <w:rPr>
          <w:rFonts w:ascii="Times New Roman" w:hAnsi="Times New Roman" w:cs="Times New Roman"/>
          <w:b/>
          <w:bCs/>
          <w:sz w:val="24"/>
          <w:szCs w:val="24"/>
        </w:rPr>
      </w:pPr>
      <w:r>
        <w:rPr>
          <w:rFonts w:ascii="Times New Roman" w:hAnsi="Times New Roman" w:cs="Times New Roman"/>
          <w:b/>
          <w:bCs/>
          <w:sz w:val="24"/>
          <w:szCs w:val="24"/>
        </w:rPr>
        <w:t>4 Growth of fiscal expenditures was fairly rapid and the job market remained generally stable</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In H1, general-budget fiscal revenue totaled RMB 10.8 trillion, up 3.4 percent year on year and registering a deceleration of 7.2 percentage points from the same period of 2018. General-budget fiscal expenditures reached RMB 12.4 trillion in H1, increasing 10.7 percent year on year and representing an acceleration of 2.9 percentage points from the same period of 2018. Thus fiscal expenditures exceeded fiscal revenue by RMB 1.6 trillion and the fiscal deficit expanded by RMB 843.1 billion from the same period of 2018.</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b/>
          <w:bCs/>
          <w:sz w:val="24"/>
          <w:szCs w:val="24"/>
        </w:rPr>
        <w:t xml:space="preserve">Growth of tax revenue slowed down, while non-tax revenue grew fairly rapidly. </w:t>
      </w:r>
      <w:r>
        <w:rPr>
          <w:rFonts w:ascii="Times New Roman" w:hAnsi="Times New Roman" w:cs="Times New Roman"/>
          <w:sz w:val="24"/>
          <w:szCs w:val="24"/>
        </w:rPr>
        <w:t xml:space="preserve"> In H1, tax revenue totaled RMB 9.2 trillion, up 0.9 percent year on year and registering a deceleration of 13.5 percentage points from the same period of 2018. Non-tax revenue reached RMB 1.5422 trillion, up by 21.4 percent year on year. In particular, the domestic value-added tax and the domestic consumption tax went up by 5.9 percent and 23.3 percent respectively year on year. The corporate income tax saw a year-on-year increase of 5.3 percent, while the personal income tax dropped 30.6 percent year on year. Both the value-added tax and the consumption tax on imported goods declined 2.7 percent year on year. In terms of structure, expenditures on transport, energy-savings/environmental protection, and science/technology grew rapidly, up by 22.3 percent, 19.7 percent, and 17.3 percent respectively year on year.</w:t>
      </w:r>
    </w:p>
    <w:p>
      <w:pPr>
        <w:widowControl/>
        <w:jc w:val="left"/>
        <w:rPr>
          <w:rFonts w:ascii="Times New Roman" w:hAnsi="Times New Roman" w:eastAsia="Times New Roman" w:cs="Times New Roman"/>
          <w:b/>
          <w:bCs/>
          <w:sz w:val="24"/>
          <w:szCs w:val="32"/>
          <w:highlight w:val="green"/>
        </w:rPr>
      </w:pPr>
      <w:bookmarkStart w:id="172" w:name="_Toc17808087"/>
    </w:p>
    <w:p>
      <w:pPr>
        <w:pStyle w:val="4"/>
        <w:shd w:val="clear" w:fill="92D050"/>
        <w:rPr>
          <w:highlight w:val="none"/>
        </w:rPr>
      </w:pPr>
      <w:r>
        <w:rPr>
          <w:highlight w:val="none"/>
        </w:rPr>
        <w:t>Box 4: Global economic growth is weak and is facing downside risks</w:t>
      </w:r>
      <w:bookmarkEnd w:id="172"/>
    </w:p>
    <w:p>
      <w:pPr>
        <w:shd w:val="clear" w:fill="92D050"/>
        <w:jc w:val="center"/>
        <w:rPr>
          <w:rFonts w:ascii="Times New Roman" w:hAnsi="Times New Roman" w:cs="Times New Roman"/>
          <w:sz w:val="24"/>
          <w:szCs w:val="24"/>
          <w:highlight w:val="none"/>
        </w:rPr>
      </w:pPr>
    </w:p>
    <w:p>
      <w:pPr>
        <w:shd w:val="clear" w:fill="92D050"/>
        <w:rPr>
          <w:rFonts w:ascii="Times New Roman" w:hAnsi="Times New Roman" w:cs="Times New Roman"/>
          <w:sz w:val="24"/>
          <w:szCs w:val="24"/>
          <w:highlight w:val="none"/>
        </w:rPr>
      </w:pPr>
      <w:r>
        <w:rPr>
          <w:rFonts w:ascii="Times New Roman" w:hAnsi="Times New Roman" w:cs="Times New Roman"/>
          <w:sz w:val="24"/>
          <w:szCs w:val="24"/>
          <w:highlight w:val="none"/>
        </w:rPr>
        <w:t>Recently, multiple indicators show that global economic growth is weak. The global growth forecast has been revised downward three times from an estimated 3.7 percent at the beginning of 2019 to 3.2 percent, 0.4 percentage point lower than the growth of 3.6 percent in 2018, and dropping for the second consecutive year. The JPMorgan Global Manufacturing PMI, a leading macroeconomic indicator, has stayed below 50 for two consecutive months, at 49.4 in June of 2019 and decreasing continuously from 53.5 in April of 2018. The OECD Composite Leading Indicators (CLI) has been going downward since December of 2017, currently at the lowest level since 2010. The OECD Industrial Production Index (IPI) has remained at about 105 since 2017 (100 in year 2015).</w:t>
      </w:r>
    </w:p>
    <w:p>
      <w:pPr>
        <w:shd w:val="clear" w:fill="92D050"/>
        <w:rPr>
          <w:rFonts w:ascii="Times New Roman" w:hAnsi="Times New Roman" w:cs="Times New Roman"/>
          <w:sz w:val="24"/>
          <w:szCs w:val="24"/>
          <w:highlight w:val="none"/>
        </w:rPr>
      </w:pPr>
    </w:p>
    <w:p>
      <w:pPr>
        <w:shd w:val="clear" w:fill="92D050"/>
        <w:rPr>
          <w:rFonts w:ascii="Times New Roman" w:hAnsi="Times New Roman" w:cs="Times New Roman"/>
          <w:sz w:val="24"/>
          <w:szCs w:val="24"/>
          <w:highlight w:val="none"/>
        </w:rPr>
      </w:pPr>
      <w:r>
        <w:rPr>
          <w:rFonts w:ascii="Times New Roman" w:hAnsi="Times New Roman" w:cs="Times New Roman"/>
          <w:sz w:val="24"/>
          <w:szCs w:val="24"/>
          <w:highlight w:val="none"/>
        </w:rPr>
        <w:t xml:space="preserve">The growth of the major economies is rather weak. The U.S. economy increased rapidly in 2018 due to the tax reduction. However, the growth momentum has softened since the beginning of 2019. The year-on-year growth of the US IPI has been declining since October 2018, currently standing at around 1 percent. The manufacturing PMI dropped from 56.6 in January to 51.7 in June. In addition,, the treasury yield curve was inverted several times since March 2019 as investors have been gloomy about future growth. </w:t>
      </w:r>
    </w:p>
    <w:p>
      <w:pPr>
        <w:shd w:val="clear" w:fill="92D050"/>
        <w:rPr>
          <w:rFonts w:ascii="Times New Roman" w:hAnsi="Times New Roman" w:cs="Times New Roman"/>
          <w:sz w:val="24"/>
          <w:szCs w:val="24"/>
          <w:highlight w:val="none"/>
        </w:rPr>
      </w:pPr>
    </w:p>
    <w:p>
      <w:pPr>
        <w:shd w:val="clear" w:fill="92D050"/>
        <w:rPr>
          <w:rFonts w:ascii="Times New Roman" w:hAnsi="Times New Roman" w:cs="Times New Roman"/>
          <w:sz w:val="24"/>
          <w:szCs w:val="24"/>
          <w:highlight w:val="none"/>
        </w:rPr>
      </w:pPr>
      <w:r>
        <w:rPr>
          <w:rFonts w:ascii="Times New Roman" w:hAnsi="Times New Roman" w:cs="Times New Roman"/>
          <w:sz w:val="24"/>
          <w:szCs w:val="24"/>
          <w:highlight w:val="none"/>
        </w:rPr>
        <w:t>The growth of the euro zone decreased for three consecutive quarters; the year-on-year growth rate was only 1 percent in Q1 of 2019. In Germany, the IPI and Manufacturing Order Index (MOI) have been in a negative field since November of 2018; the Economic Sentiment Index (ESI) has decreased consecutively since mid-2018; and economic growth might slow down even further. In Japan, economic growth has not exceeded 1 percent for three consecutive quarters; IPI growth has been negative for four consecutive months since February 2019; the manufacturing PMI has been declining since the beginning of 2019 and it has been under 50 for three consecutive months. The emerging economies have also been growing weakly: South Africa’s economy is growing at about 1 percent year on year; the growth of the Indian economy fell from 8.9 percent in the first quarter of 2018 to 5.8 percent in the first quarter of this year; Turkey and Argentine both registered negative growth. Brazil’s growth improved from negative in 2015–16 to about 1 percent year on year this year.</w:t>
      </w:r>
    </w:p>
    <w:p>
      <w:pPr>
        <w:shd w:val="clear" w:fill="92D050"/>
        <w:rPr>
          <w:rFonts w:ascii="Times New Roman" w:hAnsi="Times New Roman" w:cs="Times New Roman"/>
          <w:sz w:val="24"/>
          <w:szCs w:val="24"/>
          <w:highlight w:val="none"/>
        </w:rPr>
      </w:pPr>
    </w:p>
    <w:p>
      <w:pPr>
        <w:shd w:val="clear" w:fill="92D050"/>
        <w:rPr>
          <w:rFonts w:ascii="Times New Roman" w:hAnsi="Times New Roman" w:cs="Times New Roman"/>
          <w:sz w:val="24"/>
          <w:szCs w:val="24"/>
          <w:highlight w:val="none"/>
        </w:rPr>
      </w:pPr>
      <w:r>
        <w:rPr>
          <w:rFonts w:ascii="Times New Roman" w:hAnsi="Times New Roman" w:cs="Times New Roman"/>
          <w:sz w:val="24"/>
          <w:szCs w:val="24"/>
          <w:highlight w:val="none"/>
        </w:rPr>
        <w:t>In the short run, the global economy has many uncertainties and may face downside risks. First, geopolitical risks in some parts of the world may intensify. Geopolitical trends in hot spots might have a significant impact on global energy supplies and market risk appetites. Second, there is greater uncertainty in Brexit prospects. The market currently believes that the risk of a hard Brexit is rising, which is expected to affect both the European and the global economy. Third, trade frictions are influencing the confidence of global investors. The authority of multilateral trade mechanisms such as the WTO has been challenged. Increasing trade frictions among the major economies have not been contained. These factors will further reduce global trade and economic growth. Fourth, investors are concerned about the soundness of the European banking system. In some countries, the fiscal crisis and the banking crisis may transform each other, thus adding to the worries of investors. The negative interest-rate environment is also affecting the profitability of European banks.</w:t>
      </w:r>
    </w:p>
    <w:p>
      <w:pPr>
        <w:shd w:val="clear" w:fill="92D050"/>
        <w:rPr>
          <w:rFonts w:ascii="Times New Roman" w:hAnsi="Times New Roman" w:cs="Times New Roman"/>
          <w:sz w:val="24"/>
          <w:szCs w:val="24"/>
          <w:highlight w:val="none"/>
        </w:rPr>
      </w:pPr>
    </w:p>
    <w:p>
      <w:pPr>
        <w:shd w:val="clear" w:fill="92D050"/>
        <w:rPr>
          <w:rFonts w:ascii="Times New Roman" w:hAnsi="Times New Roman" w:cs="Times New Roman"/>
          <w:sz w:val="24"/>
          <w:szCs w:val="24"/>
          <w:highlight w:val="none"/>
        </w:rPr>
      </w:pPr>
      <w:r>
        <w:rPr>
          <w:rFonts w:ascii="Times New Roman" w:hAnsi="Times New Roman" w:cs="Times New Roman"/>
          <w:sz w:val="24"/>
          <w:szCs w:val="24"/>
          <w:highlight w:val="none"/>
        </w:rPr>
        <w:t>In the medium and long run, there is no bright spot in terms of global economic growth: structural problems continue to linger; the mid to low economic growth may last for a long period. After the 2008 Financial Crisis, the stimulus policies in many countries promoted a long-term recovery of the global economy. As the policy effects fade, the global economy will face certain downward pressures. First, growth of global productivity is weak. The driving force for economic growth of the traditional industries has declined. However, although new potential growth engines, such as artificial intelligence, life sciences, and information technology, are developing rapidly, their driving effect on the global economy is limited and a new growth momentum has not yet been realized. Second, there is great uncertainty about the prospects for globalization. The recently emerging tendency for de-globalization may have a significant impact on the global economic and trade landscape and lead to extensive doubts among investors. Third, the global debt ratio is high. According to the Bank of International Settlements (BIS), the ratio of global private-sector credit to GDP remained above 128 percent in 2016–18, reaching or even surpassing the level before the 2008 Financial Crisis. Fourth, income distribution has not improved on a global scale. The Gini Coefficient of some major economies is still rising.</w:t>
      </w:r>
    </w:p>
    <w:p>
      <w:pPr>
        <w:shd w:val="clear" w:fill="92D050"/>
        <w:rPr>
          <w:rFonts w:ascii="Times New Roman" w:hAnsi="Times New Roman" w:cs="Times New Roman"/>
          <w:sz w:val="24"/>
          <w:szCs w:val="24"/>
          <w:highlight w:val="none"/>
        </w:rPr>
      </w:pPr>
    </w:p>
    <w:p>
      <w:pPr>
        <w:shd w:val="clear" w:fill="92D050"/>
        <w:rPr>
          <w:rFonts w:ascii="Times New Roman" w:hAnsi="Times New Roman" w:cs="Times New Roman"/>
          <w:sz w:val="24"/>
          <w:szCs w:val="24"/>
          <w:highlight w:val="none"/>
        </w:rPr>
      </w:pPr>
      <w:r>
        <w:rPr>
          <w:rFonts w:ascii="Times New Roman" w:hAnsi="Times New Roman" w:cs="Times New Roman"/>
          <w:sz w:val="24"/>
          <w:szCs w:val="24"/>
          <w:highlight w:val="none"/>
        </w:rPr>
        <w:t>In the next stage, the People’s Bank of China will, in accordance with the deployment of the CPC Central Committee and the State Council, take Xi Jinping’s new era of socialism with Chinese characteristic as the guide, strive for progress, highlight the main line, hold to the bottom line, and grasp the appropriateness of policy. In face of possible weak global growth in the medium and long term, our policymaking should serve domestic priorities while considering international factors, balance among multiple objectives, stay on our own course, and prepare for a long journey. The sound monetary policy should be moderate and appropriate and counter-cyclical adjustments should be implemented in a timely and appropriate manner. Proactive and micro adjustments should be made against fluctuations in economic growth and prices. We should further deepen the structural reform of the supply side, expand the opening-up policies, promote the initiatives of micro institutions, and enhance the endogenous growth momentum of the economy. We should also deepen the structural reforms of the financial supply side and make financing better serve the real economy. The PBC will focus on optimization of the financing structure, the financial institutional framework, and the market mechanism and financial products to provide efficient and high-quality financial services to the real economy.</w:t>
      </w: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b/>
          <w:bCs/>
          <w:sz w:val="24"/>
          <w:szCs w:val="24"/>
        </w:rPr>
        <w:t>The surveyed unemployment rate remains stable.</w:t>
      </w:r>
      <w:r>
        <w:rPr>
          <w:rFonts w:ascii="Times New Roman" w:hAnsi="Times New Roman" w:cs="Times New Roman"/>
          <w:sz w:val="24"/>
          <w:szCs w:val="24"/>
        </w:rPr>
        <w:t xml:space="preserve"> In June, the surveyed unemployment rate in urban areas was 5.1 percent, staying within the range of 5.0–5.1 percent for three consecutive months. In particular, the surveyed unemployment rate of people between the ages of 25 and 59 was 4.6 percent, 0.5 percentage point lower than the overall rate. In H1, new employment in the urban areas was 7.37 million, accounting for 67 percent of the annual target. In June, the migration of the rural labor force increased 1.3 percent to 182.48 million, up by 2.26 million from the same period of 2018 and an acceleration of 0.1 percentage point from end-March. According to the PBC’s Urban Depositors’ Survey, the Employment Sentiment Index was 44.2 percent in the second quarter, down by 1.6 and 0.8 percentage points from the previous quarter and the same period of 2018 respectively.   </w:t>
      </w:r>
    </w:p>
    <w:p>
      <w:pPr>
        <w:rPr>
          <w:rFonts w:ascii="Times New Roman" w:hAnsi="Times New Roman" w:cs="Times New Roman"/>
          <w:sz w:val="24"/>
          <w:szCs w:val="24"/>
        </w:rPr>
      </w:pPr>
    </w:p>
    <w:p>
      <w:pPr>
        <w:rPr>
          <w:rFonts w:ascii="Times New Roman" w:hAnsi="Times New Roman" w:cs="Times New Roman"/>
          <w:b/>
          <w:bCs/>
          <w:sz w:val="24"/>
          <w:szCs w:val="24"/>
        </w:rPr>
      </w:pPr>
      <w:r>
        <w:rPr>
          <w:rFonts w:ascii="Times New Roman" w:hAnsi="Times New Roman" w:cs="Times New Roman"/>
          <w:b/>
          <w:bCs/>
          <w:sz w:val="24"/>
          <w:szCs w:val="24"/>
        </w:rPr>
        <w:t xml:space="preserve">5. The international balance of payments remained basically in equilibrium </w:t>
      </w:r>
    </w:p>
    <w:p>
      <w:pPr>
        <w:rPr>
          <w:rFonts w:ascii="Times New Roman" w:hAnsi="Times New Roman" w:cs="Times New Roman"/>
          <w:sz w:val="24"/>
          <w:szCs w:val="24"/>
        </w:rPr>
      </w:pPr>
      <w:r>
        <w:rPr>
          <w:rFonts w:ascii="Times New Roman" w:hAnsi="Times New Roman" w:cs="Times New Roman"/>
          <w:sz w:val="24"/>
          <w:szCs w:val="24"/>
        </w:rPr>
        <w:t>According to preliminary data, China’s current account surplus stood at USD 106 billion in H1. Among the total, trade of goods saw a surplus of USD 222.8 billion, whereas trade in services registered a deficit of USD 129.3 billion, shrinking 12 percent year on year. Under the non-reserve financial account, direct investments and securities investments continued to register a surplus. Specifically, direct investments posted a surplus of USD 33.6 billion. At end-June of 2019, foreign-exchange reserves stood at USD 3.1192 trillion. At end-March of 2019, the total external debt in local and foreign currencies registered USD 1.9717 trillion, up by USD 6.5 billion from end-2018. In particular, the short-term external debt stood at USD 1.2529 trillion, accounting for 64 percent of the total.</w:t>
      </w:r>
    </w:p>
    <w:p>
      <w:pPr>
        <w:rPr>
          <w:rFonts w:ascii="Times New Roman" w:hAnsi="Times New Roman" w:cs="Times New Roman"/>
          <w:sz w:val="24"/>
          <w:szCs w:val="24"/>
        </w:rPr>
      </w:pPr>
    </w:p>
    <w:p>
      <w:pPr>
        <w:rPr>
          <w:rFonts w:ascii="Times New Roman" w:hAnsi="Times New Roman" w:cs="Times New Roman"/>
          <w:b/>
          <w:bCs/>
          <w:sz w:val="24"/>
          <w:szCs w:val="24"/>
        </w:rPr>
      </w:pPr>
      <w:r>
        <w:rPr>
          <w:rFonts w:ascii="Times New Roman" w:hAnsi="Times New Roman" w:cs="Times New Roman"/>
          <w:b/>
          <w:bCs/>
          <w:sz w:val="24"/>
          <w:szCs w:val="24"/>
        </w:rPr>
        <w:t>6. The real estate sector on the whole was operating stably</w:t>
      </w:r>
    </w:p>
    <w:p>
      <w:pPr>
        <w:rPr>
          <w:rFonts w:ascii="Times New Roman" w:hAnsi="Times New Roman" w:cs="Times New Roman"/>
          <w:bCs/>
          <w:sz w:val="24"/>
          <w:szCs w:val="24"/>
        </w:rPr>
      </w:pPr>
      <w:r>
        <w:rPr>
          <w:rFonts w:ascii="Times New Roman" w:hAnsi="Times New Roman" w:cs="Times New Roman"/>
          <w:bCs/>
          <w:sz w:val="24"/>
          <w:szCs w:val="24"/>
        </w:rPr>
        <w:t>In H1 of 2019, the year-o</w:t>
      </w:r>
      <w:r>
        <w:rPr>
          <w:rFonts w:ascii="Times New Roman" w:hAnsi="Times New Roman" w:cs="Times New Roman"/>
          <w:sz w:val="24"/>
          <w:szCs w:val="24"/>
        </w:rPr>
        <w:t xml:space="preserve">n-year growth of housing prices declined and the growth of sold floor area (by square meters) continued to moderate. Growth of investments in real-estate development dropped from its previous high level, growth in the floor area of both newly started and completed real-estate projects decelerated, and growth of real-estate loans moderated. </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b/>
          <w:bCs/>
          <w:sz w:val="24"/>
          <w:szCs w:val="24"/>
        </w:rPr>
        <w:t>The number of cities with rising housing prices fell moderately from end-March, with a slight decline in growth of year-on-year housing prices.</w:t>
      </w:r>
      <w:r>
        <w:rPr>
          <w:rFonts w:ascii="Times New Roman" w:hAnsi="Times New Roman" w:cs="Times New Roman"/>
          <w:sz w:val="24"/>
          <w:szCs w:val="24"/>
        </w:rPr>
        <w:t xml:space="preserve"> In June 2019, the prices of newly built residential housing grew month on month in 63 out of 70 large and medium-sized cities, 2 less than that in March. The average growth of prices rose 0.05 percentage point from those in March. The number of cities with year-on-year housing-price growth was 70, the same as that in March, with the average price growth down 0.5 percentage point from that in March. Second-hand residential housing prices rose month-on-month in 45 cities, 12 less than in March; 68 cities registered a year-on-year surge of second-hand residential housing prices, 1 more than in March.</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b/>
          <w:bCs/>
          <w:sz w:val="24"/>
          <w:szCs w:val="24"/>
        </w:rPr>
        <w:t xml:space="preserve">Growth of housing sales continued to slow down in terms of volume (by square meter). </w:t>
      </w:r>
      <w:r>
        <w:rPr>
          <w:rFonts w:ascii="Times New Roman" w:hAnsi="Times New Roman" w:cs="Times New Roman"/>
          <w:sz w:val="24"/>
          <w:szCs w:val="24"/>
        </w:rPr>
        <w:t>In H1, the total floor area of sold units posted 758 million square meters, down 1.8 percent year on year and a deceleration of 0.9 percentage point from that in the first quarter. Housing sales reached RMB 7.07 trillion, year-on-year growth of 5.6 percent and the same as that in the first quarter. In particular, residential housing accounted for 87.3 percent of the sold floor area and 86.8 percent of sales.</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b/>
          <w:sz w:val="24"/>
          <w:szCs w:val="24"/>
        </w:rPr>
        <w:t>Growth of investments in real-estate development dropped from their previous high levels</w:t>
      </w:r>
      <w:r>
        <w:rPr>
          <w:rFonts w:ascii="Times New Roman" w:hAnsi="Times New Roman" w:cs="Times New Roman"/>
          <w:b/>
          <w:bCs/>
          <w:sz w:val="24"/>
          <w:szCs w:val="24"/>
        </w:rPr>
        <w:t>, and the growth of both the floor area of newly started and completed real- estate projects decelerated.</w:t>
      </w:r>
      <w:r>
        <w:rPr>
          <w:rFonts w:ascii="Times New Roman" w:hAnsi="Times New Roman" w:cs="Times New Roman"/>
          <w:sz w:val="24"/>
          <w:szCs w:val="24"/>
        </w:rPr>
        <w:t xml:space="preserve"> In H1, real-estate investments in China totaled RMB 6.16 trillion, up 10.9 percent year on year and a deceleration of 0.9 percentage point from the first quarter. Specifically, residential housing investments, which accounted for 73.3 percent of real-estate investments, grew 15.8 percent year on year to total RMB 4.52 trillion, representing a deceleration of 1.5 percentage points from the first quarter. The floor area of newly started real-estate projects rose 10.1 percent year on year to hit 1.055 billion square meters, a deceleration of 1.8 percentage points from the first quarter. The floor area of real-estate projects under construction increased 8.8 percent year on year to reach 7.72 billion square meters, an acceleration of 0.6 percentage point from the first quarter. The floor area of completed real-estate projects dropped 12.7 percent year on year to reach 324 million square meters, falling 0.9 percentage point further from the first quarter. </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b/>
          <w:bCs/>
          <w:sz w:val="24"/>
          <w:szCs w:val="24"/>
        </w:rPr>
        <w:t xml:space="preserve">Growth of real-estate loans moderated. </w:t>
      </w:r>
      <w:r>
        <w:rPr>
          <w:rFonts w:ascii="Times New Roman" w:hAnsi="Times New Roman" w:cs="Times New Roman"/>
          <w:sz w:val="24"/>
          <w:szCs w:val="24"/>
        </w:rPr>
        <w:t>At end-June, outstanding real-estate lending by major financial institutions (including foreign financial institutions) stood at RMB 41.9 trillion, up 17.1 percent year on year and a deceleration of 1.6 percentage points from end-March. Outstanding real-estate loans accounted for 28.7 percent of total lending. Specifically, outstanding personal mortgages totaled RMB 28.06 trillion, up 17.2 percent year on year and representing a deceleration of 0.3 percentage point from end-March. Outstanding housing-development loans posted RMB 8.12 trillion, rising 20.7 percent year on year and a deceleration of 6.1 percentage points from end-March. Outstanding land-development loans decreased 6 percent year on year to RMB 1.37 trillion, 0.1 percentage point less than the drop at end-March.</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b/>
          <w:bCs/>
          <w:sz w:val="24"/>
          <w:szCs w:val="24"/>
        </w:rPr>
        <w:t xml:space="preserve">Growth of welfare-housing loans continued to slow down. </w:t>
      </w:r>
      <w:r>
        <w:rPr>
          <w:rFonts w:ascii="Times New Roman" w:hAnsi="Times New Roman" w:cs="Times New Roman"/>
          <w:sz w:val="24"/>
          <w:szCs w:val="24"/>
        </w:rPr>
        <w:t>At end-June, outstanding loans for government-subsidized housing development totaled RMB 4.6 trillion, up 12.9 percent year on year and a deceleration of 7.2 percentage points from end-March. New loans for government-subsidized housing development in H1 reached RMB 284.12 billion, accounting for 33.1 percent of all new real-estate development loans, dropping RMB 456.58 billion from the same period of 2018. At end-June, loans for 373 government-subsidized housing projects in 85 cities had been approved, RMB 87.22 billion had been disbursed as scheduled, and RMB 86.02 billion of the loan principal had been repaid.</w:t>
      </w:r>
    </w:p>
    <w:p>
      <w:pPr>
        <w:widowControl/>
        <w:jc w:val="left"/>
        <w:rPr>
          <w:rFonts w:ascii="Times New Roman" w:hAnsi="Times New Roman" w:eastAsia="Times New Roman" w:cs="Times New Roman"/>
          <w:b/>
          <w:bCs/>
          <w:kern w:val="44"/>
          <w:sz w:val="24"/>
          <w:szCs w:val="44"/>
        </w:rPr>
      </w:pPr>
      <w:bookmarkStart w:id="173" w:name="_Toc17798276"/>
      <w:r>
        <w:rPr>
          <w:rFonts w:ascii="Times New Roman" w:hAnsi="Times New Roman" w:cs="Times New Roman"/>
        </w:rPr>
        <w:br w:type="page"/>
      </w:r>
    </w:p>
    <w:p>
      <w:pPr>
        <w:pStyle w:val="2"/>
        <w:rPr>
          <w:rFonts w:ascii="Times New Roman" w:hAnsi="Times New Roman" w:cs="Times New Roman"/>
        </w:rPr>
      </w:pPr>
      <w:bookmarkStart w:id="174" w:name="_Toc17808088"/>
      <w:bookmarkStart w:id="175" w:name="_Toc17807933"/>
      <w:bookmarkStart w:id="176" w:name="_Toc17808045"/>
      <w:r>
        <w:rPr>
          <w:rFonts w:ascii="Times New Roman" w:hAnsi="Times New Roman" w:cs="Times New Roman"/>
        </w:rPr>
        <w:t>PART 5</w:t>
      </w:r>
      <w:r>
        <w:rPr>
          <w:rFonts w:hint="eastAsia" w:ascii="Times New Roman" w:hAnsi="Times New Roman" w:cs="Times New Roman"/>
        </w:rPr>
        <w:t>.</w:t>
      </w:r>
      <w:r>
        <w:rPr>
          <w:rFonts w:ascii="Times New Roman" w:hAnsi="Times New Roman" w:cs="Times New Roman"/>
        </w:rPr>
        <w:t xml:space="preserve"> Monetary Policy Stance to be Adopted </w:t>
      </w:r>
      <w:r>
        <w:rPr>
          <w:rFonts w:hint="eastAsia" w:ascii="Times New Roman" w:hAnsi="Times New Roman" w:cs="Times New Roman"/>
        </w:rPr>
        <w:t>at</w:t>
      </w:r>
      <w:r>
        <w:rPr>
          <w:rFonts w:ascii="Times New Roman" w:hAnsi="Times New Roman" w:cs="Times New Roman"/>
        </w:rPr>
        <w:t xml:space="preserve"> the Next Stage</w:t>
      </w:r>
      <w:bookmarkEnd w:id="173"/>
      <w:bookmarkEnd w:id="174"/>
      <w:bookmarkEnd w:id="175"/>
      <w:bookmarkEnd w:id="176"/>
    </w:p>
    <w:p>
      <w:pPr>
        <w:pStyle w:val="3"/>
        <w:widowControl/>
        <w:spacing w:before="0" w:after="0"/>
        <w:ind w:firstLine="0" w:firstLineChars="0"/>
        <w:rPr>
          <w:rFonts w:ascii="Times New Roman" w:hAnsi="Times New Roman" w:eastAsia="宋体"/>
          <w:bCs w:val="0"/>
          <w:szCs w:val="24"/>
        </w:rPr>
      </w:pPr>
    </w:p>
    <w:p>
      <w:pPr>
        <w:pStyle w:val="3"/>
        <w:widowControl/>
        <w:numPr>
          <w:ilvl w:val="0"/>
          <w:numId w:val="2"/>
        </w:numPr>
        <w:spacing w:before="0" w:after="0"/>
        <w:ind w:firstLineChars="0"/>
        <w:rPr>
          <w:rFonts w:ascii="Times New Roman" w:hAnsi="Times New Roman" w:eastAsia="宋体"/>
          <w:bCs w:val="0"/>
          <w:szCs w:val="24"/>
        </w:rPr>
      </w:pPr>
      <w:bookmarkStart w:id="177" w:name="_Toc17798277"/>
      <w:bookmarkStart w:id="178" w:name="_Toc17807934"/>
      <w:bookmarkStart w:id="179" w:name="_Toc17808089"/>
      <w:bookmarkStart w:id="180" w:name="_Toc17808046"/>
      <w:r>
        <w:rPr>
          <w:rFonts w:ascii="Times New Roman" w:hAnsi="Times New Roman" w:eastAsia="宋体"/>
          <w:bCs w:val="0"/>
          <w:szCs w:val="24"/>
        </w:rPr>
        <w:t>Outlook for the Chinese Economy</w:t>
      </w:r>
      <w:bookmarkEnd w:id="177"/>
      <w:bookmarkEnd w:id="178"/>
      <w:bookmarkEnd w:id="179"/>
      <w:bookmarkEnd w:id="180"/>
    </w:p>
    <w:p>
      <w:pPr>
        <w:rPr>
          <w:rFonts w:ascii="Times New Roman" w:hAnsi="Times New Roman" w:cs="Times New Roman"/>
          <w:sz w:val="24"/>
          <w:szCs w:val="24"/>
        </w:rPr>
      </w:pPr>
      <w:r>
        <w:rPr>
          <w:rFonts w:ascii="Times New Roman" w:hAnsi="Times New Roman" w:cs="Times New Roman"/>
          <w:b/>
          <w:sz w:val="24"/>
          <w:szCs w:val="24"/>
        </w:rPr>
        <w:t xml:space="preserve">For the next period, there are a number of factors that will support the steady growth of the Chinese economy. </w:t>
      </w:r>
      <w:r>
        <w:rPr>
          <w:rFonts w:ascii="Times New Roman" w:hAnsi="Times New Roman" w:cs="Times New Roman"/>
          <w:sz w:val="24"/>
          <w:szCs w:val="24"/>
        </w:rPr>
        <w:t>Despite the increased downside risks, on the whole the global economy is still growing steadily. China is still in an important period of strategic opportunities and will remain there for a long time. The “three critical battles” to prevent and mitigate major risks, alleviate poverty, and reduce pollution are making good progress. The supply-side structural reforms are deepening. Aggregate supply and demand are basically balanced, and economic growth remains resilient. The reforms and opening-up are being earnestly promoted. Employment remains stable, household income is growing steadily, and the people's livelihood continues to improve. All these factors have contributed to the sustained and healthy development of the economy and to social stability. Moreover, the effects of the proactive fiscal policy and the sound monetary policy have gradually unfolded. Support from the financial sector to the real economy, especially to private and small and micro businesses (SMBs), is constantly increasing, as new progress is being made in the reform and opening-up in the financial sector. In the first half of 2019, the Chinese economy has continued its steady growth albeit an already very large base, with new progress made amidst stability. Market vitality has been further stimulated, and the shift from the old to a new growth engine has accelerated. At the same time, financial risks have been prevented and managed in a prudent and decisive manner. The quality and efficiency of financial services supporting the real economy have gradually improved. The RMB exchange rate remains generally stable, and the economy’s resilience to external shocks has strengthened. The PBC’s Quarterly Survey of Entrepreneurs and Bankers in Q2 of 2019 shows that the Business Sentiment Index has risen by 0.2 percentage point over the previous quarter.</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b/>
          <w:sz w:val="24"/>
          <w:szCs w:val="24"/>
        </w:rPr>
        <w:t xml:space="preserve">However, it should be noted that there are still some deep-seated problems and marked difficulties. </w:t>
      </w:r>
      <w:r>
        <w:rPr>
          <w:rFonts w:ascii="Times New Roman" w:hAnsi="Times New Roman" w:cs="Times New Roman"/>
          <w:sz w:val="24"/>
          <w:szCs w:val="24"/>
        </w:rPr>
        <w:t xml:space="preserve">As for the international environment, the global economic and financial situations remain complicated, as shown by the weakened worldwide growth momentum, the shifting monetary policy of the major economies toward a more accommodative stance, the elevated geopolitical risks, and the increased external uncertainties and destabilizing factors. Domestically, firms tend to be more cautious in making decisions about production and investments. Investments in the manufacturing industries and private investments have slowed down. To a large extent, the economy still relies on real estate and infrastructure investments. Furthermore, the endogenous growth momentum needs to be further enhanced. </w:t>
      </w:r>
      <w:r>
        <w:rPr>
          <w:rFonts w:ascii="Times New Roman" w:hAnsi="Times New Roman" w:cs="Times New Roman"/>
          <w:b/>
          <w:sz w:val="24"/>
          <w:szCs w:val="24"/>
        </w:rPr>
        <w:t xml:space="preserve">It is necessary to view these developments from an objective and rational perspective, remain self-confident and remain firm. We need to make full preparations while doing our own work well. </w:t>
      </w:r>
      <w:r>
        <w:rPr>
          <w:rFonts w:ascii="Times New Roman" w:hAnsi="Times New Roman" w:cs="Times New Roman"/>
          <w:sz w:val="24"/>
          <w:szCs w:val="24"/>
        </w:rPr>
        <w:t>We will also use a combination of short- and long-term measures at both the micro and macro levels in a targeted manner so as to help generate effective final demand and to foster new areas of growth.</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b/>
          <w:sz w:val="24"/>
          <w:szCs w:val="24"/>
        </w:rPr>
        <w:t>Overall prices have remained generally stable but uncertainties have increased.</w:t>
      </w:r>
      <w:r>
        <w:rPr>
          <w:rFonts w:ascii="Times New Roman" w:hAnsi="Times New Roman" w:cs="Times New Roman"/>
          <w:sz w:val="24"/>
          <w:szCs w:val="24"/>
        </w:rPr>
        <w:t xml:space="preserve"> The magnitude of price increases mainly depends on the economic fundamentals and the changes in market supply and demand. Recently, China’s economy has been broadly stable, and aggregate supply and demand have been basically balanced. The core CPI, though declining mildly, remains stable. Supply-side reforms have been further advanced, as the role of the market continues to play out and the overcapacity problem is being addressed. All these factors are conducive to keeping the overall price level stable. However, it should be noted that more recently the prices of pork, fresh vegetables, fruits, and other food items have risen rapidly, mainly due to factors such as the African swine fever and the extreme weather, and these have pushed up consumer prices. As for the PPI, its growth has decelerated as a result of the marginally weakening demand of firms for production, the year-on-year decline in commodity prices, and the relatively high base in the same period of the previous year. In addition, tax cuts and trade frictions may have had varying effects on price indices in different sectors. In general, the future development of overall prices, affected by both supply and demand, face some uncertainties and warrant close monitoring.</w:t>
      </w:r>
    </w:p>
    <w:p>
      <w:pPr>
        <w:rPr>
          <w:rFonts w:ascii="Times New Roman" w:hAnsi="Times New Roman" w:cs="Times New Roman"/>
          <w:b/>
          <w:bCs/>
          <w:sz w:val="24"/>
          <w:szCs w:val="24"/>
        </w:rPr>
      </w:pPr>
    </w:p>
    <w:p>
      <w:pPr>
        <w:pStyle w:val="3"/>
        <w:widowControl/>
        <w:numPr>
          <w:ilvl w:val="0"/>
          <w:numId w:val="2"/>
        </w:numPr>
        <w:spacing w:before="0" w:after="0"/>
        <w:ind w:firstLineChars="0"/>
        <w:jc w:val="both"/>
        <w:rPr>
          <w:rFonts w:ascii="Times New Roman" w:hAnsi="Times New Roman" w:eastAsia="宋体"/>
          <w:bCs w:val="0"/>
          <w:szCs w:val="24"/>
        </w:rPr>
      </w:pPr>
      <w:bookmarkStart w:id="181" w:name="_Toc17798278"/>
      <w:bookmarkStart w:id="182" w:name="_Toc17807935"/>
      <w:bookmarkStart w:id="183" w:name="_Toc17808090"/>
      <w:bookmarkStart w:id="184" w:name="_Toc17808047"/>
      <w:r>
        <w:rPr>
          <w:rFonts w:ascii="Times New Roman" w:hAnsi="Times New Roman" w:eastAsia="宋体"/>
          <w:bCs w:val="0"/>
          <w:szCs w:val="24"/>
        </w:rPr>
        <w:t>Monetary policy during the next stage</w:t>
      </w:r>
      <w:bookmarkEnd w:id="181"/>
      <w:bookmarkEnd w:id="182"/>
      <w:bookmarkEnd w:id="183"/>
      <w:bookmarkEnd w:id="184"/>
    </w:p>
    <w:p>
      <w:pPr>
        <w:rPr>
          <w:rFonts w:ascii="Times New Roman" w:hAnsi="Times New Roman" w:cs="Times New Roman"/>
          <w:sz w:val="24"/>
          <w:szCs w:val="24"/>
        </w:rPr>
      </w:pPr>
      <w:r>
        <w:rPr>
          <w:rFonts w:ascii="Times New Roman" w:hAnsi="Times New Roman" w:cs="Times New Roman"/>
          <w:sz w:val="24"/>
          <w:szCs w:val="24"/>
        </w:rPr>
        <w:t>The PBC will continue to follow the guidance of Xi Jinping Thought on Socialism with Chinese Characteristics for a New Era, fully implement the decisions and arrangements made by the CPC Central Committee and the State Council, adhere to the general principle of seeking progress while maintaining stability, continue to apply the new approach to development, and continue to promote the reforms and opening-up. The PBC will handle domestic and international issues holistically, make coordinated efforts to maintain stable growth, advance reforms, make structural adjustments, improve living standards, guard against risks, and ensure stability, and it will take measures to stabilize employment, the financial sector, foreign trade, foreign investment, domestic investment, and market expectations. Emphasis will be placed on stabilizing demand through supply-side structural reforms, forestalling and defusing financial risks in the course of pursuing development, and developing new ways to improve financial macro-management to better fulfill the three tasks of serving the real economy, guarding against financial risks, and deepening reforms in the financial sector. Efforts will be made to maintain a sound monetary policy with appropriate intensity and to make counter-cyclical adjustments in a timely and appropriate manner. The PBC will maintain good control of aggregate money supply while refraining from providing massive and indiscriminate liquidity so that the growth of broad money M2 and all-system aggregate financing will be better aligned with nominal GDP growth. Measures will be taken to strengthen macro policy coordination, improve the monetary-policy transmission mechanism, innovate and improve monetary-policy instruments and mechanisms, encourage financial institutions to provide more medium- and long-term loans to the manufacturing industry and private sector, and further reduce the financing costs of small and micro businesses (SMBs). The PBC will strengthen expectation management and stabilize market expectations. Measures will also be taken to properly manage the pace and intensity of risk resolution and promptly address the liquidity risks faced by medium- and small-sized financial institutions so as to contain contagion risks. Macro-prudential management will be further improved and will be implemented in coordination with micro-prudential regulation, functional regulation, and conduct regulation of the financial sector, to promote the sound development of the financial markets. Efforts will be made to deepen supply-side structural reforms in the financial sector, improve the inherent functions of the financial system, and put in place a virtuous cycle among the demand and supply sides of the economy and the financial system.</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b/>
          <w:bCs/>
          <w:sz w:val="24"/>
          <w:szCs w:val="24"/>
        </w:rPr>
        <w:t>First,</w:t>
      </w:r>
      <w:r>
        <w:rPr>
          <w:rFonts w:ascii="Times New Roman" w:hAnsi="Times New Roman" w:cs="Times New Roman"/>
          <w:sz w:val="24"/>
          <w:szCs w:val="24"/>
        </w:rPr>
        <w:t xml:space="preserve"> </w:t>
      </w:r>
      <w:r>
        <w:rPr>
          <w:rFonts w:ascii="Times New Roman" w:hAnsi="Times New Roman" w:cs="Times New Roman"/>
          <w:b/>
          <w:sz w:val="24"/>
          <w:szCs w:val="24"/>
        </w:rPr>
        <w:t>the PBC will continue to implement a sound monetary policy and make counter-cyclical adjustments in a timely and appropriate manner, to maintain reasonably adequate liquidity and keep market interest rates at an appropriately stable level.</w:t>
      </w:r>
      <w:r>
        <w:rPr>
          <w:rFonts w:ascii="Times New Roman" w:hAnsi="Times New Roman" w:cs="Times New Roman"/>
          <w:sz w:val="24"/>
          <w:szCs w:val="24"/>
        </w:rPr>
        <w:t xml:space="preserve"> The two-pillar macro-management framework underpinned by the monetary policy and the macro-prudential policy will be improved by enhancing management in a more forward-looking, better-targeted, and more effective manner. Preemptive adjustments and fine-tunings will be made in light of economic growth and development of the price level, and they will be carefully calibrated to strengthen expectation management and stabilize market expectations. The PBC will continue to flexibly use a variety of monetary-policy instruments, strike a balance between the aggregates and the structure, and take concerted actions with other ministries to establish a solid micro-foundation for a smooth monetary-policy transmission from both the supply and demand sides, and to maintain reasonable growth of money, credit, and all-system aggregate financing. The PBC will strengthen macro-prudential management and guide commercial banks to replenish capital through multiple channels. It will continue to implement the Macro Prudential Assessment (MPA) mechanism and make necessary improvements, and it will encourage financial institutions to provide more support to the private sector, SMBs, and the agro-linked sector to increase the efficiency of serving the real economy.</w:t>
      </w:r>
    </w:p>
    <w:p>
      <w:pPr>
        <w:rPr>
          <w:rFonts w:ascii="Times New Roman" w:hAnsi="Times New Roman" w:cs="Times New Roman"/>
          <w:sz w:val="24"/>
          <w:szCs w:val="24"/>
        </w:rPr>
      </w:pPr>
    </w:p>
    <w:p>
      <w:pPr>
        <w:widowControl/>
        <w:rPr>
          <w:rFonts w:ascii="Times New Roman" w:hAnsi="Times New Roman" w:eastAsia="Times New Roman" w:cs="Times New Roman"/>
          <w:kern w:val="0"/>
          <w:sz w:val="24"/>
          <w:szCs w:val="24"/>
        </w:rPr>
      </w:pPr>
      <w:r>
        <w:rPr>
          <w:rFonts w:ascii="Times New Roman" w:hAnsi="Times New Roman" w:cs="Times New Roman"/>
          <w:b/>
          <w:bCs/>
          <w:sz w:val="24"/>
          <w:szCs w:val="24"/>
        </w:rPr>
        <w:t>Second,</w:t>
      </w:r>
      <w:r>
        <w:rPr>
          <w:rFonts w:ascii="Times New Roman" w:hAnsi="Times New Roman" w:cs="Times New Roman"/>
          <w:sz w:val="24"/>
          <w:szCs w:val="24"/>
        </w:rPr>
        <w:t xml:space="preserve"> the PBC will </w:t>
      </w:r>
      <w:r>
        <w:rPr>
          <w:rFonts w:ascii="Times New Roman" w:hAnsi="Times New Roman" w:cs="Times New Roman"/>
          <w:b/>
          <w:sz w:val="24"/>
          <w:szCs w:val="24"/>
        </w:rPr>
        <w:t xml:space="preserve">make effective use of monetary and credit policies to improve the economic structure and better serve the real economy. </w:t>
      </w:r>
      <w:r>
        <w:rPr>
          <w:rFonts w:ascii="Times New Roman" w:hAnsi="Times New Roman" w:cs="Times New Roman"/>
          <w:sz w:val="24"/>
          <w:szCs w:val="24"/>
        </w:rPr>
        <w:t xml:space="preserve">The PBC will employ multiple monetary-policy instruments, such as the targeted RRR cut, the targeted Medium-term Lending Facility (MLF), central-bank lending and central-bank discounts, and develop new combinations of monetary-policy instruments, so as to make good use of structured monetary-policy instruments to deliver well-targeted provision of liquidity. It will work together with other ministries to encourage financial institutions to optimize their lending structure, provide more support to key areas and weak links in the economy, and effectively mitigate difficulties faced by private firms and SMBs in accessing affordable financing. The effect of credit policies targeting SMBs will be evaluated and the results of the evaluations will be put to better use. Efforts will be made to encourage large commercial banks to shift their business focus to smaller clients, update their understanding of financial services, and promote the development of private banks and community banks. The PBC will further improve the Three-Tiered and Two-Preferential-Treatment Policy Framework for the Required Reserve Ratio and encourage locally incorporated financial institutions to be more dedicated to fulfill their original business of providing financial services to real-economy entities such as SMBs. Emphasis will be placed on encouraging and guiding financial institutions to provide high-quality financial services to the key areas of poverty alleviation, including providing basic living facilities (i.e., </w:t>
      </w:r>
      <w:r>
        <w:rPr>
          <w:rFonts w:ascii="Times New Roman" w:hAnsi="Times New Roman" w:eastAsia="宋体" w:cs="Times New Roman"/>
          <w:sz w:val="24"/>
          <w:szCs w:val="24"/>
        </w:rPr>
        <w:t>meeting the basic needs of food and clothing and guaranteeing compulsory education, basic medical care, and housing)</w:t>
      </w:r>
      <w:r>
        <w:rPr>
          <w:rFonts w:ascii="Times New Roman" w:hAnsi="Times New Roman" w:cs="Times New Roman"/>
          <w:sz w:val="24"/>
          <w:szCs w:val="24"/>
        </w:rPr>
        <w:t xml:space="preserve">, poverty alleviation through the development of local industry and the construction of infrastructure, which, accompanied by strengthened risk management, will promote sustainable poverty alleviation through financial support. Measures will be taken to improve financial services to better support the key areas of the economy, such as high-quality development of the manufacturing industry and reduction of overcapacity. Financial support will be beefed up to new consumption areas, such as elderly care, education, and health care, as well as to areas important to the national economy, including business start-ups and innovation, science and technology, the culture industry, the maritime economy, and the strategic emerging industries, so as to achieve more employment of higher quality. Financial support will be provided holistically to the coordinated development of Beijing, Tianjin, and Hebei, the Belt and Road Initiative, the grand development program of the western regions, the Yangtze River Economic Belt, the military-civilian integration strategy, and the rural revitalization strategy. Efforts will be made to adopt city-specific policies based on the principle that houses are for living in, not for speculation, a long-term regulation mechanism in the real-estate sector will be implemented, and we will refrain from launching a short-term stimulus through the housing market. </w:t>
      </w:r>
    </w:p>
    <w:p>
      <w:pPr>
        <w:rPr>
          <w:rFonts w:ascii="Times New Roman" w:hAnsi="Times New Roman" w:cs="Times New Roman"/>
          <w:sz w:val="24"/>
          <w:szCs w:val="24"/>
        </w:rPr>
      </w:pPr>
    </w:p>
    <w:p>
      <w:pPr>
        <w:widowControl/>
        <w:autoSpaceDE w:val="0"/>
        <w:autoSpaceDN w:val="0"/>
        <w:adjustRightInd w:val="0"/>
        <w:spacing w:after="240"/>
        <w:rPr>
          <w:rFonts w:ascii="Times New Roman" w:hAnsi="Times New Roman" w:cs="Times New Roman"/>
          <w:color w:val="000000"/>
          <w:kern w:val="0"/>
          <w:sz w:val="24"/>
          <w:szCs w:val="24"/>
        </w:rPr>
      </w:pPr>
      <w:r>
        <w:rPr>
          <w:rFonts w:ascii="Times New Roman" w:hAnsi="Times New Roman" w:cs="Times New Roman"/>
          <w:b/>
          <w:bCs/>
          <w:sz w:val="24"/>
          <w:szCs w:val="24"/>
        </w:rPr>
        <w:t>Third,</w:t>
      </w:r>
      <w:r>
        <w:rPr>
          <w:rFonts w:ascii="Times New Roman" w:hAnsi="Times New Roman" w:cs="Times New Roman"/>
          <w:sz w:val="24"/>
          <w:szCs w:val="24"/>
        </w:rPr>
        <w:t xml:space="preserve"> </w:t>
      </w:r>
      <w:r>
        <w:rPr>
          <w:rFonts w:ascii="Times New Roman" w:hAnsi="Times New Roman" w:cs="Times New Roman"/>
          <w:b/>
          <w:sz w:val="24"/>
          <w:szCs w:val="24"/>
        </w:rPr>
        <w:t xml:space="preserve">reforms of market-based interest rates and the RMB exchange-rate formation regime will be further deepened to raise the efficiency of the allocation of financial resources and to improve the financial management system. </w:t>
      </w:r>
      <w:r>
        <w:rPr>
          <w:rFonts w:ascii="Times New Roman" w:hAnsi="Times New Roman" w:cs="Times New Roman"/>
          <w:sz w:val="24"/>
          <w:szCs w:val="24"/>
        </w:rPr>
        <w:t>The PBC will promote the convergence of the benchmark lending rate and the money-market lending rate, and will improve the Loan Prime Rate mechanism, whose role will be put into better play in guiding the formation of actual interest rates. Efforts will be made to strengthen the guiding role of the central-bank policy-rate system, improve the interest-rate corridor mechanism, and enhance the PBC’s capacity to manage interest rates, with a view to streamlining the market-based interest-rate formation mechanism. Greater emphasis will be placed on regulation of the irrational pricing behavior of commercial banks by making good use of the self-disciplinary mechanism for interest-rate setting. Effective measures will be taken to regulate loan-pricing behavior, strengthen industry-wide self-discipline and risk prevention, maintain an enabling market order for fair pricing, and keep the costs of commercial banks basically stable on the liability side. Efforts will be made to reduce the financing costs of SMBs by promoting lower interest rates for SMB loans and urging commercial banks to reduce surcharges, with a view to better serving the real economy. Reform of the market-based RMB exchange-rate regime will be steadily deepened to improve the managed floating exchange-rate regime based on market supply and demand and with reference to a basket of currencies, maintain exchange-rate flexibility, and make the exchange rate an automatic stabilizer for the economy and the balance of payments. The PBC will strengthen macro prudential management when necessary, stabilize market expectations, and keep the RMB exchange rate basically stable at an adaptive and equilibrium level. Development of the foreign-exchange market will be accelerated based on the principle of serving the real economy to provide exchange-rate risk management services to import and export companies based on their actual needs. Efforts will be made to steadily promote the convertibility of the RMB under the capital account, promote development of the market for direct trading of the RMB against other currencies, improve the policy framework and infrastructure designed for use of the RMB in cross-border trade transactions, and strike a balance among reform, development, and risk prevention to promote use of the RMB in cross-border trade and investment.</w:t>
      </w:r>
    </w:p>
    <w:p>
      <w:pPr>
        <w:rPr>
          <w:rFonts w:ascii="Times New Roman" w:hAnsi="Times New Roman" w:cs="Times New Roman"/>
          <w:sz w:val="24"/>
          <w:szCs w:val="24"/>
        </w:rPr>
      </w:pPr>
    </w:p>
    <w:p>
      <w:pPr>
        <w:widowControl/>
        <w:autoSpaceDE w:val="0"/>
        <w:autoSpaceDN w:val="0"/>
        <w:adjustRightInd w:val="0"/>
        <w:spacing w:after="240"/>
        <w:rPr>
          <w:rFonts w:ascii="Times New Roman" w:hAnsi="Times New Roman" w:cs="Times New Roman"/>
          <w:color w:val="000000"/>
          <w:kern w:val="0"/>
          <w:sz w:val="24"/>
          <w:szCs w:val="24"/>
        </w:rPr>
      </w:pPr>
      <w:r>
        <w:rPr>
          <w:rFonts w:ascii="Times New Roman" w:hAnsi="Times New Roman" w:cs="Times New Roman"/>
          <w:b/>
          <w:bCs/>
          <w:sz w:val="24"/>
          <w:szCs w:val="24"/>
        </w:rPr>
        <w:t>Fourth,</w:t>
      </w:r>
      <w:r>
        <w:rPr>
          <w:rFonts w:ascii="Times New Roman" w:hAnsi="Times New Roman" w:cs="Times New Roman"/>
          <w:b/>
          <w:sz w:val="24"/>
          <w:szCs w:val="24"/>
        </w:rPr>
        <w:t xml:space="preserve"> the financial market system will be further improved to play a better role in stabilizing growth, restructuring the economy, promoting reforms, and guarding against risks. </w:t>
      </w:r>
      <w:r>
        <w:rPr>
          <w:rFonts w:ascii="Times New Roman" w:hAnsi="Times New Roman" w:cs="Times New Roman"/>
          <w:sz w:val="24"/>
          <w:szCs w:val="24"/>
        </w:rPr>
        <w:t>The capacity of the financial system to serve the real economy will be strengthened by encouraging commercial banks to replenish capital through multiple channels, such as the issuance of perpetual bonds, promoting the development of policy instruments that facilitate financing by private firms through the bond market, developing the over-the-counter (OTC) market of commercial banks, and facilitating commercial banks to issue financial products, such as financial bonds designed to support innovation and business start-ups. Harmonization of rules for the issuance, market access, and information disclosure of corporate credit bonds will be promoted and the relevant institutional arrangements will be improved. The PBC will continue to expand the two-way opening-up of the bond market in a steady and orderly manner by encouraging overseas institutions to issue bonds in the onshore market and vice-versa, and encouraging overseas institutions to invest in the onshore bond market. The PBC will continue to promote development of the secondary bond market, further improve institutional arrangements relating to bond trading, clearing, and settlement as well as market-based assessment systems, such as the market-making mechanism, so as to enhance the liquidity of the bond market and create a more investor-friendly environment. An overarching management framework for the infrastructure of the financial market will be set up and improved to further enhance the market infrastructure and to ensure the overall stability and safe and efficient functioning of the financial market. A unified law-enforcement mechanism for the bond market, featuring well-defined responsibilities, close cooperation, and effective synergies will be further improved to crack down on crimes and illegal activities so as to protect investors’ interests and to promote the healthy and sound development of the bond market. The PBC will prudently handle bond-repurchase defaults, prevent risks from spreading, and expedite the launch of policy arrangements regarding the transfer of defaulted bonds coming due</w:t>
      </w:r>
      <w:r>
        <w:rPr>
          <w:rFonts w:hint="eastAsia" w:ascii="Times New Roman" w:hAnsi="Times New Roman" w:cs="Times New Roman"/>
          <w:sz w:val="24"/>
          <w:szCs w:val="24"/>
        </w:rPr>
        <w:t xml:space="preserve"> </w:t>
      </w:r>
      <w:r>
        <w:rPr>
          <w:rFonts w:ascii="Times New Roman" w:hAnsi="Times New Roman" w:cs="Times New Roman"/>
          <w:sz w:val="24"/>
          <w:szCs w:val="24"/>
        </w:rPr>
        <w:t>in order to facilitate effective market clearing and protect market order and confidence.</w:t>
      </w:r>
    </w:p>
    <w:p>
      <w:pPr>
        <w:rPr>
          <w:rFonts w:ascii="Times New Roman" w:hAnsi="Times New Roman" w:cs="Times New Roman"/>
          <w:sz w:val="24"/>
          <w:szCs w:val="24"/>
        </w:rPr>
      </w:pPr>
    </w:p>
    <w:p>
      <w:pPr>
        <w:widowControl/>
        <w:autoSpaceDE w:val="0"/>
        <w:autoSpaceDN w:val="0"/>
        <w:adjustRightInd w:val="0"/>
        <w:spacing w:after="240"/>
        <w:rPr>
          <w:rFonts w:ascii="Times New Roman" w:hAnsi="Times New Roman" w:cs="Times New Roman"/>
          <w:color w:val="000000"/>
          <w:kern w:val="0"/>
          <w:sz w:val="24"/>
          <w:szCs w:val="24"/>
        </w:rPr>
      </w:pPr>
      <w:r>
        <w:rPr>
          <w:rFonts w:ascii="Times New Roman" w:hAnsi="Times New Roman" w:cs="Times New Roman"/>
          <w:b/>
          <w:bCs/>
          <w:sz w:val="24"/>
          <w:szCs w:val="24"/>
        </w:rPr>
        <w:t>Fifth,</w:t>
      </w:r>
      <w:r>
        <w:rPr>
          <w:rFonts w:ascii="Times New Roman" w:hAnsi="Times New Roman" w:cs="Times New Roman"/>
          <w:b/>
          <w:bCs/>
          <w:color w:val="000000"/>
          <w:kern w:val="0"/>
          <w:sz w:val="24"/>
          <w:szCs w:val="24"/>
        </w:rPr>
        <w:t xml:space="preserve"> </w:t>
      </w:r>
      <w:r>
        <w:rPr>
          <w:rFonts w:ascii="Times New Roman" w:hAnsi="Times New Roman" w:cs="Times New Roman"/>
          <w:b/>
          <w:sz w:val="24"/>
          <w:szCs w:val="24"/>
        </w:rPr>
        <w:t xml:space="preserve">the PBC will continue to deepen supply-side structural reforms of the financial sector, expand opening-up, and improve financial services by optimizing supply and promoting competition. </w:t>
      </w:r>
      <w:r>
        <w:rPr>
          <w:rFonts w:ascii="Times New Roman" w:hAnsi="Times New Roman" w:cs="Times New Roman"/>
          <w:sz w:val="24"/>
          <w:szCs w:val="24"/>
        </w:rPr>
        <w:t>It will resolutely implement the new development concept and strengthen the functions of financial services, with the overarching goal of serving the real economy and raising living standards. The PBC will place greater emphasis on adjusting and enhancing the financial system by improving the financing structure, the financial institution system, the market system, and the product system, with a view to building a multi-tiered banking system with wide coverage and differentiated services.</w:t>
      </w:r>
      <w:r>
        <w:rPr>
          <w:rFonts w:ascii="Times New Roman" w:hAnsi="Times New Roman" w:cs="Times New Roman"/>
          <w:color w:val="000000"/>
          <w:kern w:val="0"/>
          <w:sz w:val="24"/>
          <w:szCs w:val="24"/>
        </w:rPr>
        <w:t xml:space="preserve"> </w:t>
      </w:r>
      <w:r>
        <w:rPr>
          <w:rFonts w:ascii="Times New Roman" w:hAnsi="Times New Roman" w:cs="Times New Roman"/>
          <w:sz w:val="24"/>
          <w:szCs w:val="24"/>
        </w:rPr>
        <w:t xml:space="preserve">The reform of large commercial banks and other large financial institutions will be further deepened by improving corporate governance, regulating the relationship among the shareholders’ meeting, the board of directors, the board of supervisors, and management, improving the institutions related to the power of attorney, forming an effective system for decision making, execution, and checks and balances, and improving operational capacity and risk management. Efforts will be made to fully implement the reform plans designed for policy and development financial institutions and to resolve the follow-up issues of improving corporate governance, clarifying the business scope, and improving the risk compensation mechanism. The deepening of the reforms will speed up the establishment of policy and development financial institutions that are in line with Chinese characteristics and commercially viable and will better promote economic growth as well as a policy environment conducive to that purpose. </w:t>
      </w:r>
    </w:p>
    <w:p>
      <w:pPr>
        <w:rPr>
          <w:rFonts w:ascii="Times New Roman" w:hAnsi="Times New Roman" w:cs="Times New Roman"/>
          <w:sz w:val="24"/>
          <w:szCs w:val="24"/>
        </w:rPr>
      </w:pPr>
    </w:p>
    <w:p>
      <w:pPr>
        <w:widowControl/>
        <w:autoSpaceDE w:val="0"/>
        <w:autoSpaceDN w:val="0"/>
        <w:adjustRightInd w:val="0"/>
        <w:spacing w:after="240"/>
        <w:rPr>
          <w:rFonts w:ascii="Times New Roman" w:hAnsi="Times New Roman" w:cs="Times New Roman"/>
          <w:sz w:val="24"/>
          <w:szCs w:val="24"/>
        </w:rPr>
      </w:pPr>
      <w:r>
        <w:rPr>
          <w:rFonts w:ascii="Times New Roman" w:hAnsi="Times New Roman" w:cs="Times New Roman"/>
          <w:b/>
          <w:bCs/>
          <w:sz w:val="24"/>
          <w:szCs w:val="24"/>
        </w:rPr>
        <w:t>Sixth</w:t>
      </w:r>
      <w:r>
        <w:rPr>
          <w:rFonts w:ascii="Times New Roman" w:hAnsi="Times New Roman" w:cs="Times New Roman"/>
          <w:sz w:val="24"/>
          <w:szCs w:val="24"/>
        </w:rPr>
        <w:t>,</w:t>
      </w:r>
      <w:r>
        <w:rPr>
          <w:rFonts w:ascii="Times New Roman" w:hAnsi="Times New Roman" w:cs="Times New Roman"/>
          <w:b/>
          <w:sz w:val="24"/>
          <w:szCs w:val="24"/>
        </w:rPr>
        <w:t xml:space="preserve"> solid action will be taken to win the critical battle of forestalling and defusing major financial risks.</w:t>
      </w:r>
      <w:r>
        <w:rPr>
          <w:rFonts w:ascii="Times New Roman" w:hAnsi="Times New Roman" w:cs="Times New Roman"/>
          <w:sz w:val="24"/>
          <w:szCs w:val="24"/>
        </w:rPr>
        <w:t xml:space="preserve"> Following the leadership of the Financial Stability and Development Committee under the State Council, the PBC will improve the financial regulatory coordination mechanism at the local levels, continue to fulfill its role as the Secretariat of the Committee, further advance implementation of the action plan for forestalling and defusing major financial risks, promote risk prevention in the course of pursuing high-quality development, and advance orderly structural deleveraging, in order to better serve the real economy. It will endeavor to prevent abnormal fluctuations in the financial market, take effective and precise measures to resolve risks in key areas, further strengthen regulatory weaknesses, and strengthen the role of financial institutions in taking the main responsibilities for risk prevention, and to earnestly promote reforms and opening up of the financial sector. By doing so, it will aim to enhance the adaptability of the financial structure, enhance the capacity of the financial system to serve the real economy, significantly improve the legal framework of the financial sector, and comprehensively strengthen the institutional arrangements with hardening constraints so as to effectively prevent and control systemic risks and to create a favorable financial environment for building a moderately prosperous society in all respects by the year 2020. </w:t>
      </w:r>
    </w:p>
    <w:p>
      <w:pPr>
        <w:rPr>
          <w:rFonts w:ascii="Times New Roman" w:hAnsi="Times New Roman" w:cs="Times New Roman"/>
          <w:sz w:val="24"/>
          <w:szCs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imes">
    <w:altName w:val="Times New Roman"/>
    <w:panose1 w:val="02020603050405020304"/>
    <w:charset w:val="00"/>
    <w:family w:val="roma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KaiTi_GB2312">
    <w:altName w:val="Times New Roman"/>
    <w:panose1 w:val="02010609060101010101"/>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973950"/>
      <w:docPartObj>
        <w:docPartGallery w:val="autotext"/>
      </w:docPartObj>
    </w:sdtPr>
    <w:sdtContent>
      <w:p>
        <w:pPr>
          <w:pStyle w:val="8"/>
          <w:jc w:val="center"/>
        </w:pPr>
        <w:r>
          <w:fldChar w:fldCharType="begin"/>
        </w:r>
        <w:r>
          <w:instrText xml:space="preserve"> PAGE   \* MERGEFORMAT </w:instrText>
        </w:r>
        <w:r>
          <w:fldChar w:fldCharType="separate"/>
        </w:r>
        <w:r>
          <w:rPr>
            <w:lang w:val="zh-CN"/>
          </w:rPr>
          <w:t>59</w:t>
        </w:r>
        <w:r>
          <w:rPr>
            <w:lang w:val="zh-CN"/>
          </w:rPr>
          <w:fldChar w:fldCharType="end"/>
        </w: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A800D4"/>
    <w:multiLevelType w:val="multilevel"/>
    <w:tmpl w:val="63A800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D0B0341"/>
    <w:multiLevelType w:val="multilevel"/>
    <w:tmpl w:val="6D0B0341"/>
    <w:lvl w:ilvl="0" w:tentative="0">
      <w:start w:val="1"/>
      <w:numFmt w:val="upperRoman"/>
      <w:lvlText w:val="%1."/>
      <w:lvlJc w:val="left"/>
      <w:pPr>
        <w:ind w:left="720" w:hanging="720"/>
      </w:pPr>
      <w:rPr>
        <w:rFonts w:hint="default"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32B"/>
    <w:rsid w:val="000051E8"/>
    <w:rsid w:val="00016279"/>
    <w:rsid w:val="0001705F"/>
    <w:rsid w:val="00017C9C"/>
    <w:rsid w:val="000229A1"/>
    <w:rsid w:val="00035A5D"/>
    <w:rsid w:val="00040670"/>
    <w:rsid w:val="00040D75"/>
    <w:rsid w:val="00045CC5"/>
    <w:rsid w:val="00050422"/>
    <w:rsid w:val="00054474"/>
    <w:rsid w:val="00056ED8"/>
    <w:rsid w:val="0006522A"/>
    <w:rsid w:val="00073603"/>
    <w:rsid w:val="00082484"/>
    <w:rsid w:val="00095356"/>
    <w:rsid w:val="000978D2"/>
    <w:rsid w:val="000A2C5D"/>
    <w:rsid w:val="000A409A"/>
    <w:rsid w:val="000A7637"/>
    <w:rsid w:val="000E6276"/>
    <w:rsid w:val="000F492D"/>
    <w:rsid w:val="0011331B"/>
    <w:rsid w:val="001136F4"/>
    <w:rsid w:val="0012789B"/>
    <w:rsid w:val="00143486"/>
    <w:rsid w:val="00150772"/>
    <w:rsid w:val="00163E35"/>
    <w:rsid w:val="00183A0A"/>
    <w:rsid w:val="00190A36"/>
    <w:rsid w:val="001A2AAE"/>
    <w:rsid w:val="001B2F84"/>
    <w:rsid w:val="001B73E6"/>
    <w:rsid w:val="001C4591"/>
    <w:rsid w:val="001C6877"/>
    <w:rsid w:val="001D3B1A"/>
    <w:rsid w:val="001D4253"/>
    <w:rsid w:val="001D5D7D"/>
    <w:rsid w:val="001E268B"/>
    <w:rsid w:val="001E4B23"/>
    <w:rsid w:val="00214536"/>
    <w:rsid w:val="00216BBE"/>
    <w:rsid w:val="00216DA4"/>
    <w:rsid w:val="00220241"/>
    <w:rsid w:val="002262A4"/>
    <w:rsid w:val="0022740B"/>
    <w:rsid w:val="0023166B"/>
    <w:rsid w:val="00233AAB"/>
    <w:rsid w:val="002500A5"/>
    <w:rsid w:val="00266C4C"/>
    <w:rsid w:val="002772A3"/>
    <w:rsid w:val="002A2C9E"/>
    <w:rsid w:val="002A762A"/>
    <w:rsid w:val="002C079E"/>
    <w:rsid w:val="002D7B97"/>
    <w:rsid w:val="002E132B"/>
    <w:rsid w:val="002E7248"/>
    <w:rsid w:val="002F7E72"/>
    <w:rsid w:val="00304108"/>
    <w:rsid w:val="00312CD6"/>
    <w:rsid w:val="003263F1"/>
    <w:rsid w:val="00333A7C"/>
    <w:rsid w:val="00376329"/>
    <w:rsid w:val="00376CD7"/>
    <w:rsid w:val="003954EE"/>
    <w:rsid w:val="003A7670"/>
    <w:rsid w:val="003C023C"/>
    <w:rsid w:val="003E7EE3"/>
    <w:rsid w:val="003F0D22"/>
    <w:rsid w:val="003F3117"/>
    <w:rsid w:val="003F71CC"/>
    <w:rsid w:val="00400C76"/>
    <w:rsid w:val="004068C5"/>
    <w:rsid w:val="00411169"/>
    <w:rsid w:val="00414265"/>
    <w:rsid w:val="00416FCC"/>
    <w:rsid w:val="0042057B"/>
    <w:rsid w:val="00423D73"/>
    <w:rsid w:val="00425BAB"/>
    <w:rsid w:val="004312EB"/>
    <w:rsid w:val="00436099"/>
    <w:rsid w:val="004363D9"/>
    <w:rsid w:val="004377E7"/>
    <w:rsid w:val="00442166"/>
    <w:rsid w:val="00447061"/>
    <w:rsid w:val="00451D6A"/>
    <w:rsid w:val="00455095"/>
    <w:rsid w:val="00457819"/>
    <w:rsid w:val="00482573"/>
    <w:rsid w:val="004A4B2F"/>
    <w:rsid w:val="004B37AB"/>
    <w:rsid w:val="004C1C9A"/>
    <w:rsid w:val="004E1E0F"/>
    <w:rsid w:val="004F45BC"/>
    <w:rsid w:val="004F4885"/>
    <w:rsid w:val="004F65CD"/>
    <w:rsid w:val="004F717D"/>
    <w:rsid w:val="005033B4"/>
    <w:rsid w:val="00512179"/>
    <w:rsid w:val="00512A2C"/>
    <w:rsid w:val="005164BB"/>
    <w:rsid w:val="005304E3"/>
    <w:rsid w:val="00534862"/>
    <w:rsid w:val="00540C2C"/>
    <w:rsid w:val="0055741E"/>
    <w:rsid w:val="00572AA1"/>
    <w:rsid w:val="00574B48"/>
    <w:rsid w:val="005A384D"/>
    <w:rsid w:val="005D3C1D"/>
    <w:rsid w:val="005D51FB"/>
    <w:rsid w:val="005E34F3"/>
    <w:rsid w:val="005E4BB8"/>
    <w:rsid w:val="005E57E3"/>
    <w:rsid w:val="0060136B"/>
    <w:rsid w:val="0060264E"/>
    <w:rsid w:val="00604F93"/>
    <w:rsid w:val="00606903"/>
    <w:rsid w:val="00616A76"/>
    <w:rsid w:val="00623B82"/>
    <w:rsid w:val="006302DA"/>
    <w:rsid w:val="00633788"/>
    <w:rsid w:val="00633EFD"/>
    <w:rsid w:val="00636360"/>
    <w:rsid w:val="00641DF6"/>
    <w:rsid w:val="00647008"/>
    <w:rsid w:val="006521F1"/>
    <w:rsid w:val="00667D39"/>
    <w:rsid w:val="00675C7E"/>
    <w:rsid w:val="00677D95"/>
    <w:rsid w:val="00680E5D"/>
    <w:rsid w:val="006858D3"/>
    <w:rsid w:val="006B0B9E"/>
    <w:rsid w:val="006B2C4C"/>
    <w:rsid w:val="006D3D8B"/>
    <w:rsid w:val="006D5CB6"/>
    <w:rsid w:val="006D63CF"/>
    <w:rsid w:val="006E0CD1"/>
    <w:rsid w:val="006E77E3"/>
    <w:rsid w:val="006F0034"/>
    <w:rsid w:val="006F4997"/>
    <w:rsid w:val="007032D1"/>
    <w:rsid w:val="00704941"/>
    <w:rsid w:val="0070618E"/>
    <w:rsid w:val="00721C15"/>
    <w:rsid w:val="007468A8"/>
    <w:rsid w:val="007509A7"/>
    <w:rsid w:val="00774D32"/>
    <w:rsid w:val="00780722"/>
    <w:rsid w:val="00784740"/>
    <w:rsid w:val="00794E42"/>
    <w:rsid w:val="007B4AD6"/>
    <w:rsid w:val="007C2869"/>
    <w:rsid w:val="007C7F8E"/>
    <w:rsid w:val="007E1C9F"/>
    <w:rsid w:val="007E56B2"/>
    <w:rsid w:val="0081164B"/>
    <w:rsid w:val="008124D7"/>
    <w:rsid w:val="00813D76"/>
    <w:rsid w:val="00817924"/>
    <w:rsid w:val="0082187B"/>
    <w:rsid w:val="00821BFC"/>
    <w:rsid w:val="00824164"/>
    <w:rsid w:val="0083095B"/>
    <w:rsid w:val="00850E5A"/>
    <w:rsid w:val="00884AB8"/>
    <w:rsid w:val="00892E49"/>
    <w:rsid w:val="008951B5"/>
    <w:rsid w:val="008A11E0"/>
    <w:rsid w:val="008A2358"/>
    <w:rsid w:val="008A792A"/>
    <w:rsid w:val="008B1AE9"/>
    <w:rsid w:val="008B48F0"/>
    <w:rsid w:val="008C325E"/>
    <w:rsid w:val="008C3FF5"/>
    <w:rsid w:val="008C7A1D"/>
    <w:rsid w:val="008E4C6D"/>
    <w:rsid w:val="008F0F8F"/>
    <w:rsid w:val="008F1AA9"/>
    <w:rsid w:val="009001D7"/>
    <w:rsid w:val="00900940"/>
    <w:rsid w:val="00920DAA"/>
    <w:rsid w:val="009404FD"/>
    <w:rsid w:val="00955468"/>
    <w:rsid w:val="009709A8"/>
    <w:rsid w:val="009833AF"/>
    <w:rsid w:val="009A1DD7"/>
    <w:rsid w:val="009A4706"/>
    <w:rsid w:val="009C330B"/>
    <w:rsid w:val="009C5BB9"/>
    <w:rsid w:val="009D3017"/>
    <w:rsid w:val="009E7F7F"/>
    <w:rsid w:val="009F552F"/>
    <w:rsid w:val="00A03C81"/>
    <w:rsid w:val="00A0612E"/>
    <w:rsid w:val="00A10187"/>
    <w:rsid w:val="00A101FC"/>
    <w:rsid w:val="00A317C0"/>
    <w:rsid w:val="00A37C00"/>
    <w:rsid w:val="00A37C8C"/>
    <w:rsid w:val="00A441C6"/>
    <w:rsid w:val="00A456DF"/>
    <w:rsid w:val="00A46C9F"/>
    <w:rsid w:val="00A5517B"/>
    <w:rsid w:val="00A55758"/>
    <w:rsid w:val="00A567D1"/>
    <w:rsid w:val="00A65AF9"/>
    <w:rsid w:val="00A71E9A"/>
    <w:rsid w:val="00A72269"/>
    <w:rsid w:val="00A7452E"/>
    <w:rsid w:val="00AA6527"/>
    <w:rsid w:val="00AB3085"/>
    <w:rsid w:val="00AB72F6"/>
    <w:rsid w:val="00AC0404"/>
    <w:rsid w:val="00AC75A0"/>
    <w:rsid w:val="00AD079C"/>
    <w:rsid w:val="00AD34D8"/>
    <w:rsid w:val="00AF0781"/>
    <w:rsid w:val="00B300C4"/>
    <w:rsid w:val="00B31207"/>
    <w:rsid w:val="00B312CB"/>
    <w:rsid w:val="00B51A85"/>
    <w:rsid w:val="00B57BBC"/>
    <w:rsid w:val="00B6288E"/>
    <w:rsid w:val="00B80CD2"/>
    <w:rsid w:val="00BA4901"/>
    <w:rsid w:val="00BA5D83"/>
    <w:rsid w:val="00BB431A"/>
    <w:rsid w:val="00BD30C8"/>
    <w:rsid w:val="00BD6019"/>
    <w:rsid w:val="00BE65E7"/>
    <w:rsid w:val="00BF0941"/>
    <w:rsid w:val="00C06333"/>
    <w:rsid w:val="00C16C5E"/>
    <w:rsid w:val="00C2349B"/>
    <w:rsid w:val="00C27725"/>
    <w:rsid w:val="00C36C41"/>
    <w:rsid w:val="00C3794B"/>
    <w:rsid w:val="00C42265"/>
    <w:rsid w:val="00C458F0"/>
    <w:rsid w:val="00C54FBF"/>
    <w:rsid w:val="00C551EF"/>
    <w:rsid w:val="00C574C4"/>
    <w:rsid w:val="00C82025"/>
    <w:rsid w:val="00C935E9"/>
    <w:rsid w:val="00CA1DEE"/>
    <w:rsid w:val="00CD2A0D"/>
    <w:rsid w:val="00CE69FC"/>
    <w:rsid w:val="00CE6D5D"/>
    <w:rsid w:val="00CE7485"/>
    <w:rsid w:val="00CF22B8"/>
    <w:rsid w:val="00D01241"/>
    <w:rsid w:val="00D0747C"/>
    <w:rsid w:val="00D125B2"/>
    <w:rsid w:val="00D163C3"/>
    <w:rsid w:val="00D225EA"/>
    <w:rsid w:val="00D31B0E"/>
    <w:rsid w:val="00D33BE2"/>
    <w:rsid w:val="00D345A8"/>
    <w:rsid w:val="00D446C6"/>
    <w:rsid w:val="00D46E45"/>
    <w:rsid w:val="00D646A7"/>
    <w:rsid w:val="00D80889"/>
    <w:rsid w:val="00D818D7"/>
    <w:rsid w:val="00D95302"/>
    <w:rsid w:val="00DA5F09"/>
    <w:rsid w:val="00DA6194"/>
    <w:rsid w:val="00DB68C7"/>
    <w:rsid w:val="00DD738A"/>
    <w:rsid w:val="00DE0F4C"/>
    <w:rsid w:val="00DE279E"/>
    <w:rsid w:val="00DE7495"/>
    <w:rsid w:val="00DF3E60"/>
    <w:rsid w:val="00E22035"/>
    <w:rsid w:val="00E2355F"/>
    <w:rsid w:val="00E242CD"/>
    <w:rsid w:val="00E334E5"/>
    <w:rsid w:val="00E512A1"/>
    <w:rsid w:val="00E67929"/>
    <w:rsid w:val="00E717CE"/>
    <w:rsid w:val="00E7296F"/>
    <w:rsid w:val="00E9719E"/>
    <w:rsid w:val="00EA51C7"/>
    <w:rsid w:val="00EB12AB"/>
    <w:rsid w:val="00EB158D"/>
    <w:rsid w:val="00EB6B6F"/>
    <w:rsid w:val="00EC00E3"/>
    <w:rsid w:val="00ED1666"/>
    <w:rsid w:val="00EE051D"/>
    <w:rsid w:val="00EF2F17"/>
    <w:rsid w:val="00EF3F99"/>
    <w:rsid w:val="00F16AA4"/>
    <w:rsid w:val="00F25410"/>
    <w:rsid w:val="00F32DA7"/>
    <w:rsid w:val="00F40280"/>
    <w:rsid w:val="00F44399"/>
    <w:rsid w:val="00F44CE4"/>
    <w:rsid w:val="00F55389"/>
    <w:rsid w:val="00F60567"/>
    <w:rsid w:val="00F6269E"/>
    <w:rsid w:val="00F709F7"/>
    <w:rsid w:val="00F76C6E"/>
    <w:rsid w:val="00F940FC"/>
    <w:rsid w:val="00FA51D9"/>
    <w:rsid w:val="00FA7950"/>
    <w:rsid w:val="00FB2B06"/>
    <w:rsid w:val="00FC44AC"/>
    <w:rsid w:val="00FD1F28"/>
    <w:rsid w:val="00FE4B1A"/>
    <w:rsid w:val="00FE4E69"/>
    <w:rsid w:val="00FE4FD2"/>
    <w:rsid w:val="00FE7891"/>
    <w:rsid w:val="00FF4A40"/>
    <w:rsid w:val="301C5DB5"/>
    <w:rsid w:val="4B5B68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semiHidden="0"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9"/>
    <w:pPr>
      <w:keepNext/>
      <w:keepLines/>
      <w:spacing w:before="340" w:after="330"/>
      <w:jc w:val="center"/>
      <w:outlineLvl w:val="0"/>
    </w:pPr>
    <w:rPr>
      <w:rFonts w:eastAsia="Times New Roman"/>
      <w:b/>
      <w:bCs/>
      <w:kern w:val="44"/>
      <w:sz w:val="24"/>
      <w:szCs w:val="44"/>
    </w:rPr>
  </w:style>
  <w:style w:type="paragraph" w:styleId="3">
    <w:name w:val="heading 2"/>
    <w:basedOn w:val="1"/>
    <w:next w:val="1"/>
    <w:link w:val="21"/>
    <w:qFormat/>
    <w:uiPriority w:val="0"/>
    <w:pPr>
      <w:adjustRightInd w:val="0"/>
      <w:spacing w:before="20" w:after="20"/>
      <w:ind w:firstLine="200" w:firstLineChars="200"/>
      <w:jc w:val="left"/>
      <w:outlineLvl w:val="1"/>
    </w:pPr>
    <w:rPr>
      <w:rFonts w:ascii="仿宋_GB2312" w:hAnsi="宋体" w:eastAsia="Times New Roman" w:cs="Times New Roman"/>
      <w:b/>
      <w:bCs/>
      <w:sz w:val="24"/>
      <w:szCs w:val="30"/>
    </w:rPr>
  </w:style>
  <w:style w:type="paragraph" w:styleId="4">
    <w:name w:val="heading 3"/>
    <w:basedOn w:val="1"/>
    <w:next w:val="1"/>
    <w:link w:val="26"/>
    <w:unhideWhenUsed/>
    <w:qFormat/>
    <w:uiPriority w:val="9"/>
    <w:pPr>
      <w:spacing w:before="260" w:after="260"/>
      <w:jc w:val="center"/>
      <w:outlineLvl w:val="2"/>
    </w:pPr>
    <w:rPr>
      <w:rFonts w:ascii="Times New Roman" w:hAnsi="Times New Roman" w:eastAsia="Times New Roman" w:cs="Times New Roman"/>
      <w:b/>
      <w:bCs/>
      <w:sz w:val="24"/>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5">
    <w:name w:val="caption"/>
    <w:basedOn w:val="1"/>
    <w:next w:val="1"/>
    <w:unhideWhenUsed/>
    <w:qFormat/>
    <w:uiPriority w:val="35"/>
    <w:rPr>
      <w:rFonts w:eastAsia="黑体" w:asciiTheme="majorHAnsi" w:hAnsiTheme="majorHAnsi" w:cstheme="majorBidi"/>
      <w:sz w:val="20"/>
      <w:szCs w:val="20"/>
    </w:rPr>
  </w:style>
  <w:style w:type="paragraph" w:styleId="6">
    <w:name w:val="toc 3"/>
    <w:basedOn w:val="1"/>
    <w:next w:val="1"/>
    <w:unhideWhenUsed/>
    <w:qFormat/>
    <w:uiPriority w:val="39"/>
    <w:pPr>
      <w:widowControl/>
      <w:tabs>
        <w:tab w:val="right" w:leader="dot" w:pos="8296"/>
      </w:tabs>
      <w:spacing w:after="100" w:line="276" w:lineRule="auto"/>
      <w:ind w:left="440"/>
      <w:jc w:val="left"/>
    </w:pPr>
    <w:rPr>
      <w:rFonts w:ascii="Times New Roman" w:hAnsi="Times New Roman" w:eastAsia="宋体"/>
      <w:color w:val="000000" w:themeColor="text1"/>
      <w14:textFill>
        <w14:solidFill>
          <w14:schemeClr w14:val="tx1"/>
        </w14:solidFill>
      </w14:textFill>
    </w:rPr>
  </w:style>
  <w:style w:type="paragraph" w:styleId="7">
    <w:name w:val="Balloon Text"/>
    <w:basedOn w:val="1"/>
    <w:link w:val="20"/>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sz w:val="18"/>
      <w:szCs w:val="18"/>
    </w:rPr>
  </w:style>
  <w:style w:type="paragraph" w:styleId="9">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tabs>
        <w:tab w:val="right" w:leader="dot" w:pos="8296"/>
      </w:tabs>
      <w:jc w:val="center"/>
    </w:pPr>
    <w:rPr>
      <w:rFonts w:ascii="Times New Roman" w:hAnsi="Times New Roman" w:cs="Times New Roman"/>
    </w:rPr>
  </w:style>
  <w:style w:type="paragraph" w:styleId="11">
    <w:name w:val="table of figures"/>
    <w:basedOn w:val="1"/>
    <w:next w:val="1"/>
    <w:qFormat/>
    <w:uiPriority w:val="99"/>
    <w:pPr>
      <w:ind w:left="840" w:leftChars="200" w:hanging="420" w:hangingChars="200"/>
    </w:pPr>
    <w:rPr>
      <w:rFonts w:ascii="Times New Roman" w:hAnsi="Times New Roman" w:eastAsia="宋体" w:cs="Times New Roman"/>
      <w:szCs w:val="24"/>
    </w:rPr>
  </w:style>
  <w:style w:type="paragraph" w:styleId="12">
    <w:name w:val="toc 2"/>
    <w:basedOn w:val="1"/>
    <w:next w:val="1"/>
    <w:unhideWhenUsed/>
    <w:qFormat/>
    <w:uiPriority w:val="39"/>
    <w:pPr>
      <w:ind w:left="420" w:leftChars="200"/>
    </w:pPr>
  </w:style>
  <w:style w:type="paragraph" w:styleId="13">
    <w:name w:val="Title"/>
    <w:basedOn w:val="1"/>
    <w:link w:val="24"/>
    <w:qFormat/>
    <w:uiPriority w:val="0"/>
    <w:pPr>
      <w:shd w:val="clear" w:color="auto" w:fill="CCFFCC"/>
      <w:spacing w:line="360" w:lineRule="auto"/>
      <w:jc w:val="center"/>
    </w:pPr>
    <w:rPr>
      <w:rFonts w:ascii="Times New Roman" w:hAnsi="Times New Roman" w:eastAsia="宋体" w:cs="Times New Roman"/>
      <w:b/>
      <w:bCs/>
      <w:sz w:val="24"/>
      <w:szCs w:val="24"/>
    </w:rPr>
  </w:style>
  <w:style w:type="character" w:styleId="16">
    <w:name w:val="FollowedHyperlink"/>
    <w:basedOn w:val="15"/>
    <w:semiHidden/>
    <w:unhideWhenUsed/>
    <w:uiPriority w:val="99"/>
    <w:rPr>
      <w:color w:val="800080" w:themeColor="followedHyperlink"/>
      <w:u w:val="single"/>
      <w14:textFill>
        <w14:solidFill>
          <w14:schemeClr w14:val="folHlink"/>
        </w14:solidFill>
      </w14:textFill>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页眉 Char"/>
    <w:basedOn w:val="15"/>
    <w:link w:val="9"/>
    <w:semiHidden/>
    <w:qFormat/>
    <w:uiPriority w:val="99"/>
    <w:rPr>
      <w:sz w:val="18"/>
      <w:szCs w:val="18"/>
    </w:rPr>
  </w:style>
  <w:style w:type="character" w:customStyle="1" w:styleId="19">
    <w:name w:val="页脚 Char"/>
    <w:basedOn w:val="15"/>
    <w:link w:val="8"/>
    <w:qFormat/>
    <w:uiPriority w:val="99"/>
    <w:rPr>
      <w:sz w:val="18"/>
      <w:szCs w:val="18"/>
    </w:rPr>
  </w:style>
  <w:style w:type="character" w:customStyle="1" w:styleId="20">
    <w:name w:val="批注框文本 Char"/>
    <w:basedOn w:val="15"/>
    <w:link w:val="7"/>
    <w:semiHidden/>
    <w:qFormat/>
    <w:uiPriority w:val="99"/>
    <w:rPr>
      <w:sz w:val="18"/>
      <w:szCs w:val="18"/>
    </w:rPr>
  </w:style>
  <w:style w:type="character" w:customStyle="1" w:styleId="21">
    <w:name w:val="标题 2 Char"/>
    <w:basedOn w:val="15"/>
    <w:link w:val="3"/>
    <w:uiPriority w:val="0"/>
    <w:rPr>
      <w:rFonts w:ascii="仿宋_GB2312" w:hAnsi="宋体" w:eastAsia="Times New Roman" w:cs="Times New Roman"/>
      <w:b/>
      <w:bCs/>
      <w:sz w:val="24"/>
      <w:szCs w:val="30"/>
    </w:rPr>
  </w:style>
  <w:style w:type="paragraph" w:customStyle="1" w:styleId="22">
    <w:name w:val="p0"/>
    <w:basedOn w:val="1"/>
    <w:qFormat/>
    <w:uiPriority w:val="0"/>
    <w:pPr>
      <w:widowControl/>
    </w:pPr>
    <w:rPr>
      <w:rFonts w:ascii="Times New Roman" w:hAnsi="Times New Roman" w:eastAsia="宋体" w:cs="Times New Roman"/>
      <w:kern w:val="0"/>
      <w:szCs w:val="21"/>
    </w:rPr>
  </w:style>
  <w:style w:type="paragraph" w:customStyle="1" w:styleId="23">
    <w:name w:val="样式 jn 第六期正文 + Times 首行缩进:  2 字符"/>
    <w:basedOn w:val="1"/>
    <w:qFormat/>
    <w:uiPriority w:val="0"/>
    <w:pPr>
      <w:spacing w:line="440" w:lineRule="atLeast"/>
      <w:ind w:firstLine="480" w:firstLineChars="200"/>
    </w:pPr>
    <w:rPr>
      <w:rFonts w:ascii="Times" w:hAnsi="Times" w:eastAsia="宋体" w:cs="Times"/>
      <w:sz w:val="24"/>
      <w:szCs w:val="24"/>
    </w:rPr>
  </w:style>
  <w:style w:type="character" w:customStyle="1" w:styleId="24">
    <w:name w:val="标题 Char"/>
    <w:basedOn w:val="15"/>
    <w:link w:val="13"/>
    <w:uiPriority w:val="0"/>
    <w:rPr>
      <w:rFonts w:ascii="Times New Roman" w:hAnsi="Times New Roman" w:eastAsia="宋体" w:cs="Times New Roman"/>
      <w:b/>
      <w:bCs/>
      <w:sz w:val="24"/>
      <w:szCs w:val="24"/>
      <w:shd w:val="clear" w:color="auto" w:fill="CCFFCC"/>
    </w:rPr>
  </w:style>
  <w:style w:type="character" w:customStyle="1" w:styleId="25">
    <w:name w:val="标题 1 Char"/>
    <w:basedOn w:val="15"/>
    <w:link w:val="2"/>
    <w:qFormat/>
    <w:uiPriority w:val="9"/>
    <w:rPr>
      <w:rFonts w:eastAsia="Times New Roman"/>
      <w:b/>
      <w:bCs/>
      <w:kern w:val="44"/>
      <w:sz w:val="24"/>
      <w:szCs w:val="44"/>
    </w:rPr>
  </w:style>
  <w:style w:type="character" w:customStyle="1" w:styleId="26">
    <w:name w:val="标题 3 Char"/>
    <w:basedOn w:val="15"/>
    <w:link w:val="4"/>
    <w:uiPriority w:val="9"/>
    <w:rPr>
      <w:rFonts w:ascii="Times New Roman" w:hAnsi="Times New Roman" w:eastAsia="Times New Roman" w:cs="Times New Roman"/>
      <w:b/>
      <w:bCs/>
      <w:sz w:val="24"/>
      <w:szCs w:val="32"/>
    </w:rPr>
  </w:style>
  <w:style w:type="paragraph" w:customStyle="1" w:styleId="27">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2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ocuments%20and%20Settings\admin.ADMIN-33BD9107D\&#26700;&#38754;\&#32763;&#35793;\&#32763;&#35793;\&#36135;&#24065;&#25919;&#31574;\&#22270;%201%20&#36135;&#24065;&#24066;&#22330;&#21033;&#29575;&#36208;&#21183;&#65288;&#25968;&#25454;&#25130;&#33267;20190220&#6528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5130;&#33267;2019Q2&#36135;&#24065;&#25919;&#31574;&#25191;&#34892;&#25253;&#21578;&#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0922922378951"/>
          <c:y val="0.062370985619485"/>
          <c:w val="0.909126267108344"/>
          <c:h val="0.715300589711478"/>
        </c:manualLayout>
      </c:layout>
      <c:lineChart>
        <c:grouping val="standard"/>
        <c:varyColors val="0"/>
        <c:ser>
          <c:idx val="0"/>
          <c:order val="0"/>
          <c:tx>
            <c:strRef>
              <c:f>Sheet1!$B$1</c:f>
              <c:strCache>
                <c:ptCount val="1"/>
                <c:pt idx="0">
                  <c:v>7-day repo rate between depository institutions with interest-rate bonds as collateral in the interbank market (DR007)</c:v>
                </c:pt>
              </c:strCache>
            </c:strRef>
          </c:tx>
          <c:marker>
            <c:symbol val="none"/>
          </c:marker>
          <c:dLbls>
            <c:delete val="1"/>
          </c:dLbls>
          <c:cat>
            <c:numRef>
              <c:f>Sheet1!$A$1250:$A$1371</c:f>
              <c:numCache>
                <c:formatCode>yyyy\-mm\-dd;@</c:formatCode>
                <c:ptCount val="122"/>
                <c:pt idx="0" c:formatCode="yyyy\-mm\-dd;@">
                  <c:v>43467</c:v>
                </c:pt>
                <c:pt idx="1" c:formatCode="yyyy\-mm\-dd;@">
                  <c:v>43468</c:v>
                </c:pt>
                <c:pt idx="2" c:formatCode="yyyy\-mm\-dd;@">
                  <c:v>43469</c:v>
                </c:pt>
                <c:pt idx="3" c:formatCode="yyyy\-mm\-dd;@">
                  <c:v>43472</c:v>
                </c:pt>
                <c:pt idx="4" c:formatCode="yyyy\-mm\-dd;@">
                  <c:v>43473</c:v>
                </c:pt>
                <c:pt idx="5" c:formatCode="yyyy\-mm\-dd;@">
                  <c:v>43474</c:v>
                </c:pt>
                <c:pt idx="6" c:formatCode="yyyy\-mm\-dd;@">
                  <c:v>43475</c:v>
                </c:pt>
                <c:pt idx="7" c:formatCode="yyyy\-mm\-dd;@">
                  <c:v>43476</c:v>
                </c:pt>
                <c:pt idx="8" c:formatCode="yyyy\-mm\-dd;@">
                  <c:v>43479</c:v>
                </c:pt>
                <c:pt idx="9" c:formatCode="yyyy\-mm\-dd;@">
                  <c:v>43480</c:v>
                </c:pt>
                <c:pt idx="10" c:formatCode="yyyy\-mm\-dd;@">
                  <c:v>43481</c:v>
                </c:pt>
                <c:pt idx="11" c:formatCode="yyyy\-mm\-dd;@">
                  <c:v>43482</c:v>
                </c:pt>
                <c:pt idx="12" c:formatCode="yyyy\-mm\-dd;@">
                  <c:v>43483</c:v>
                </c:pt>
                <c:pt idx="13" c:formatCode="yyyy\-mm\-dd;@">
                  <c:v>43486</c:v>
                </c:pt>
                <c:pt idx="14" c:formatCode="yyyy\-mm\-dd;@">
                  <c:v>43487</c:v>
                </c:pt>
                <c:pt idx="15" c:formatCode="yyyy\-mm\-dd;@">
                  <c:v>43488</c:v>
                </c:pt>
                <c:pt idx="16" c:formatCode="yyyy\-mm\-dd;@">
                  <c:v>43489</c:v>
                </c:pt>
                <c:pt idx="17" c:formatCode="yyyy\-mm\-dd;@">
                  <c:v>43490</c:v>
                </c:pt>
                <c:pt idx="18" c:formatCode="yyyy\-mm\-dd;@">
                  <c:v>43493</c:v>
                </c:pt>
                <c:pt idx="19" c:formatCode="yyyy\-mm\-dd;@">
                  <c:v>43494</c:v>
                </c:pt>
                <c:pt idx="20" c:formatCode="yyyy\-mm\-dd;@">
                  <c:v>43495</c:v>
                </c:pt>
                <c:pt idx="21" c:formatCode="yyyy\-mm\-dd;@">
                  <c:v>43496</c:v>
                </c:pt>
                <c:pt idx="22" c:formatCode="yyyy\-mm\-dd;@">
                  <c:v>43497</c:v>
                </c:pt>
                <c:pt idx="23" c:formatCode="yyyy\-mm\-dd;@">
                  <c:v>43498</c:v>
                </c:pt>
                <c:pt idx="24" c:formatCode="yyyy\-mm\-dd;@">
                  <c:v>43499</c:v>
                </c:pt>
                <c:pt idx="25" c:formatCode="yyyy\-mm\-dd;@">
                  <c:v>43507</c:v>
                </c:pt>
                <c:pt idx="26" c:formatCode="yyyy\-mm\-dd;@">
                  <c:v>43508</c:v>
                </c:pt>
                <c:pt idx="27" c:formatCode="yyyy\-mm\-dd;@">
                  <c:v>43509</c:v>
                </c:pt>
                <c:pt idx="28" c:formatCode="yyyy\-mm\-dd;@">
                  <c:v>43510</c:v>
                </c:pt>
                <c:pt idx="29" c:formatCode="yyyy\-mm\-dd;@">
                  <c:v>43511</c:v>
                </c:pt>
                <c:pt idx="30" c:formatCode="yyyy\-mm\-dd;@">
                  <c:v>43514</c:v>
                </c:pt>
                <c:pt idx="31" c:formatCode="yyyy\-mm\-dd;@">
                  <c:v>43515</c:v>
                </c:pt>
                <c:pt idx="32" c:formatCode="yyyy\-mm\-dd;@">
                  <c:v>43516</c:v>
                </c:pt>
                <c:pt idx="33" c:formatCode="yyyy\-mm\-dd;@">
                  <c:v>43517</c:v>
                </c:pt>
                <c:pt idx="34" c:formatCode="yyyy\-mm\-dd;@">
                  <c:v>43518</c:v>
                </c:pt>
                <c:pt idx="35" c:formatCode="yyyy\-mm\-dd;@">
                  <c:v>43521</c:v>
                </c:pt>
                <c:pt idx="36" c:formatCode="yyyy\-mm\-dd;@">
                  <c:v>43522</c:v>
                </c:pt>
                <c:pt idx="37" c:formatCode="yyyy\-mm\-dd;@">
                  <c:v>43523</c:v>
                </c:pt>
                <c:pt idx="38" c:formatCode="yyyy\-mm\-dd;@">
                  <c:v>43524</c:v>
                </c:pt>
                <c:pt idx="39" c:formatCode="yyyy\-mm\-dd;@">
                  <c:v>43525</c:v>
                </c:pt>
                <c:pt idx="40" c:formatCode="yyyy\-mm\-dd;@">
                  <c:v>43528</c:v>
                </c:pt>
                <c:pt idx="41" c:formatCode="yyyy\-mm\-dd;@">
                  <c:v>43529</c:v>
                </c:pt>
                <c:pt idx="42" c:formatCode="yyyy\-mm\-dd;@">
                  <c:v>43530</c:v>
                </c:pt>
                <c:pt idx="43" c:formatCode="yyyy\-mm\-dd;@">
                  <c:v>43531</c:v>
                </c:pt>
                <c:pt idx="44" c:formatCode="yyyy\-mm\-dd;@">
                  <c:v>43532</c:v>
                </c:pt>
                <c:pt idx="45" c:formatCode="yyyy\-mm\-dd;@">
                  <c:v>43535</c:v>
                </c:pt>
                <c:pt idx="46" c:formatCode="yyyy\-mm\-dd;@">
                  <c:v>43536</c:v>
                </c:pt>
                <c:pt idx="47" c:formatCode="yyyy\-mm\-dd;@">
                  <c:v>43537</c:v>
                </c:pt>
                <c:pt idx="48" c:formatCode="yyyy\-mm\-dd;@">
                  <c:v>43538</c:v>
                </c:pt>
                <c:pt idx="49" c:formatCode="yyyy\-mm\-dd;@">
                  <c:v>43539</c:v>
                </c:pt>
                <c:pt idx="50" c:formatCode="yyyy\-mm\-dd;@">
                  <c:v>43542</c:v>
                </c:pt>
                <c:pt idx="51" c:formatCode="yyyy\-mm\-dd;@">
                  <c:v>43543</c:v>
                </c:pt>
                <c:pt idx="52" c:formatCode="yyyy\-mm\-dd;@">
                  <c:v>43544</c:v>
                </c:pt>
                <c:pt idx="53" c:formatCode="yyyy\-mm\-dd;@">
                  <c:v>43545</c:v>
                </c:pt>
                <c:pt idx="54" c:formatCode="yyyy\-mm\-dd;@">
                  <c:v>43546</c:v>
                </c:pt>
                <c:pt idx="55" c:formatCode="yyyy\-mm\-dd;@">
                  <c:v>43549</c:v>
                </c:pt>
                <c:pt idx="56" c:formatCode="yyyy\-mm\-dd;@">
                  <c:v>43550</c:v>
                </c:pt>
                <c:pt idx="57" c:formatCode="yyyy\-mm\-dd;@">
                  <c:v>43551</c:v>
                </c:pt>
                <c:pt idx="58" c:formatCode="yyyy\-mm\-dd;@">
                  <c:v>43552</c:v>
                </c:pt>
                <c:pt idx="59" c:formatCode="yyyy\-mm\-dd;@">
                  <c:v>43553</c:v>
                </c:pt>
                <c:pt idx="60" c:formatCode="yyyy\-mm\-dd;@">
                  <c:v>43556</c:v>
                </c:pt>
                <c:pt idx="61" c:formatCode="yyyy\-mm\-dd;@">
                  <c:v>43557</c:v>
                </c:pt>
                <c:pt idx="62" c:formatCode="yyyy\-mm\-dd;@">
                  <c:v>43558</c:v>
                </c:pt>
                <c:pt idx="63" c:formatCode="yyyy\-mm\-dd;@">
                  <c:v>43559</c:v>
                </c:pt>
                <c:pt idx="64" c:formatCode="yyyy\-mm\-dd;@">
                  <c:v>43563</c:v>
                </c:pt>
                <c:pt idx="65" c:formatCode="yyyy\-mm\-dd;@">
                  <c:v>43564</c:v>
                </c:pt>
                <c:pt idx="66" c:formatCode="yyyy\-mm\-dd;@">
                  <c:v>43565</c:v>
                </c:pt>
                <c:pt idx="67" c:formatCode="yyyy\-mm\-dd;@">
                  <c:v>43566</c:v>
                </c:pt>
                <c:pt idx="68" c:formatCode="yyyy\-mm\-dd;@">
                  <c:v>43567</c:v>
                </c:pt>
                <c:pt idx="69" c:formatCode="yyyy\-mm\-dd;@">
                  <c:v>43570</c:v>
                </c:pt>
                <c:pt idx="70" c:formatCode="yyyy\-mm\-dd;@">
                  <c:v>43571</c:v>
                </c:pt>
                <c:pt idx="71" c:formatCode="yyyy\-mm\-dd;@">
                  <c:v>43572</c:v>
                </c:pt>
                <c:pt idx="72" c:formatCode="yyyy\-mm\-dd;@">
                  <c:v>43573</c:v>
                </c:pt>
                <c:pt idx="73" c:formatCode="yyyy\-mm\-dd;@">
                  <c:v>43574</c:v>
                </c:pt>
                <c:pt idx="74" c:formatCode="yyyy\-mm\-dd;@">
                  <c:v>43577</c:v>
                </c:pt>
                <c:pt idx="75" c:formatCode="yyyy\-mm\-dd;@">
                  <c:v>43578</c:v>
                </c:pt>
                <c:pt idx="76" c:formatCode="yyyy\-mm\-dd;@">
                  <c:v>43579</c:v>
                </c:pt>
                <c:pt idx="77" c:formatCode="yyyy\-mm\-dd;@">
                  <c:v>43580</c:v>
                </c:pt>
                <c:pt idx="78" c:formatCode="yyyy\-mm\-dd;@">
                  <c:v>43581</c:v>
                </c:pt>
                <c:pt idx="79" c:formatCode="yyyy\-mm\-dd;@">
                  <c:v>43583</c:v>
                </c:pt>
                <c:pt idx="80" c:formatCode="yyyy\-mm\-dd;@">
                  <c:v>43584</c:v>
                </c:pt>
                <c:pt idx="81" c:formatCode="yyyy\-mm\-dd;@">
                  <c:v>43585</c:v>
                </c:pt>
                <c:pt idx="82" c:formatCode="yyyy\-mm\-dd;@">
                  <c:v>43590</c:v>
                </c:pt>
                <c:pt idx="83" c:formatCode="yyyy\-mm\-dd;@">
                  <c:v>43591</c:v>
                </c:pt>
                <c:pt idx="84" c:formatCode="yyyy\-mm\-dd;@">
                  <c:v>43592</c:v>
                </c:pt>
                <c:pt idx="85" c:formatCode="yyyy\-mm\-dd;@">
                  <c:v>43593</c:v>
                </c:pt>
                <c:pt idx="86" c:formatCode="yyyy\-mm\-dd;@">
                  <c:v>43594</c:v>
                </c:pt>
                <c:pt idx="87" c:formatCode="yyyy\-mm\-dd;@">
                  <c:v>43595</c:v>
                </c:pt>
                <c:pt idx="88" c:formatCode="yyyy\-mm\-dd;@">
                  <c:v>43598</c:v>
                </c:pt>
                <c:pt idx="89" c:formatCode="yyyy\-mm\-dd;@">
                  <c:v>43599</c:v>
                </c:pt>
                <c:pt idx="90" c:formatCode="yyyy\-mm\-dd;@">
                  <c:v>43600</c:v>
                </c:pt>
                <c:pt idx="91" c:formatCode="yyyy\-mm\-dd;@">
                  <c:v>43601</c:v>
                </c:pt>
                <c:pt idx="92" c:formatCode="yyyy\-mm\-dd;@">
                  <c:v>43602</c:v>
                </c:pt>
                <c:pt idx="93" c:formatCode="yyyy\-mm\-dd;@">
                  <c:v>43605</c:v>
                </c:pt>
                <c:pt idx="94" c:formatCode="yyyy\-mm\-dd;@">
                  <c:v>43606</c:v>
                </c:pt>
                <c:pt idx="95" c:formatCode="yyyy\-mm\-dd;@">
                  <c:v>43607</c:v>
                </c:pt>
                <c:pt idx="96" c:formatCode="yyyy\-mm\-dd;@">
                  <c:v>43608</c:v>
                </c:pt>
                <c:pt idx="97" c:formatCode="yyyy\-mm\-dd;@">
                  <c:v>43609</c:v>
                </c:pt>
                <c:pt idx="98" c:formatCode="yyyy\-mm\-dd;@">
                  <c:v>43612</c:v>
                </c:pt>
                <c:pt idx="99" c:formatCode="yyyy\-mm\-dd;@">
                  <c:v>43613</c:v>
                </c:pt>
                <c:pt idx="100" c:formatCode="yyyy\-mm\-dd;@">
                  <c:v>43614</c:v>
                </c:pt>
                <c:pt idx="101" c:formatCode="yyyy\-mm\-dd;@">
                  <c:v>43615</c:v>
                </c:pt>
                <c:pt idx="102" c:formatCode="yyyy\-mm\-dd;@">
                  <c:v>43616</c:v>
                </c:pt>
                <c:pt idx="103" c:formatCode="yyyy\-mm\-dd;@">
                  <c:v>43619</c:v>
                </c:pt>
                <c:pt idx="104" c:formatCode="yyyy\-mm\-dd;@">
                  <c:v>43620</c:v>
                </c:pt>
                <c:pt idx="105" c:formatCode="yyyy\-mm\-dd;@">
                  <c:v>43621</c:v>
                </c:pt>
                <c:pt idx="106" c:formatCode="yyyy\-mm\-dd;@">
                  <c:v>43622</c:v>
                </c:pt>
                <c:pt idx="107" c:formatCode="yyyy\-mm\-dd;@">
                  <c:v>43626</c:v>
                </c:pt>
                <c:pt idx="108" c:formatCode="yyyy\-mm\-dd;@">
                  <c:v>43627</c:v>
                </c:pt>
                <c:pt idx="109" c:formatCode="yyyy\-mm\-dd;@">
                  <c:v>43628</c:v>
                </c:pt>
                <c:pt idx="110" c:formatCode="yyyy\-mm\-dd;@">
                  <c:v>43629</c:v>
                </c:pt>
                <c:pt idx="111" c:formatCode="yyyy\-mm\-dd;@">
                  <c:v>43630</c:v>
                </c:pt>
                <c:pt idx="112" c:formatCode="yyyy\-mm\-dd;@">
                  <c:v>43633</c:v>
                </c:pt>
                <c:pt idx="113" c:formatCode="yyyy\-mm\-dd;@">
                  <c:v>43634</c:v>
                </c:pt>
                <c:pt idx="114" c:formatCode="yyyy\-mm\-dd;@">
                  <c:v>43635</c:v>
                </c:pt>
                <c:pt idx="115" c:formatCode="yyyy\-mm\-dd;@">
                  <c:v>43636</c:v>
                </c:pt>
                <c:pt idx="116" c:formatCode="yyyy\-mm\-dd;@">
                  <c:v>43637</c:v>
                </c:pt>
                <c:pt idx="117" c:formatCode="yyyy\-mm\-dd;@">
                  <c:v>43640</c:v>
                </c:pt>
                <c:pt idx="118" c:formatCode="yyyy\-mm\-dd;@">
                  <c:v>43641</c:v>
                </c:pt>
                <c:pt idx="119" c:formatCode="yyyy\-mm\-dd;@">
                  <c:v>43642</c:v>
                </c:pt>
                <c:pt idx="120" c:formatCode="yyyy\-mm\-dd;@">
                  <c:v>43643</c:v>
                </c:pt>
                <c:pt idx="121" c:formatCode="yyyy\-mm\-dd;@">
                  <c:v>43644</c:v>
                </c:pt>
              </c:numCache>
            </c:numRef>
          </c:cat>
          <c:val>
            <c:numRef>
              <c:f>Sheet1!$B$1250:$B$1371</c:f>
              <c:numCache>
                <c:formatCode>General</c:formatCode>
                <c:ptCount val="122"/>
                <c:pt idx="0">
                  <c:v>2.4679</c:v>
                </c:pt>
                <c:pt idx="1">
                  <c:v>2.2967</c:v>
                </c:pt>
                <c:pt idx="2">
                  <c:v>2.3401</c:v>
                </c:pt>
                <c:pt idx="3">
                  <c:v>2.2808</c:v>
                </c:pt>
                <c:pt idx="4">
                  <c:v>2.2131</c:v>
                </c:pt>
                <c:pt idx="5">
                  <c:v>2.3866</c:v>
                </c:pt>
                <c:pt idx="6">
                  <c:v>2.4833</c:v>
                </c:pt>
                <c:pt idx="7">
                  <c:v>2.2808</c:v>
                </c:pt>
                <c:pt idx="8">
                  <c:v>2.5446</c:v>
                </c:pt>
                <c:pt idx="9">
                  <c:v>2.6463</c:v>
                </c:pt>
                <c:pt idx="10">
                  <c:v>2.6137</c:v>
                </c:pt>
                <c:pt idx="11">
                  <c:v>2.5355</c:v>
                </c:pt>
                <c:pt idx="12">
                  <c:v>2.5472</c:v>
                </c:pt>
                <c:pt idx="13">
                  <c:v>2.55269999999999</c:v>
                </c:pt>
                <c:pt idx="14" c:formatCode="###,###,###,###,##0.0000_ ">
                  <c:v>2.5057</c:v>
                </c:pt>
                <c:pt idx="15" c:formatCode="###,###,###,###,##0.0000_ ">
                  <c:v>2.5363</c:v>
                </c:pt>
                <c:pt idx="16" c:formatCode="###,###,###,###,##0.0000_ ">
                  <c:v>2.5715</c:v>
                </c:pt>
                <c:pt idx="17" c:formatCode="###,###,###,###,##0.0000_ ">
                  <c:v>2.5726</c:v>
                </c:pt>
                <c:pt idx="18" c:formatCode="###,###,###,###,##0.0000_ ">
                  <c:v>2.4437</c:v>
                </c:pt>
                <c:pt idx="19" c:formatCode="###,###,###,###,##0.0000_ ">
                  <c:v>2.7709</c:v>
                </c:pt>
                <c:pt idx="20" c:formatCode="###,###,###,###,##0.0000_ ">
                  <c:v>2.7467</c:v>
                </c:pt>
                <c:pt idx="21" c:formatCode="###,###,###,###,##0.0000_ ">
                  <c:v>2.7014</c:v>
                </c:pt>
                <c:pt idx="22" c:formatCode="###,###,###,###,##0.0000_ ">
                  <c:v>2.7005</c:v>
                </c:pt>
                <c:pt idx="23" c:formatCode="###,###,###,###,##0.0000_ ">
                  <c:v>2.2326</c:v>
                </c:pt>
                <c:pt idx="24" c:formatCode="###,###,###,###,##0.0000_ ">
                  <c:v>2.3215</c:v>
                </c:pt>
                <c:pt idx="25" c:formatCode="###,###,###,###,##0.0000_ ">
                  <c:v>2.5147</c:v>
                </c:pt>
                <c:pt idx="26" c:formatCode="###,###,###,###,##0.0000_ ">
                  <c:v>2.4112</c:v>
                </c:pt>
                <c:pt idx="27" c:formatCode="###,###,###,###,##0.0000_ ">
                  <c:v>2.208</c:v>
                </c:pt>
                <c:pt idx="28" c:formatCode="###,###,###,###,##0.0000_ ">
                  <c:v>2.1883</c:v>
                </c:pt>
                <c:pt idx="29" c:formatCode="###,###,###,###,##0.0000_ ">
                  <c:v>2.2174</c:v>
                </c:pt>
                <c:pt idx="30" c:formatCode="###,###,###,###,##0.0000_ ">
                  <c:v>2.2597</c:v>
                </c:pt>
                <c:pt idx="31" c:formatCode="###,###,###,###,##0.0000_ ">
                  <c:v>2.28470000000001</c:v>
                </c:pt>
                <c:pt idx="32" c:formatCode="###,###,###,###,##0.0000_ ">
                  <c:v>2.2545</c:v>
                </c:pt>
                <c:pt idx="33" c:formatCode="###,###,###,###,##0.0000_ ">
                  <c:v>2.28850000000001</c:v>
                </c:pt>
                <c:pt idx="34" c:formatCode="###,###,###,###,##0.0000_ ">
                  <c:v>2.5668</c:v>
                </c:pt>
                <c:pt idx="35" c:formatCode="###,###,###,###,##0.0000_ ">
                  <c:v>2.66750000000001</c:v>
                </c:pt>
                <c:pt idx="36" c:formatCode="###,###,###,###,##0.0000_ ">
                  <c:v>2.8366</c:v>
                </c:pt>
                <c:pt idx="37" c:formatCode="###,###,###,###,##0.0000_ ">
                  <c:v>2.803</c:v>
                </c:pt>
                <c:pt idx="38" c:formatCode="###,###,###,###,##0.0000_ ">
                  <c:v>2.64710000000001</c:v>
                </c:pt>
                <c:pt idx="39" c:formatCode="###,###,###,###,##0.0000_ ">
                  <c:v>2.4058</c:v>
                </c:pt>
                <c:pt idx="40" c:formatCode="###,###,###,###,##0.0000_ ">
                  <c:v>2.248</c:v>
                </c:pt>
                <c:pt idx="41" c:formatCode="###,###,###,###,##0.0000_ ">
                  <c:v>2.5312</c:v>
                </c:pt>
                <c:pt idx="42" c:formatCode="###,###,###,###,##0.0000_ ">
                  <c:v>2.3931</c:v>
                </c:pt>
                <c:pt idx="43" c:formatCode="###,###,###,###,##0.0000_ ">
                  <c:v>2.396</c:v>
                </c:pt>
                <c:pt idx="44" c:formatCode="###,###,###,###,##0.0000_ ">
                  <c:v>2.2988</c:v>
                </c:pt>
                <c:pt idx="45" c:formatCode="###,###,###,###,##0.0000_ ">
                  <c:v>2.3182</c:v>
                </c:pt>
                <c:pt idx="46" c:formatCode="###,###,###,###,##0.0000_ ">
                  <c:v>2.5827</c:v>
                </c:pt>
                <c:pt idx="47" c:formatCode="###,###,###,###,##0.0000_ ">
                  <c:v>2.4326</c:v>
                </c:pt>
                <c:pt idx="48" c:formatCode="###,###,###,###,##0.0000_ ">
                  <c:v>2.5817</c:v>
                </c:pt>
                <c:pt idx="49" c:formatCode="###,###,###,###,##0.0000_ ">
                  <c:v>2.7638</c:v>
                </c:pt>
                <c:pt idx="50" c:formatCode="###,###,###,###,##0.0000_ ">
                  <c:v>2.7563</c:v>
                </c:pt>
                <c:pt idx="51" c:formatCode="###,###,###,###,##0.0000_ ">
                  <c:v>2.75</c:v>
                </c:pt>
                <c:pt idx="52" c:formatCode="###,###,###,###,##0.0000_ ">
                  <c:v>2.7173</c:v>
                </c:pt>
                <c:pt idx="53" c:formatCode="###,###,###,###,##0.0000_ ">
                  <c:v>2.6814</c:v>
                </c:pt>
                <c:pt idx="54" c:formatCode="###,###,###,###,##0.0000_ ">
                  <c:v>2.6581</c:v>
                </c:pt>
                <c:pt idx="55" c:formatCode="###,###,###,###,##0.0000_ ">
                  <c:v>2.7246</c:v>
                </c:pt>
                <c:pt idx="56" c:formatCode="###,###,###,###,##0.0000_ ">
                  <c:v>2.8001</c:v>
                </c:pt>
                <c:pt idx="57" c:formatCode="###,###,###,###,##0.0000_ ">
                  <c:v>2.855</c:v>
                </c:pt>
                <c:pt idx="58" c:formatCode="###,###,###,###,##0.0000_ ">
                  <c:v>2.7329</c:v>
                </c:pt>
                <c:pt idx="59" c:formatCode="###,###,###,###,##0.0000_ ">
                  <c:v>2.7337</c:v>
                </c:pt>
                <c:pt idx="60" c:formatCode="###,###,###,###,##0.0000_ ">
                  <c:v>2.498</c:v>
                </c:pt>
                <c:pt idx="61" c:formatCode="###,###,###,###,##0.0000_ ">
                  <c:v>2.3784</c:v>
                </c:pt>
                <c:pt idx="62" c:formatCode="###,###,###,###,##0.0000_ ">
                  <c:v>2.1917</c:v>
                </c:pt>
                <c:pt idx="63" c:formatCode="###,###,###,###,##0.0000_ ">
                  <c:v>2.2692</c:v>
                </c:pt>
                <c:pt idx="64" c:formatCode="###,###,###,###,##0.0000_ ">
                  <c:v>2.3305</c:v>
                </c:pt>
                <c:pt idx="65" c:formatCode="###,###,###,###,##0.0000_ ">
                  <c:v>2.3869</c:v>
                </c:pt>
                <c:pt idx="66" c:formatCode="###,###,###,###,##0.0000_ ">
                  <c:v>2.6445</c:v>
                </c:pt>
                <c:pt idx="67" c:formatCode="###,###,###,###,##0.0000_ ">
                  <c:v>2.6591</c:v>
                </c:pt>
                <c:pt idx="68" c:formatCode="###,###,###,###,##0.0000_ ">
                  <c:v>2.6691</c:v>
                </c:pt>
                <c:pt idx="69" c:formatCode="###,###,###,###,##0.0000_ ">
                  <c:v>2.8038</c:v>
                </c:pt>
                <c:pt idx="70" c:formatCode="###,###,###,###,##0.0000_ ">
                  <c:v>2.87129999999999</c:v>
                </c:pt>
                <c:pt idx="71" c:formatCode="###,###,###,###,##0.0000_ ">
                  <c:v>2.7916</c:v>
                </c:pt>
                <c:pt idx="72" c:formatCode="###,###,###,###,##0.0000_ ">
                  <c:v>2.76370000000001</c:v>
                </c:pt>
                <c:pt idx="73" c:formatCode="###,###,###,###,##0.0000_ ">
                  <c:v>2.6859</c:v>
                </c:pt>
                <c:pt idx="74" c:formatCode="###,###,###,###,##0.0000_ ">
                  <c:v>2.6517</c:v>
                </c:pt>
                <c:pt idx="75" c:formatCode="###,###,###,###,##0.0000_ ">
                  <c:v>2.751</c:v>
                </c:pt>
                <c:pt idx="76" c:formatCode="###,###,###,###,##0.0000_ ">
                  <c:v>2.8241</c:v>
                </c:pt>
                <c:pt idx="77" c:formatCode="###,###,###,###,##0.0000_ ">
                  <c:v>2.81489999999999</c:v>
                </c:pt>
                <c:pt idx="78" c:formatCode="###,###,###,###,##0.0000_ ">
                  <c:v>2.7048</c:v>
                </c:pt>
                <c:pt idx="79" c:formatCode="###,###,###,###,##0.0000_ ">
                  <c:v>2.7059</c:v>
                </c:pt>
                <c:pt idx="80" c:formatCode="###,###,###,###,##0.0000_ ">
                  <c:v>2.6976</c:v>
                </c:pt>
                <c:pt idx="81" c:formatCode="###,###,###,###,##0.0000_ ">
                  <c:v>2.6521</c:v>
                </c:pt>
                <c:pt idx="82" c:formatCode="###,###,###,###,##0.0000_ ">
                  <c:v>2.402</c:v>
                </c:pt>
                <c:pt idx="83" c:formatCode="###,###,###,###,##0.0000_ ">
                  <c:v>2.4168</c:v>
                </c:pt>
                <c:pt idx="84" c:formatCode="###,###,###,###,##0.0000_ ">
                  <c:v>2.2692</c:v>
                </c:pt>
                <c:pt idx="85" c:formatCode="###,###,###,###,##0.0000_ ">
                  <c:v>2.1895</c:v>
                </c:pt>
                <c:pt idx="86" c:formatCode="###,###,###,###,##0.0000_ ">
                  <c:v>2.4859</c:v>
                </c:pt>
                <c:pt idx="87" c:formatCode="###,###,###,###,##0.0000_ ">
                  <c:v>2.4788</c:v>
                </c:pt>
                <c:pt idx="88" c:formatCode="###,###,###,###,##0.0000_ ">
                  <c:v>2.507</c:v>
                </c:pt>
                <c:pt idx="89" c:formatCode="###,###,###,###,##0.0000_ ">
                  <c:v>2.6288</c:v>
                </c:pt>
                <c:pt idx="90" c:formatCode="###,###,###,###,##0.0000_ ">
                  <c:v>2.6102</c:v>
                </c:pt>
                <c:pt idx="91" c:formatCode="###,###,###,###,##0.0000_ ">
                  <c:v>2.5692</c:v>
                </c:pt>
                <c:pt idx="92" c:formatCode="###,###,###,###,##0.0000_ ">
                  <c:v>2.5457</c:v>
                </c:pt>
                <c:pt idx="93" c:formatCode="###,###,###,###,##0.0000_ ">
                  <c:v>2.6931</c:v>
                </c:pt>
                <c:pt idx="94" c:formatCode="###,###,###,###,##0.0000_ ">
                  <c:v>2.7349</c:v>
                </c:pt>
                <c:pt idx="95" c:formatCode="###,###,###,###,##0.0000_ ">
                  <c:v>2.6716</c:v>
                </c:pt>
                <c:pt idx="96" c:formatCode="###,###,###,###,##0.0000_ ">
                  <c:v>2.615</c:v>
                </c:pt>
                <c:pt idx="97" c:formatCode="###,###,###,###,##0.0000_ ">
                  <c:v>2.5469</c:v>
                </c:pt>
                <c:pt idx="98" c:formatCode="###,###,###,###,##0.0000_ ">
                  <c:v>2.7723</c:v>
                </c:pt>
                <c:pt idx="99" c:formatCode="###,###,###,###,##0.0000_ ">
                  <c:v>2.8643</c:v>
                </c:pt>
                <c:pt idx="100" c:formatCode="###,###,###,###,##0.0000_ ">
                  <c:v>2.801</c:v>
                </c:pt>
                <c:pt idx="101" c:formatCode="###,###,###,###,##0.0000_ ">
                  <c:v>2.6517</c:v>
                </c:pt>
                <c:pt idx="102" c:formatCode="###,###,###,###,##0.0000_ ">
                  <c:v>2.6308</c:v>
                </c:pt>
                <c:pt idx="103" c:formatCode="###,###,###,###,##0.0000_ ">
                  <c:v>2.4557</c:v>
                </c:pt>
                <c:pt idx="104" c:formatCode="###,###,###,###,##0.0000_ ">
                  <c:v>2.35649999999999</c:v>
                </c:pt>
                <c:pt idx="105" c:formatCode="###,###,###,###,##0.0000_ ">
                  <c:v>2.4463</c:v>
                </c:pt>
                <c:pt idx="106" c:formatCode="###,###,###,###,##0.0000_ ">
                  <c:v>2.502</c:v>
                </c:pt>
                <c:pt idx="107" c:formatCode="###,###,###,###,##0.0000_ ">
                  <c:v>2.4823</c:v>
                </c:pt>
                <c:pt idx="108" c:formatCode="###,###,###,###,##0.0000_ ">
                  <c:v>2.5153</c:v>
                </c:pt>
                <c:pt idx="109" c:formatCode="###,###,###,###,##0.0000_ ">
                  <c:v>2.4918</c:v>
                </c:pt>
                <c:pt idx="110" c:formatCode="###,###,###,###,##0.0000_ ">
                  <c:v>2.499</c:v>
                </c:pt>
                <c:pt idx="111" c:formatCode="###,###,###,###,##0.0000_ ">
                  <c:v>2.496</c:v>
                </c:pt>
                <c:pt idx="112" c:formatCode="###,###,###,###,##0.0000_ ">
                  <c:v>2.3494</c:v>
                </c:pt>
                <c:pt idx="113" c:formatCode="###,###,###,###,##0.0000_ ">
                  <c:v>2.2514</c:v>
                </c:pt>
                <c:pt idx="114" c:formatCode="###,###,###,###,##0.0000_ ">
                  <c:v>2.2151</c:v>
                </c:pt>
                <c:pt idx="115" c:formatCode="###,###,###,###,##0.0000_ ">
                  <c:v>2.2868</c:v>
                </c:pt>
                <c:pt idx="116" c:formatCode="###,###,###,###,##0.0000_ ">
                  <c:v>2.2765</c:v>
                </c:pt>
                <c:pt idx="117" c:formatCode="###,###,###,###,##0.0000_ ">
                  <c:v>2.2708</c:v>
                </c:pt>
                <c:pt idx="118" c:formatCode="###,###,###,###,##0.0000_ ">
                  <c:v>2.41669999999999</c:v>
                </c:pt>
                <c:pt idx="119" c:formatCode="###,###,###,###,##0.0000_ ">
                  <c:v>2.3801</c:v>
                </c:pt>
                <c:pt idx="120" c:formatCode="###,###,###,###,##0.0000_ ">
                  <c:v>2.559</c:v>
                </c:pt>
                <c:pt idx="121" c:formatCode="###,###,###,###,##0.0000_ ">
                  <c:v>2.5636</c:v>
                </c:pt>
              </c:numCache>
            </c:numRef>
          </c:val>
          <c:smooth val="0"/>
        </c:ser>
        <c:dLbls>
          <c:showLegendKey val="0"/>
          <c:showVal val="0"/>
          <c:showCatName val="0"/>
          <c:showSerName val="0"/>
          <c:showPercent val="0"/>
          <c:showBubbleSize val="0"/>
        </c:dLbls>
        <c:marker val="0"/>
        <c:smooth val="0"/>
        <c:axId val="146485632"/>
        <c:axId val="146487552"/>
      </c:lineChart>
      <c:dateAx>
        <c:axId val="146485632"/>
        <c:scaling>
          <c:orientation val="minMax"/>
          <c:max val="43644"/>
          <c:min val="43466"/>
        </c:scaling>
        <c:delete val="0"/>
        <c:axPos val="b"/>
        <c:numFmt formatCode="yyyy/mm/dd" sourceLinked="0"/>
        <c:majorTickMark val="in"/>
        <c:minorTickMark val="in"/>
        <c:tickLblPos val="nextTo"/>
        <c:txPr>
          <a:bodyPr rot="-5400000" spcFirstLastPara="0" vertOverflow="ellipsis" vert="horz" wrap="square" anchor="ctr" anchorCtr="1"/>
          <a:lstStyle/>
          <a:p>
            <a:pPr>
              <a:defRPr lang="en-US" sz="1200" b="0" i="0" u="none" strike="noStrike" kern="1200" baseline="0">
                <a:solidFill>
                  <a:schemeClr val="tx1"/>
                </a:solidFill>
                <a:latin typeface="+mn-lt"/>
                <a:ea typeface="+mn-ea"/>
                <a:cs typeface="+mn-cs"/>
              </a:defRPr>
            </a:pPr>
          </a:p>
        </c:txPr>
        <c:crossAx val="146487552"/>
        <c:crosses val="autoZero"/>
        <c:auto val="0"/>
        <c:lblOffset val="100"/>
        <c:baseTimeUnit val="days"/>
      </c:dateAx>
      <c:valAx>
        <c:axId val="146487552"/>
        <c:scaling>
          <c:orientation val="minMax"/>
          <c:max val="3.5"/>
          <c:min val="1.5"/>
        </c:scaling>
        <c:delete val="0"/>
        <c:axPos val="l"/>
        <c:numFmt formatCode="#,##0.0_);[Red]\(#,##0.0\)" sourceLinked="0"/>
        <c:majorTickMark val="in"/>
        <c:minorTickMark val="none"/>
        <c:tickLblPos val="nextTo"/>
        <c:txPr>
          <a:bodyPr rot="-60000000" spcFirstLastPara="0" vertOverflow="ellipsis" vert="horz" wrap="square" anchor="ctr" anchorCtr="1"/>
          <a:lstStyle/>
          <a:p>
            <a:pPr>
              <a:defRPr lang="en-US" sz="1200" b="0" i="0" u="none" strike="noStrike" kern="1200" baseline="0">
                <a:solidFill>
                  <a:schemeClr val="tx1"/>
                </a:solidFill>
                <a:latin typeface="+mn-lt"/>
                <a:ea typeface="+mn-ea"/>
                <a:cs typeface="+mn-cs"/>
              </a:defRPr>
            </a:pPr>
          </a:p>
        </c:txPr>
        <c:crossAx val="146485632"/>
        <c:crosses val="autoZero"/>
        <c:crossBetween val="between"/>
      </c:valAx>
      <c:spPr>
        <a:noFill/>
        <a:effectLst>
          <a:outerShdw blurRad="50800" dist="50800" dir="5400000" algn="ctr" rotWithShape="0">
            <a:srgbClr val="000000">
              <a:alpha val="0"/>
            </a:srgbClr>
          </a:outerShdw>
        </a:effectLst>
      </c:spPr>
    </c:plotArea>
    <c:legend>
      <c:legendPos val="t"/>
      <c:legendEntry>
        <c:idx val="0"/>
        <c:txPr>
          <a:bodyPr rot="0" spcFirstLastPara="0" vertOverflow="ellipsis" vert="horz" wrap="square"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p>
        </c:txPr>
      </c:legendEntry>
      <c:layout>
        <c:manualLayout>
          <c:xMode val="edge"/>
          <c:yMode val="edge"/>
          <c:x val="0.115498450780295"/>
          <c:y val="0.0904092657022525"/>
          <c:w val="0.492629343774287"/>
          <c:h val="0.168742104167927"/>
        </c:manualLayout>
      </c:layout>
      <c:overlay val="1"/>
      <c:txPr>
        <a:bodyPr rot="0" spcFirstLastPara="0" vertOverflow="ellipsis" vert="horz" wrap="square" anchor="ctr" anchorCtr="1"/>
        <a:lstStyle/>
        <a:p>
          <a:pPr>
            <a:defRPr lang="en-US" sz="1200" b="0" i="0" u="none" strike="noStrike" kern="1200" baseline="0">
              <a:solidFill>
                <a:schemeClr val="tx1"/>
              </a:solidFill>
              <a:latin typeface="仿宋_GB2312" panose="02010609030101010101" pitchFamily="3" charset="-122"/>
              <a:ea typeface="仿宋_GB2312" panose="02010609030101010101" pitchFamily="3" charset="-122"/>
              <a:cs typeface="+mn-cs"/>
            </a:defRPr>
          </a:pPr>
        </a:p>
      </c:txPr>
    </c:legend>
    <c:plotVisOnly val="1"/>
    <c:dispBlanksAs val="gap"/>
    <c:showDLblsOverMax val="0"/>
  </c:chart>
  <c:spPr>
    <a:noFill/>
    <a:ln w="9525" cap="flat" cmpd="sng" algn="ctr">
      <a:noFill/>
      <a:prstDash val="solid"/>
      <a:round/>
    </a:ln>
  </c:spPr>
  <c:txPr>
    <a:bodyPr/>
    <a:lstStyle/>
    <a:p>
      <a:pPr>
        <a:defRPr lang="zh-CN"/>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696850393701"/>
          <c:y val="0.0514005540974045"/>
          <c:w val="0.843346237970254"/>
          <c:h val="0.702206547098279"/>
        </c:manualLayout>
      </c:layout>
      <c:barChart>
        <c:barDir val="col"/>
        <c:grouping val="stacked"/>
        <c:varyColors val="0"/>
        <c:ser>
          <c:idx val="0"/>
          <c:order val="0"/>
          <c:tx>
            <c:strRef>
              <c:f>Sheet1!$B$1</c:f>
              <c:strCache>
                <c:ptCount val="1"/>
                <c:pt idx="0">
                  <c:v>Trade in Goods</c:v>
                </c:pt>
              </c:strCache>
            </c:strRef>
          </c:tx>
          <c:invertIfNegative val="0"/>
          <c:dLbls>
            <c:delete val="1"/>
          </c:dLbls>
          <c:cat>
            <c:numRef>
              <c:f>Sheet1!$A$30:$A$111</c:f>
              <c:numCache>
                <c:formatCode>General</c:formatCode>
                <c:ptCount val="82"/>
                <c:pt idx="0">
                  <c:v>2012.09</c:v>
                </c:pt>
                <c:pt idx="1">
                  <c:v>2012.1</c:v>
                </c:pt>
                <c:pt idx="2">
                  <c:v>2012.11</c:v>
                </c:pt>
                <c:pt idx="3">
                  <c:v>2012.12</c:v>
                </c:pt>
                <c:pt idx="4">
                  <c:v>2013.01</c:v>
                </c:pt>
                <c:pt idx="5">
                  <c:v>2013.02</c:v>
                </c:pt>
                <c:pt idx="6">
                  <c:v>2013.03</c:v>
                </c:pt>
                <c:pt idx="7">
                  <c:v>2013.04</c:v>
                </c:pt>
                <c:pt idx="8">
                  <c:v>2013.05</c:v>
                </c:pt>
                <c:pt idx="9">
                  <c:v>2013.06</c:v>
                </c:pt>
                <c:pt idx="10">
                  <c:v>2013.07</c:v>
                </c:pt>
                <c:pt idx="11">
                  <c:v>2013.08</c:v>
                </c:pt>
                <c:pt idx="12">
                  <c:v>2013.09</c:v>
                </c:pt>
                <c:pt idx="13">
                  <c:v>2013.1</c:v>
                </c:pt>
                <c:pt idx="14">
                  <c:v>2013.11</c:v>
                </c:pt>
                <c:pt idx="15">
                  <c:v>2013.12</c:v>
                </c:pt>
                <c:pt idx="16">
                  <c:v>2014.01</c:v>
                </c:pt>
                <c:pt idx="17">
                  <c:v>2014.02</c:v>
                </c:pt>
                <c:pt idx="18">
                  <c:v>2014.03</c:v>
                </c:pt>
                <c:pt idx="19">
                  <c:v>2014.04</c:v>
                </c:pt>
                <c:pt idx="20">
                  <c:v>2014.05</c:v>
                </c:pt>
                <c:pt idx="21">
                  <c:v>2014.06</c:v>
                </c:pt>
                <c:pt idx="22">
                  <c:v>2014.07</c:v>
                </c:pt>
                <c:pt idx="23">
                  <c:v>2014.08</c:v>
                </c:pt>
                <c:pt idx="24">
                  <c:v>2014.09</c:v>
                </c:pt>
                <c:pt idx="25">
                  <c:v>2014.1</c:v>
                </c:pt>
                <c:pt idx="26">
                  <c:v>2014.11</c:v>
                </c:pt>
                <c:pt idx="27">
                  <c:v>2014.12</c:v>
                </c:pt>
                <c:pt idx="28">
                  <c:v>2015.01</c:v>
                </c:pt>
                <c:pt idx="29">
                  <c:v>2015.02</c:v>
                </c:pt>
                <c:pt idx="30">
                  <c:v>2015.03</c:v>
                </c:pt>
                <c:pt idx="31">
                  <c:v>2015.04</c:v>
                </c:pt>
                <c:pt idx="32">
                  <c:v>2015.05</c:v>
                </c:pt>
                <c:pt idx="33">
                  <c:v>2015.06</c:v>
                </c:pt>
                <c:pt idx="34">
                  <c:v>2015.07</c:v>
                </c:pt>
                <c:pt idx="35">
                  <c:v>2015.08</c:v>
                </c:pt>
                <c:pt idx="36">
                  <c:v>2015.09</c:v>
                </c:pt>
                <c:pt idx="37">
                  <c:v>2015.1</c:v>
                </c:pt>
                <c:pt idx="38">
                  <c:v>2015.11</c:v>
                </c:pt>
                <c:pt idx="39">
                  <c:v>2015.12</c:v>
                </c:pt>
                <c:pt idx="40">
                  <c:v>2016.01</c:v>
                </c:pt>
                <c:pt idx="41">
                  <c:v>2016.02</c:v>
                </c:pt>
                <c:pt idx="42">
                  <c:v>2016.03</c:v>
                </c:pt>
                <c:pt idx="43">
                  <c:v>2016.04</c:v>
                </c:pt>
                <c:pt idx="44">
                  <c:v>2016.05</c:v>
                </c:pt>
                <c:pt idx="45">
                  <c:v>2016.06</c:v>
                </c:pt>
                <c:pt idx="46">
                  <c:v>2016.07</c:v>
                </c:pt>
                <c:pt idx="47">
                  <c:v>2016.08</c:v>
                </c:pt>
                <c:pt idx="48">
                  <c:v>2016.09</c:v>
                </c:pt>
                <c:pt idx="49">
                  <c:v>2016.1</c:v>
                </c:pt>
                <c:pt idx="50">
                  <c:v>2016.11</c:v>
                </c:pt>
                <c:pt idx="51">
                  <c:v>2016.12</c:v>
                </c:pt>
                <c:pt idx="52">
                  <c:v>2017.01</c:v>
                </c:pt>
                <c:pt idx="53">
                  <c:v>2017.02</c:v>
                </c:pt>
                <c:pt idx="54">
                  <c:v>2017.03</c:v>
                </c:pt>
                <c:pt idx="55">
                  <c:v>2017.04</c:v>
                </c:pt>
                <c:pt idx="56">
                  <c:v>2017.05</c:v>
                </c:pt>
                <c:pt idx="57">
                  <c:v>2017.06</c:v>
                </c:pt>
                <c:pt idx="58">
                  <c:v>2017.07</c:v>
                </c:pt>
                <c:pt idx="59">
                  <c:v>2017.08</c:v>
                </c:pt>
                <c:pt idx="60">
                  <c:v>2017.09</c:v>
                </c:pt>
                <c:pt idx="61">
                  <c:v>2017.1</c:v>
                </c:pt>
                <c:pt idx="62">
                  <c:v>2017.11</c:v>
                </c:pt>
                <c:pt idx="63">
                  <c:v>2017.12</c:v>
                </c:pt>
                <c:pt idx="64">
                  <c:v>2018.01</c:v>
                </c:pt>
                <c:pt idx="65">
                  <c:v>2018.02</c:v>
                </c:pt>
                <c:pt idx="66">
                  <c:v>2018.03</c:v>
                </c:pt>
                <c:pt idx="67">
                  <c:v>2018.04</c:v>
                </c:pt>
                <c:pt idx="68">
                  <c:v>2018.05</c:v>
                </c:pt>
                <c:pt idx="69">
                  <c:v>2018.06</c:v>
                </c:pt>
                <c:pt idx="70">
                  <c:v>2018.07</c:v>
                </c:pt>
                <c:pt idx="71">
                  <c:v>2018.08</c:v>
                </c:pt>
                <c:pt idx="72">
                  <c:v>2018.09</c:v>
                </c:pt>
                <c:pt idx="73">
                  <c:v>2018.1</c:v>
                </c:pt>
                <c:pt idx="74">
                  <c:v>2018.11</c:v>
                </c:pt>
                <c:pt idx="75">
                  <c:v>2018.12</c:v>
                </c:pt>
                <c:pt idx="76">
                  <c:v>2019.01</c:v>
                </c:pt>
                <c:pt idx="77">
                  <c:v>2019.02</c:v>
                </c:pt>
                <c:pt idx="78">
                  <c:v>2019.03</c:v>
                </c:pt>
                <c:pt idx="79">
                  <c:v>2019.04</c:v>
                </c:pt>
                <c:pt idx="80">
                  <c:v>2019.05</c:v>
                </c:pt>
                <c:pt idx="81">
                  <c:v>2019.06</c:v>
                </c:pt>
              </c:numCache>
            </c:numRef>
          </c:cat>
          <c:val>
            <c:numRef>
              <c:f>Sheet1!$B$27:$B$111</c:f>
              <c:numCache>
                <c:formatCode>0.0_ </c:formatCode>
                <c:ptCount val="85"/>
                <c:pt idx="0">
                  <c:v>2346.067237</c:v>
                </c:pt>
                <c:pt idx="1">
                  <c:v>2213.32135300002</c:v>
                </c:pt>
                <c:pt idx="2">
                  <c:v>2546.047244</c:v>
                </c:pt>
                <c:pt idx="3">
                  <c:v>2639.062535</c:v>
                </c:pt>
                <c:pt idx="4">
                  <c:v>2161.113614</c:v>
                </c:pt>
                <c:pt idx="5">
                  <c:v>2694.503663</c:v>
                </c:pt>
                <c:pt idx="6">
                  <c:v>2654.885615</c:v>
                </c:pt>
                <c:pt idx="7">
                  <c:v>2901.129867</c:v>
                </c:pt>
                <c:pt idx="8">
                  <c:v>2515.780507</c:v>
                </c:pt>
                <c:pt idx="9">
                  <c:v>3838.13112300002</c:v>
                </c:pt>
                <c:pt idx="10">
                  <c:v>3065.597419</c:v>
                </c:pt>
                <c:pt idx="11">
                  <c:v>3312.584736</c:v>
                </c:pt>
                <c:pt idx="12">
                  <c:v>2855.846075</c:v>
                </c:pt>
                <c:pt idx="13">
                  <c:v>3208.689855</c:v>
                </c:pt>
                <c:pt idx="14">
                  <c:v>3144.28679599998</c:v>
                </c:pt>
                <c:pt idx="15">
                  <c:v>3440.71915600002</c:v>
                </c:pt>
                <c:pt idx="16">
                  <c:v>3597.687615</c:v>
                </c:pt>
                <c:pt idx="17">
                  <c:v>4709.005172</c:v>
                </c:pt>
                <c:pt idx="18">
                  <c:v>4782.563797</c:v>
                </c:pt>
                <c:pt idx="19">
                  <c:v>5045.48226900003</c:v>
                </c:pt>
                <c:pt idx="20">
                  <c:v>4070.744114</c:v>
                </c:pt>
                <c:pt idx="21">
                  <c:v>6075.289802</c:v>
                </c:pt>
                <c:pt idx="22">
                  <c:v>4932.009904</c:v>
                </c:pt>
                <c:pt idx="23">
                  <c:v>4579.443026</c:v>
                </c:pt>
                <c:pt idx="24">
                  <c:v>4836.796253</c:v>
                </c:pt>
                <c:pt idx="25">
                  <c:v>4374.831815</c:v>
                </c:pt>
                <c:pt idx="26">
                  <c:v>4114.513344</c:v>
                </c:pt>
                <c:pt idx="27" c:formatCode="General">
                  <c:v>5220</c:v>
                </c:pt>
                <c:pt idx="28" c:formatCode="General">
                  <c:v>5112</c:v>
                </c:pt>
                <c:pt idx="29" c:formatCode="General">
                  <c:v>5124.3</c:v>
                </c:pt>
                <c:pt idx="30" c:formatCode="General">
                  <c:v>5361.8</c:v>
                </c:pt>
                <c:pt idx="31" c:formatCode="General">
                  <c:v>4834</c:v>
                </c:pt>
                <c:pt idx="32" c:formatCode="General">
                  <c:v>4087.6</c:v>
                </c:pt>
                <c:pt idx="33" c:formatCode="General">
                  <c:v>6017.3</c:v>
                </c:pt>
                <c:pt idx="34" c:formatCode="General">
                  <c:v>4816.4</c:v>
                </c:pt>
                <c:pt idx="35" c:formatCode="General">
                  <c:v>4567.6</c:v>
                </c:pt>
                <c:pt idx="36" c:formatCode="General">
                  <c:v>5576.3</c:v>
                </c:pt>
                <c:pt idx="37" c:formatCode="General">
                  <c:v>5358</c:v>
                </c:pt>
                <c:pt idx="38" c:formatCode="General">
                  <c:v>6928.79</c:v>
                </c:pt>
                <c:pt idx="39" c:formatCode="General">
                  <c:v>6378.4</c:v>
                </c:pt>
                <c:pt idx="40" c:formatCode="General">
                  <c:v>3700.4</c:v>
                </c:pt>
                <c:pt idx="41" c:formatCode="General">
                  <c:v>4529.1</c:v>
                </c:pt>
                <c:pt idx="42" c:formatCode="General">
                  <c:v>6823.7</c:v>
                </c:pt>
                <c:pt idx="43" c:formatCode="General">
                  <c:v>4921.6</c:v>
                </c:pt>
                <c:pt idx="44" c:formatCode="General">
                  <c:v>2915.7</c:v>
                </c:pt>
                <c:pt idx="45" c:formatCode="General">
                  <c:v>3495.9</c:v>
                </c:pt>
                <c:pt idx="46" c:formatCode="General">
                  <c:v>3137.7</c:v>
                </c:pt>
                <c:pt idx="47" c:formatCode="General">
                  <c:v>3466.9</c:v>
                </c:pt>
                <c:pt idx="48" c:formatCode="General">
                  <c:v>3649.9</c:v>
                </c:pt>
                <c:pt idx="49" c:formatCode="General">
                  <c:v>3506.4</c:v>
                </c:pt>
                <c:pt idx="50" c:formatCode="General">
                  <c:v>3393.5</c:v>
                </c:pt>
                <c:pt idx="51" c:formatCode="General">
                  <c:v>3200.5</c:v>
                </c:pt>
                <c:pt idx="52" c:formatCode="General">
                  <c:v>2861.3</c:v>
                </c:pt>
                <c:pt idx="53" c:formatCode="General">
                  <c:v>3582.5</c:v>
                </c:pt>
                <c:pt idx="54" c:formatCode="General">
                  <c:v>2944.1</c:v>
                </c:pt>
                <c:pt idx="55" c:formatCode="General">
                  <c:v>2599.1</c:v>
                </c:pt>
                <c:pt idx="56" c:formatCode="General">
                  <c:v>2300.7</c:v>
                </c:pt>
                <c:pt idx="57" c:formatCode="General">
                  <c:v>2973</c:v>
                </c:pt>
                <c:pt idx="58" c:formatCode="General">
                  <c:v>2514.9</c:v>
                </c:pt>
                <c:pt idx="59" c:formatCode="General">
                  <c:v>2709.2</c:v>
                </c:pt>
                <c:pt idx="60" c:formatCode="General">
                  <c:v>3259.9</c:v>
                </c:pt>
                <c:pt idx="61" c:formatCode="General">
                  <c:v>2388.2</c:v>
                </c:pt>
                <c:pt idx="62" c:formatCode="General">
                  <c:v>2538</c:v>
                </c:pt>
                <c:pt idx="63" c:formatCode="General">
                  <c:v>2710.1</c:v>
                </c:pt>
                <c:pt idx="64" c:formatCode="General">
                  <c:v>2468.7</c:v>
                </c:pt>
                <c:pt idx="65" c:formatCode="General">
                  <c:v>3023.2</c:v>
                </c:pt>
                <c:pt idx="66" c:formatCode="General">
                  <c:v>3038.6</c:v>
                </c:pt>
                <c:pt idx="67" c:formatCode="General">
                  <c:v>2813.7</c:v>
                </c:pt>
                <c:pt idx="68" c:formatCode="General">
                  <c:v>2214.9</c:v>
                </c:pt>
                <c:pt idx="69" c:formatCode="General">
                  <c:v>2928.1</c:v>
                </c:pt>
                <c:pt idx="70" c:formatCode="General">
                  <c:v>2702.8</c:v>
                </c:pt>
                <c:pt idx="71" c:formatCode="General">
                  <c:v>3010.4</c:v>
                </c:pt>
                <c:pt idx="72" c:formatCode="General">
                  <c:v>2855.1</c:v>
                </c:pt>
                <c:pt idx="73" c:formatCode="General">
                  <c:v>3286.6</c:v>
                </c:pt>
                <c:pt idx="74" c:formatCode="General">
                  <c:v>3381.4</c:v>
                </c:pt>
                <c:pt idx="75" c:formatCode="General">
                  <c:v>3147.2</c:v>
                </c:pt>
                <c:pt idx="76" c:formatCode="General">
                  <c:v>3242.7</c:v>
                </c:pt>
                <c:pt idx="77" c:formatCode="General">
                  <c:v>3567.5</c:v>
                </c:pt>
                <c:pt idx="78" c:formatCode="General">
                  <c:v>3626.2</c:v>
                </c:pt>
                <c:pt idx="79" c:formatCode="General">
                  <c:v>3603.6</c:v>
                </c:pt>
                <c:pt idx="80" c:formatCode="General">
                  <c:v>2662.2</c:v>
                </c:pt>
                <c:pt idx="81" c:formatCode="General">
                  <c:v>3287.4</c:v>
                </c:pt>
                <c:pt idx="82" c:formatCode="General">
                  <c:v>3500.3</c:v>
                </c:pt>
                <c:pt idx="83" c:formatCode="General">
                  <c:v>3778.3</c:v>
                </c:pt>
                <c:pt idx="84" c:formatCode="General">
                  <c:v>3335.2</c:v>
                </c:pt>
              </c:numCache>
            </c:numRef>
          </c:val>
        </c:ser>
        <c:ser>
          <c:idx val="1"/>
          <c:order val="1"/>
          <c:tx>
            <c:strRef>
              <c:f>Sheet1!$C$1</c:f>
              <c:strCache>
                <c:ptCount val="1"/>
                <c:pt idx="0">
                  <c:v>Trade in Services and other Items</c:v>
                </c:pt>
              </c:strCache>
            </c:strRef>
          </c:tx>
          <c:invertIfNegative val="0"/>
          <c:dLbls>
            <c:delete val="1"/>
          </c:dLbls>
          <c:cat>
            <c:numRef>
              <c:f>Sheet1!$A$27:$A$108</c:f>
              <c:numCache>
                <c:formatCode>General</c:formatCode>
                <c:ptCount val="82"/>
                <c:pt idx="0">
                  <c:v>2012.09</c:v>
                </c:pt>
                <c:pt idx="1">
                  <c:v>2012.1</c:v>
                </c:pt>
                <c:pt idx="2">
                  <c:v>2012.11</c:v>
                </c:pt>
                <c:pt idx="3">
                  <c:v>2012.12</c:v>
                </c:pt>
                <c:pt idx="4">
                  <c:v>2013.01</c:v>
                </c:pt>
                <c:pt idx="5">
                  <c:v>2013.02</c:v>
                </c:pt>
                <c:pt idx="6">
                  <c:v>2013.03</c:v>
                </c:pt>
                <c:pt idx="7">
                  <c:v>2013.04</c:v>
                </c:pt>
                <c:pt idx="8">
                  <c:v>2013.05</c:v>
                </c:pt>
                <c:pt idx="9">
                  <c:v>2013.06</c:v>
                </c:pt>
                <c:pt idx="10">
                  <c:v>2013.07</c:v>
                </c:pt>
                <c:pt idx="11">
                  <c:v>2013.08</c:v>
                </c:pt>
                <c:pt idx="12">
                  <c:v>2013.09</c:v>
                </c:pt>
                <c:pt idx="13">
                  <c:v>2013.1</c:v>
                </c:pt>
                <c:pt idx="14">
                  <c:v>2013.11</c:v>
                </c:pt>
                <c:pt idx="15">
                  <c:v>2013.12</c:v>
                </c:pt>
                <c:pt idx="16">
                  <c:v>2014.01</c:v>
                </c:pt>
                <c:pt idx="17">
                  <c:v>2014.02</c:v>
                </c:pt>
                <c:pt idx="18">
                  <c:v>2014.03</c:v>
                </c:pt>
                <c:pt idx="19">
                  <c:v>2014.04</c:v>
                </c:pt>
                <c:pt idx="20">
                  <c:v>2014.05</c:v>
                </c:pt>
                <c:pt idx="21">
                  <c:v>2014.06</c:v>
                </c:pt>
                <c:pt idx="22">
                  <c:v>2014.07</c:v>
                </c:pt>
                <c:pt idx="23">
                  <c:v>2014.08</c:v>
                </c:pt>
                <c:pt idx="24">
                  <c:v>2014.09</c:v>
                </c:pt>
                <c:pt idx="25">
                  <c:v>2014.1</c:v>
                </c:pt>
                <c:pt idx="26">
                  <c:v>2014.11</c:v>
                </c:pt>
                <c:pt idx="27">
                  <c:v>2014.12</c:v>
                </c:pt>
                <c:pt idx="28">
                  <c:v>2015.01</c:v>
                </c:pt>
                <c:pt idx="29">
                  <c:v>2015.02</c:v>
                </c:pt>
                <c:pt idx="30">
                  <c:v>2015.03</c:v>
                </c:pt>
                <c:pt idx="31">
                  <c:v>2015.04</c:v>
                </c:pt>
                <c:pt idx="32">
                  <c:v>2015.05</c:v>
                </c:pt>
                <c:pt idx="33">
                  <c:v>2015.06</c:v>
                </c:pt>
                <c:pt idx="34">
                  <c:v>2015.07</c:v>
                </c:pt>
                <c:pt idx="35">
                  <c:v>2015.08</c:v>
                </c:pt>
                <c:pt idx="36">
                  <c:v>2015.09</c:v>
                </c:pt>
                <c:pt idx="37">
                  <c:v>2015.1</c:v>
                </c:pt>
                <c:pt idx="38">
                  <c:v>2015.11</c:v>
                </c:pt>
                <c:pt idx="39">
                  <c:v>2015.12</c:v>
                </c:pt>
                <c:pt idx="40">
                  <c:v>2016.01</c:v>
                </c:pt>
                <c:pt idx="41">
                  <c:v>2016.02</c:v>
                </c:pt>
                <c:pt idx="42">
                  <c:v>2016.03</c:v>
                </c:pt>
                <c:pt idx="43">
                  <c:v>2016.04</c:v>
                </c:pt>
                <c:pt idx="44">
                  <c:v>2016.05</c:v>
                </c:pt>
                <c:pt idx="45">
                  <c:v>2016.06</c:v>
                </c:pt>
                <c:pt idx="46">
                  <c:v>2016.07</c:v>
                </c:pt>
                <c:pt idx="47">
                  <c:v>2016.08</c:v>
                </c:pt>
                <c:pt idx="48">
                  <c:v>2016.09</c:v>
                </c:pt>
                <c:pt idx="49">
                  <c:v>2016.1</c:v>
                </c:pt>
                <c:pt idx="50">
                  <c:v>2016.11</c:v>
                </c:pt>
                <c:pt idx="51">
                  <c:v>2016.12</c:v>
                </c:pt>
                <c:pt idx="52">
                  <c:v>2017.01</c:v>
                </c:pt>
                <c:pt idx="53">
                  <c:v>2017.02</c:v>
                </c:pt>
                <c:pt idx="54">
                  <c:v>2017.03</c:v>
                </c:pt>
                <c:pt idx="55">
                  <c:v>2017.04</c:v>
                </c:pt>
                <c:pt idx="56">
                  <c:v>2017.05</c:v>
                </c:pt>
                <c:pt idx="57">
                  <c:v>2017.06</c:v>
                </c:pt>
                <c:pt idx="58">
                  <c:v>2017.07</c:v>
                </c:pt>
                <c:pt idx="59">
                  <c:v>2017.08</c:v>
                </c:pt>
                <c:pt idx="60">
                  <c:v>2017.09</c:v>
                </c:pt>
                <c:pt idx="61">
                  <c:v>2017.1</c:v>
                </c:pt>
                <c:pt idx="62">
                  <c:v>2017.11</c:v>
                </c:pt>
                <c:pt idx="63">
                  <c:v>2017.12</c:v>
                </c:pt>
                <c:pt idx="64">
                  <c:v>2018.01</c:v>
                </c:pt>
                <c:pt idx="65">
                  <c:v>2018.02</c:v>
                </c:pt>
                <c:pt idx="66">
                  <c:v>2018.03</c:v>
                </c:pt>
                <c:pt idx="67">
                  <c:v>2018.04</c:v>
                </c:pt>
                <c:pt idx="68">
                  <c:v>2018.05</c:v>
                </c:pt>
                <c:pt idx="69">
                  <c:v>2018.06</c:v>
                </c:pt>
                <c:pt idx="70">
                  <c:v>2018.07</c:v>
                </c:pt>
                <c:pt idx="71">
                  <c:v>2018.08</c:v>
                </c:pt>
                <c:pt idx="72">
                  <c:v>2018.09</c:v>
                </c:pt>
                <c:pt idx="73">
                  <c:v>2018.1</c:v>
                </c:pt>
                <c:pt idx="74">
                  <c:v>2018.11</c:v>
                </c:pt>
                <c:pt idx="75">
                  <c:v>2018.12</c:v>
                </c:pt>
                <c:pt idx="76">
                  <c:v>2019.01</c:v>
                </c:pt>
                <c:pt idx="77">
                  <c:v>2019.02</c:v>
                </c:pt>
                <c:pt idx="78">
                  <c:v>2019.03</c:v>
                </c:pt>
                <c:pt idx="79">
                  <c:v>2019.04</c:v>
                </c:pt>
                <c:pt idx="80">
                  <c:v>2019.05</c:v>
                </c:pt>
                <c:pt idx="81">
                  <c:v>2019.06</c:v>
                </c:pt>
              </c:numCache>
            </c:numRef>
          </c:cat>
          <c:val>
            <c:numRef>
              <c:f>Sheet1!$C$27:$C$111</c:f>
              <c:numCache>
                <c:formatCode>0.0_ </c:formatCode>
                <c:ptCount val="85"/>
                <c:pt idx="0">
                  <c:v>343.494983</c:v>
                </c:pt>
                <c:pt idx="1">
                  <c:v>276.259774</c:v>
                </c:pt>
                <c:pt idx="2">
                  <c:v>245.508142000001</c:v>
                </c:pt>
                <c:pt idx="3">
                  <c:v>235.450866</c:v>
                </c:pt>
                <c:pt idx="4">
                  <c:v>182.499626</c:v>
                </c:pt>
                <c:pt idx="5">
                  <c:v>241.936515</c:v>
                </c:pt>
                <c:pt idx="6">
                  <c:v>387.868523</c:v>
                </c:pt>
                <c:pt idx="7">
                  <c:v>322.704244</c:v>
                </c:pt>
                <c:pt idx="8">
                  <c:v>215.303279</c:v>
                </c:pt>
                <c:pt idx="9">
                  <c:v>406.236362999998</c:v>
                </c:pt>
                <c:pt idx="10">
                  <c:v>279.384846</c:v>
                </c:pt>
                <c:pt idx="11">
                  <c:v>385.960317999997</c:v>
                </c:pt>
                <c:pt idx="12">
                  <c:v>561.814026999998</c:v>
                </c:pt>
                <c:pt idx="13">
                  <c:v>421.689297</c:v>
                </c:pt>
                <c:pt idx="14">
                  <c:v>443.154643000003</c:v>
                </c:pt>
                <c:pt idx="15">
                  <c:v>502.778131999997</c:v>
                </c:pt>
                <c:pt idx="16">
                  <c:v>365.949437</c:v>
                </c:pt>
                <c:pt idx="17">
                  <c:v>488.794211999999</c:v>
                </c:pt>
                <c:pt idx="18">
                  <c:v>612.526323999999</c:v>
                </c:pt>
                <c:pt idx="19">
                  <c:v>542.178126</c:v>
                </c:pt>
                <c:pt idx="20">
                  <c:v>385.612345</c:v>
                </c:pt>
                <c:pt idx="21">
                  <c:v>536.922432</c:v>
                </c:pt>
                <c:pt idx="22">
                  <c:v>481.181352999999</c:v>
                </c:pt>
                <c:pt idx="23">
                  <c:v>619.830866999998</c:v>
                </c:pt>
                <c:pt idx="24">
                  <c:v>682.639534</c:v>
                </c:pt>
                <c:pt idx="25">
                  <c:v>647.704439000001</c:v>
                </c:pt>
                <c:pt idx="26">
                  <c:v>496.715206</c:v>
                </c:pt>
                <c:pt idx="27" c:formatCode="0.00_ ">
                  <c:v>562.0432</c:v>
                </c:pt>
                <c:pt idx="28" c:formatCode="General">
                  <c:v>485.9</c:v>
                </c:pt>
                <c:pt idx="29" c:formatCode="General">
                  <c:v>443.9</c:v>
                </c:pt>
                <c:pt idx="30" c:formatCode="General">
                  <c:v>690.4</c:v>
                </c:pt>
                <c:pt idx="31" c:formatCode="General">
                  <c:v>552.5</c:v>
                </c:pt>
                <c:pt idx="32" c:formatCode="General">
                  <c:v>435.3</c:v>
                </c:pt>
                <c:pt idx="33" c:formatCode="General">
                  <c:v>543</c:v>
                </c:pt>
                <c:pt idx="34" c:formatCode="General">
                  <c:v>574.7</c:v>
                </c:pt>
                <c:pt idx="35" c:formatCode="General">
                  <c:v>651.8</c:v>
                </c:pt>
                <c:pt idx="36" c:formatCode="General">
                  <c:v>897.7</c:v>
                </c:pt>
                <c:pt idx="37" c:formatCode="General">
                  <c:v>756.100000000001</c:v>
                </c:pt>
                <c:pt idx="38" c:formatCode="General">
                  <c:v>629.9</c:v>
                </c:pt>
                <c:pt idx="39" c:formatCode="General">
                  <c:v>798.4</c:v>
                </c:pt>
                <c:pt idx="40" c:formatCode="General">
                  <c:v>660.9</c:v>
                </c:pt>
                <c:pt idx="41" c:formatCode="General">
                  <c:v>828.5</c:v>
                </c:pt>
                <c:pt idx="42" c:formatCode="General">
                  <c:v>1040.9</c:v>
                </c:pt>
                <c:pt idx="43" c:formatCode="General">
                  <c:v>721.599999999999</c:v>
                </c:pt>
                <c:pt idx="44" c:formatCode="General">
                  <c:v>504.9</c:v>
                </c:pt>
                <c:pt idx="45" c:formatCode="General">
                  <c:v>856.700000000001</c:v>
                </c:pt>
                <c:pt idx="46" c:formatCode="General">
                  <c:v>687.6</c:v>
                </c:pt>
                <c:pt idx="47" c:formatCode="General">
                  <c:v>921.9</c:v>
                </c:pt>
                <c:pt idx="48" c:formatCode="General">
                  <c:v>1308.6</c:v>
                </c:pt>
                <c:pt idx="49" c:formatCode="General">
                  <c:v>1140.9</c:v>
                </c:pt>
                <c:pt idx="50" c:formatCode="General">
                  <c:v>1137.7</c:v>
                </c:pt>
                <c:pt idx="51" c:formatCode="General">
                  <c:v>1237.2</c:v>
                </c:pt>
                <c:pt idx="52" c:formatCode="General">
                  <c:v>819.8</c:v>
                </c:pt>
                <c:pt idx="53" c:formatCode="General">
                  <c:v>989.5</c:v>
                </c:pt>
                <c:pt idx="54" c:formatCode="General">
                  <c:v>779.4</c:v>
                </c:pt>
                <c:pt idx="55" c:formatCode="General">
                  <c:v>625.3</c:v>
                </c:pt>
                <c:pt idx="56" c:formatCode="General">
                  <c:v>559.6</c:v>
                </c:pt>
                <c:pt idx="57" c:formatCode="General">
                  <c:v>794.3</c:v>
                </c:pt>
                <c:pt idx="58" c:formatCode="General">
                  <c:v>853.9</c:v>
                </c:pt>
                <c:pt idx="59" c:formatCode="General">
                  <c:v>1032</c:v>
                </c:pt>
                <c:pt idx="60" c:formatCode="General">
                  <c:v>1175.2</c:v>
                </c:pt>
                <c:pt idx="61" c:formatCode="General">
                  <c:v>1045.3</c:v>
                </c:pt>
                <c:pt idx="62" c:formatCode="General">
                  <c:v>1044.2</c:v>
                </c:pt>
                <c:pt idx="63" c:formatCode="General">
                  <c:v>1082.3</c:v>
                </c:pt>
                <c:pt idx="64" c:formatCode="General">
                  <c:v>717.6</c:v>
                </c:pt>
                <c:pt idx="65" c:formatCode="General">
                  <c:v>906.4</c:v>
                </c:pt>
                <c:pt idx="66" c:formatCode="General">
                  <c:v>1033.3</c:v>
                </c:pt>
                <c:pt idx="67" c:formatCode="General">
                  <c:v>818.6</c:v>
                </c:pt>
                <c:pt idx="68" c:formatCode="General">
                  <c:v>758.9</c:v>
                </c:pt>
                <c:pt idx="69" c:formatCode="General">
                  <c:v>1039.9</c:v>
                </c:pt>
                <c:pt idx="70" c:formatCode="General">
                  <c:v>1056.8</c:v>
                </c:pt>
                <c:pt idx="71" c:formatCode="General">
                  <c:v>1305.2</c:v>
                </c:pt>
                <c:pt idx="72" c:formatCode="General">
                  <c:v>1603.5</c:v>
                </c:pt>
                <c:pt idx="73" c:formatCode="General">
                  <c:v>1400.6</c:v>
                </c:pt>
                <c:pt idx="74" c:formatCode="General">
                  <c:v>1369.8</c:v>
                </c:pt>
                <c:pt idx="75" c:formatCode="General">
                  <c:v>1362.6</c:v>
                </c:pt>
                <c:pt idx="76" c:formatCode="General">
                  <c:v>1076.8</c:v>
                </c:pt>
                <c:pt idx="77" c:formatCode="General">
                  <c:v>1275.8</c:v>
                </c:pt>
                <c:pt idx="78" c:formatCode="General">
                  <c:v>1383.2</c:v>
                </c:pt>
                <c:pt idx="79" c:formatCode="General">
                  <c:v>1176.8</c:v>
                </c:pt>
                <c:pt idx="80" c:formatCode="General">
                  <c:v>859.7</c:v>
                </c:pt>
                <c:pt idx="81" c:formatCode="General">
                  <c:v>1305.2</c:v>
                </c:pt>
                <c:pt idx="82" c:formatCode="General">
                  <c:v>1364.2</c:v>
                </c:pt>
                <c:pt idx="83" c:formatCode="General">
                  <c:v>1245.1</c:v>
                </c:pt>
                <c:pt idx="84" c:formatCode="General">
                  <c:v>1821.3</c:v>
                </c:pt>
              </c:numCache>
            </c:numRef>
          </c:val>
        </c:ser>
        <c:dLbls>
          <c:showLegendKey val="0"/>
          <c:showVal val="0"/>
          <c:showCatName val="0"/>
          <c:showSerName val="0"/>
          <c:showPercent val="0"/>
          <c:showBubbleSize val="0"/>
        </c:dLbls>
        <c:gapWidth val="150"/>
        <c:overlap val="100"/>
        <c:axId val="168411904"/>
        <c:axId val="168413440"/>
      </c:barChart>
      <c:catAx>
        <c:axId val="16841190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68413440"/>
        <c:crosses val="autoZero"/>
        <c:auto val="1"/>
        <c:lblAlgn val="ctr"/>
        <c:lblOffset val="100"/>
        <c:tickLblSkip val="3"/>
        <c:noMultiLvlLbl val="0"/>
      </c:catAx>
      <c:valAx>
        <c:axId val="168413440"/>
        <c:scaling>
          <c:orientation val="minMax"/>
        </c:scaling>
        <c:delete val="0"/>
        <c:axPos val="l"/>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ltLang="zh-CN"/>
                  <a:t>100</a:t>
                </a:r>
                <a:r>
                  <a:rPr lang="en-US" altLang="zh-CN" baseline="0"/>
                  <a:t> M</a:t>
                </a:r>
                <a:endParaRPr lang="zh-CN" altLang="en-US"/>
              </a:p>
            </c:rich>
          </c:tx>
          <c:layout>
            <c:manualLayout>
              <c:xMode val="edge"/>
              <c:yMode val="edge"/>
              <c:x val="0.113888888888889"/>
              <c:y val="0.0413925342665501"/>
            </c:manualLayout>
          </c:layout>
          <c:overlay val="0"/>
        </c:title>
        <c:numFmt formatCode="0_ "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68411904"/>
        <c:crosses val="autoZero"/>
        <c:crossBetween val="between"/>
      </c:valAx>
      <c:spPr>
        <a:noFill/>
      </c:spPr>
    </c:plotArea>
    <c:legend>
      <c:legendPos val="r"/>
      <c:layout>
        <c:manualLayout>
          <c:xMode val="edge"/>
          <c:yMode val="edge"/>
          <c:x val="0.273553634966809"/>
          <c:y val="0.0227642443132108"/>
          <c:w val="0.498910190850373"/>
          <c:h val="0.102619568387285"/>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chart>
  <c:spPr>
    <a:noFill/>
    <a:ln w="9525" cap="flat" cmpd="sng" algn="ctr">
      <a:noFill/>
      <a:prstDash val="solid"/>
      <a:round/>
    </a:ln>
  </c:spPr>
  <c:txPr>
    <a:bodyPr/>
    <a:lstStyle/>
    <a:p>
      <a:pPr>
        <a:defRPr lang="zh-CN"/>
      </a:pPr>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0.04029</cdr:x>
      <cdr:y>0</cdr:y>
    </cdr:from>
    <cdr:to>
      <cdr:x>0.0861</cdr:x>
      <cdr:y>0.06904</cdr:y>
    </cdr:to>
    <cdr:sp>
      <cdr:nvSpPr>
        <cdr:cNvPr id="2" name="矩形 1"/>
        <cdr:cNvSpPr/>
      </cdr:nvSpPr>
      <cdr:spPr xmlns:a="http://schemas.openxmlformats.org/drawingml/2006/main">
        <a:xfrm xmlns:a="http://schemas.openxmlformats.org/drawingml/2006/main">
          <a:off x="258649" y="0"/>
          <a:ext cx="294093" cy="287769"/>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en-US" altLang="zh-CN" sz="1200"/>
            <a:t>%</a:t>
          </a:r>
          <a:endParaRPr lang="zh-CN" altLang="en-US" sz="1200"/>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BA3D47-3BBC-46E1-8FC1-0D1763549C99}">
  <ds:schemaRefs/>
</ds:datastoreItem>
</file>

<file path=docProps/app.xml><?xml version="1.0" encoding="utf-8"?>
<Properties xmlns="http://schemas.openxmlformats.org/officeDocument/2006/extended-properties" xmlns:vt="http://schemas.openxmlformats.org/officeDocument/2006/docPropsVTypes">
  <Template>Normal</Template>
  <Pages>65</Pages>
  <Words>25159</Words>
  <Characters>143411</Characters>
  <Lines>1195</Lines>
  <Paragraphs>336</Paragraphs>
  <TotalTime>7</TotalTime>
  <ScaleCrop>false</ScaleCrop>
  <LinksUpToDate>false</LinksUpToDate>
  <CharactersWithSpaces>168234</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2019-08-27T09:28:00Z</dcterms:created>
  <dc:creator>pbc</dc:creator>
  <cp:lastModifiedBy>光头扬</cp:lastModifiedBy>
  <cp:lastPrinted>2019-08-27T07:30:00Z</cp:lastPrinted>
  <dcterms:modified xsi:type="dcterms:W3CDTF">2019-08-28T01:41:16Z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